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eastAsiaTheme="minorEastAsia"/>
          <w:bCs/>
          <w:sz w:val="36"/>
          <w:szCs w:val="36"/>
        </w:rPr>
      </w:pPr>
      <w:r>
        <w:rPr>
          <w:rFonts w:hAnsiTheme="minorEastAsia" w:eastAsiaTheme="minorEastAsia"/>
          <w:bCs/>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76"/>
        <w:gridCol w:w="1060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42" w:type="dxa"/>
            <w:vMerge w:val="restart"/>
            <w:vAlign w:val="center"/>
          </w:tcPr>
          <w:p>
            <w:pPr>
              <w:spacing w:before="120" w:line="360" w:lineRule="auto"/>
              <w:jc w:val="center"/>
              <w:rPr>
                <w:rFonts w:eastAsiaTheme="minorEastAsia"/>
                <w:sz w:val="24"/>
                <w:szCs w:val="24"/>
              </w:rPr>
            </w:pPr>
            <w:r>
              <w:rPr>
                <w:rFonts w:hAnsiTheme="minorEastAsia" w:eastAsiaTheme="minorEastAsia"/>
                <w:sz w:val="24"/>
                <w:szCs w:val="24"/>
              </w:rPr>
              <w:t>过程与活动、</w:t>
            </w:r>
          </w:p>
          <w:p>
            <w:pPr>
              <w:spacing w:line="360" w:lineRule="auto"/>
              <w:jc w:val="center"/>
              <w:rPr>
                <w:rFonts w:eastAsiaTheme="minorEastAsia"/>
                <w:sz w:val="24"/>
                <w:szCs w:val="24"/>
              </w:rPr>
            </w:pPr>
            <w:r>
              <w:rPr>
                <w:rFonts w:hAnsiTheme="minorEastAsia" w:eastAsiaTheme="minorEastAsia"/>
                <w:sz w:val="24"/>
                <w:szCs w:val="24"/>
              </w:rPr>
              <w:t>抽样计划</w:t>
            </w:r>
          </w:p>
        </w:tc>
        <w:tc>
          <w:tcPr>
            <w:tcW w:w="1276" w:type="dxa"/>
            <w:vMerge w:val="restart"/>
            <w:vAlign w:val="center"/>
          </w:tcPr>
          <w:p>
            <w:pPr>
              <w:spacing w:line="360" w:lineRule="auto"/>
              <w:rPr>
                <w:rFonts w:eastAsiaTheme="minorEastAsia"/>
                <w:sz w:val="24"/>
                <w:szCs w:val="24"/>
              </w:rPr>
            </w:pPr>
            <w:r>
              <w:rPr>
                <w:rFonts w:hAnsiTheme="minorEastAsia" w:eastAsiaTheme="minorEastAsia"/>
                <w:sz w:val="24"/>
                <w:szCs w:val="24"/>
              </w:rPr>
              <w:t>涉及条款</w:t>
            </w:r>
          </w:p>
        </w:tc>
        <w:tc>
          <w:tcPr>
            <w:tcW w:w="10606" w:type="dxa"/>
            <w:vAlign w:val="center"/>
          </w:tcPr>
          <w:p>
            <w:pPr>
              <w:spacing w:line="360" w:lineRule="auto"/>
              <w:rPr>
                <w:rFonts w:eastAsiaTheme="minorEastAsia"/>
                <w:sz w:val="24"/>
                <w:szCs w:val="24"/>
              </w:rPr>
            </w:pPr>
            <w:r>
              <w:rPr>
                <w:rFonts w:hAnsiTheme="minorEastAsia" w:eastAsiaTheme="minorEastAsia"/>
                <w:sz w:val="24"/>
                <w:szCs w:val="24"/>
              </w:rPr>
              <w:t>受审核部门：销售部</w:t>
            </w:r>
            <w:r>
              <w:rPr>
                <w:rFonts w:eastAsiaTheme="minorEastAsia"/>
                <w:sz w:val="24"/>
                <w:szCs w:val="24"/>
              </w:rPr>
              <w:t xml:space="preserve">  </w:t>
            </w:r>
            <w:r>
              <w:rPr>
                <w:rFonts w:hAnsiTheme="minorEastAsia" w:eastAsiaTheme="minorEastAsia"/>
                <w:sz w:val="24"/>
                <w:szCs w:val="24"/>
              </w:rPr>
              <w:t>主管领导：</w:t>
            </w:r>
            <w:r>
              <w:rPr>
                <w:rFonts w:hint="eastAsia" w:hAnsiTheme="minorEastAsia" w:eastAsiaTheme="minorEastAsia"/>
                <w:sz w:val="24"/>
                <w:szCs w:val="24"/>
                <w:lang w:val="en-US" w:eastAsia="zh-CN"/>
              </w:rPr>
              <w:t>黄新元</w:t>
            </w:r>
            <w:r>
              <w:rPr>
                <w:rFonts w:eastAsiaTheme="minorEastAsia"/>
                <w:szCs w:val="22"/>
              </w:rPr>
              <w:t xml:space="preserve"> </w:t>
            </w:r>
            <w:r>
              <w:rPr>
                <w:rFonts w:hint="eastAsia" w:eastAsiaTheme="minorEastAsia"/>
                <w:szCs w:val="22"/>
                <w:lang w:val="en-US" w:eastAsia="zh-CN"/>
              </w:rPr>
              <w:t xml:space="preserve">     </w:t>
            </w:r>
            <w:r>
              <w:rPr>
                <w:rFonts w:eastAsiaTheme="minorEastAsia"/>
                <w:szCs w:val="22"/>
              </w:rPr>
              <w:t xml:space="preserve"> </w:t>
            </w:r>
            <w:r>
              <w:rPr>
                <w:rFonts w:hAnsiTheme="minorEastAsia" w:eastAsiaTheme="minorEastAsia"/>
                <w:sz w:val="24"/>
                <w:szCs w:val="24"/>
              </w:rPr>
              <w:t>陪同人员：</w:t>
            </w:r>
            <w:r>
              <w:rPr>
                <w:rFonts w:hint="eastAsia" w:hAnsiTheme="minorEastAsia" w:eastAsiaTheme="minorEastAsia"/>
                <w:sz w:val="24"/>
                <w:szCs w:val="24"/>
                <w:lang w:val="en-US" w:eastAsia="zh-CN"/>
              </w:rPr>
              <w:t xml:space="preserve">倪燕华 </w:t>
            </w:r>
          </w:p>
        </w:tc>
        <w:tc>
          <w:tcPr>
            <w:tcW w:w="1585" w:type="dxa"/>
            <w:vMerge w:val="restart"/>
            <w:vAlign w:val="center"/>
          </w:tcPr>
          <w:p>
            <w:pPr>
              <w:spacing w:line="360" w:lineRule="auto"/>
              <w:rPr>
                <w:rFonts w:eastAsiaTheme="minorEastAsia"/>
                <w:sz w:val="24"/>
                <w:szCs w:val="24"/>
              </w:rPr>
            </w:pPr>
            <w:r>
              <w:rPr>
                <w:rFonts w:hAnsiTheme="minorEastAsia" w:eastAsiaTheme="minor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42" w:type="dxa"/>
            <w:vMerge w:val="continue"/>
            <w:vAlign w:val="center"/>
          </w:tcPr>
          <w:p>
            <w:pPr>
              <w:spacing w:line="360" w:lineRule="auto"/>
              <w:rPr>
                <w:rFonts w:eastAsiaTheme="minorEastAsia"/>
                <w:sz w:val="24"/>
                <w:szCs w:val="24"/>
              </w:rPr>
            </w:pPr>
          </w:p>
        </w:tc>
        <w:tc>
          <w:tcPr>
            <w:tcW w:w="1276" w:type="dxa"/>
            <w:vMerge w:val="continue"/>
            <w:vAlign w:val="center"/>
          </w:tcPr>
          <w:p>
            <w:pPr>
              <w:spacing w:line="360" w:lineRule="auto"/>
              <w:rPr>
                <w:rFonts w:eastAsiaTheme="minorEastAsia"/>
                <w:sz w:val="24"/>
                <w:szCs w:val="24"/>
              </w:rPr>
            </w:pPr>
          </w:p>
        </w:tc>
        <w:tc>
          <w:tcPr>
            <w:tcW w:w="10606" w:type="dxa"/>
            <w:vAlign w:val="center"/>
          </w:tcPr>
          <w:p>
            <w:pPr>
              <w:spacing w:before="120" w:line="360" w:lineRule="auto"/>
              <w:rPr>
                <w:rFonts w:hint="eastAsia" w:eastAsiaTheme="minorEastAsia"/>
                <w:sz w:val="24"/>
                <w:szCs w:val="24"/>
                <w:lang w:val="en-US" w:eastAsia="zh-CN"/>
              </w:rPr>
            </w:pPr>
            <w:r>
              <w:rPr>
                <w:rFonts w:hAnsiTheme="minorEastAsia" w:eastAsiaTheme="minorEastAsia"/>
                <w:sz w:val="24"/>
                <w:szCs w:val="24"/>
              </w:rPr>
              <w:t>审核员：</w:t>
            </w:r>
            <w:r>
              <w:rPr>
                <w:rFonts w:hint="eastAsia" w:hAnsiTheme="minorEastAsia" w:eastAsiaTheme="minorEastAsia"/>
                <w:sz w:val="24"/>
                <w:szCs w:val="24"/>
                <w:lang w:val="en-US" w:eastAsia="zh-CN"/>
              </w:rPr>
              <w:t xml:space="preserve">汪桂丽 </w:t>
            </w:r>
            <w:r>
              <w:rPr>
                <w:rFonts w:hint="eastAsia" w:hAnsiTheme="minorEastAsia" w:eastAsiaTheme="minorEastAsia"/>
                <w:sz w:val="24"/>
                <w:szCs w:val="24"/>
              </w:rPr>
              <w:t>强兴</w:t>
            </w:r>
            <w:r>
              <w:rPr>
                <w:rFonts w:eastAsiaTheme="minorEastAsia"/>
                <w:sz w:val="24"/>
                <w:szCs w:val="24"/>
              </w:rPr>
              <w:t xml:space="preserve">  </w:t>
            </w:r>
            <w:r>
              <w:rPr>
                <w:rFonts w:hint="eastAsia" w:eastAsiaTheme="minorEastAsia"/>
                <w:sz w:val="24"/>
                <w:szCs w:val="24"/>
                <w:lang w:val="en-US" w:eastAsia="zh-CN"/>
              </w:rPr>
              <w:t xml:space="preserve">   </w:t>
            </w:r>
            <w:r>
              <w:rPr>
                <w:rFonts w:hAnsiTheme="minorEastAsia" w:eastAsiaTheme="minorEastAsia"/>
                <w:sz w:val="24"/>
                <w:szCs w:val="24"/>
              </w:rPr>
              <w:t>审核时间：</w:t>
            </w:r>
            <w:r>
              <w:rPr>
                <w:rFonts w:eastAsiaTheme="minorEastAsia"/>
                <w:sz w:val="24"/>
                <w:szCs w:val="24"/>
              </w:rPr>
              <w:t>202</w:t>
            </w:r>
            <w:r>
              <w:rPr>
                <w:rFonts w:hint="eastAsia" w:eastAsiaTheme="minorEastAsia"/>
                <w:sz w:val="24"/>
                <w:szCs w:val="24"/>
              </w:rPr>
              <w:t>1</w:t>
            </w:r>
            <w:r>
              <w:rPr>
                <w:rFonts w:eastAsiaTheme="minorEastAsia"/>
                <w:sz w:val="24"/>
                <w:szCs w:val="24"/>
              </w:rPr>
              <w:t>.</w:t>
            </w:r>
            <w:r>
              <w:rPr>
                <w:rFonts w:hint="eastAsia" w:eastAsiaTheme="minorEastAsia"/>
                <w:sz w:val="24"/>
                <w:szCs w:val="24"/>
                <w:lang w:val="en-US" w:eastAsia="zh-CN"/>
              </w:rPr>
              <w:t>8</w:t>
            </w:r>
            <w:r>
              <w:rPr>
                <w:rFonts w:hint="eastAsia" w:eastAsiaTheme="minorEastAsia"/>
                <w:sz w:val="24"/>
                <w:szCs w:val="24"/>
              </w:rPr>
              <w:t>.1</w:t>
            </w:r>
            <w:bookmarkStart w:id="0" w:name="_GoBack"/>
            <w:bookmarkEnd w:id="0"/>
          </w:p>
        </w:tc>
        <w:tc>
          <w:tcPr>
            <w:tcW w:w="1585" w:type="dxa"/>
            <w:vMerge w:val="continue"/>
          </w:tcPr>
          <w:p>
            <w:pPr>
              <w:spacing w:line="360" w:lineRule="auto"/>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Merge w:val="continue"/>
            <w:vAlign w:val="center"/>
          </w:tcPr>
          <w:p>
            <w:pPr>
              <w:spacing w:line="360" w:lineRule="auto"/>
              <w:rPr>
                <w:rFonts w:eastAsiaTheme="minorEastAsia"/>
                <w:sz w:val="24"/>
                <w:szCs w:val="24"/>
              </w:rPr>
            </w:pPr>
          </w:p>
        </w:tc>
        <w:tc>
          <w:tcPr>
            <w:tcW w:w="1276" w:type="dxa"/>
            <w:vMerge w:val="continue"/>
            <w:vAlign w:val="center"/>
          </w:tcPr>
          <w:p>
            <w:pPr>
              <w:spacing w:line="360" w:lineRule="auto"/>
              <w:rPr>
                <w:rFonts w:eastAsiaTheme="minorEastAsia"/>
                <w:sz w:val="24"/>
                <w:szCs w:val="24"/>
              </w:rPr>
            </w:pPr>
          </w:p>
        </w:tc>
        <w:tc>
          <w:tcPr>
            <w:tcW w:w="10606" w:type="dxa"/>
            <w:vAlign w:val="center"/>
          </w:tcPr>
          <w:p>
            <w:pPr>
              <w:autoSpaceDE w:val="0"/>
              <w:autoSpaceDN w:val="0"/>
              <w:adjustRightInd w:val="0"/>
              <w:snapToGrid w:val="0"/>
              <w:spacing w:line="360" w:lineRule="auto"/>
              <w:ind w:right="-6" w:rightChars="-3" w:firstLine="480" w:firstLineChars="200"/>
              <w:rPr>
                <w:rFonts w:hint="eastAsia" w:hAnsiTheme="minorEastAsia" w:eastAsiaTheme="minorEastAsia"/>
                <w:sz w:val="21"/>
                <w:szCs w:val="21"/>
                <w:lang w:eastAsia="zh-CN"/>
              </w:rPr>
            </w:pPr>
            <w:r>
              <w:rPr>
                <w:rFonts w:hint="eastAsia" w:hAnsiTheme="minorEastAsia" w:eastAsiaTheme="minorEastAsia"/>
                <w:sz w:val="24"/>
                <w:szCs w:val="24"/>
                <w:lang w:eastAsia="zh-CN"/>
              </w:rPr>
              <w:t>审核条款：</w:t>
            </w:r>
            <w:r>
              <w:rPr>
                <w:rFonts w:hint="eastAsia" w:hAnsiTheme="minorEastAsia" w:eastAsiaTheme="minorEastAsia"/>
                <w:sz w:val="21"/>
                <w:szCs w:val="21"/>
                <w:lang w:eastAsia="zh-CN"/>
              </w:rPr>
              <w:t>QMS:5.3组织的岗位、职责和权限、6.2质量目标、7.1.3基础设施、7.1.4过程运行环境、7.1.5监视和测量资源、8.2产品和服务的要求、8.3产品和服务的设计和开发</w:t>
            </w:r>
            <w:r>
              <w:rPr>
                <w:rFonts w:hint="eastAsia" w:hAnsiTheme="minorEastAsia" w:eastAsiaTheme="minorEastAsia"/>
                <w:sz w:val="21"/>
                <w:szCs w:val="21"/>
                <w:lang w:val="en-US" w:eastAsia="zh-CN"/>
              </w:rPr>
              <w:t>删减确认</w:t>
            </w:r>
            <w:r>
              <w:rPr>
                <w:rFonts w:hint="eastAsia" w:hAnsiTheme="minorEastAsia" w:eastAsiaTheme="minorEastAsia"/>
                <w:sz w:val="21"/>
                <w:szCs w:val="21"/>
                <w:lang w:eastAsia="zh-CN"/>
              </w:rPr>
              <w:t>、8.5.1</w:t>
            </w:r>
            <w:r>
              <w:rPr>
                <w:rFonts w:hint="eastAsia" w:hAnsiTheme="minorEastAsia" w:eastAsiaTheme="minorEastAsia"/>
                <w:sz w:val="21"/>
                <w:szCs w:val="21"/>
                <w:lang w:val="en-US" w:eastAsia="zh-CN"/>
              </w:rPr>
              <w:t>销售</w:t>
            </w:r>
            <w:r>
              <w:rPr>
                <w:rFonts w:hint="eastAsia" w:hAnsiTheme="minorEastAsia" w:eastAsiaTheme="minorEastAsia"/>
                <w:sz w:val="21"/>
                <w:szCs w:val="21"/>
                <w:lang w:eastAsia="zh-CN"/>
              </w:rPr>
              <w:t>和服务提供的控制、8.5.2标识和可追溯性、8.5.4防护、8.5.5交付后的活动、8.5.6更改控制、8.6产品和服务的放行、8.7不</w:t>
            </w:r>
            <w:r>
              <w:rPr>
                <w:rFonts w:hint="eastAsia" w:hAnsiTheme="minorEastAsia" w:eastAsiaTheme="minorEastAsia"/>
                <w:sz w:val="21"/>
                <w:szCs w:val="21"/>
                <w:lang w:val="en-US" w:eastAsia="zh-CN"/>
              </w:rPr>
              <w:t>合格</w:t>
            </w:r>
            <w:r>
              <w:rPr>
                <w:rFonts w:hint="eastAsia" w:hAnsiTheme="minorEastAsia" w:eastAsiaTheme="minorEastAsia"/>
                <w:sz w:val="21"/>
                <w:szCs w:val="21"/>
                <w:lang w:eastAsia="zh-CN"/>
              </w:rPr>
              <w:t>输出的控制、9.1.2顾客满意、10.2不</w:t>
            </w:r>
            <w:r>
              <w:rPr>
                <w:rFonts w:hint="eastAsia" w:hAnsiTheme="minorEastAsia" w:eastAsiaTheme="minorEastAsia"/>
                <w:sz w:val="21"/>
                <w:szCs w:val="21"/>
                <w:lang w:val="en-US" w:eastAsia="zh-CN"/>
              </w:rPr>
              <w:t>合格</w:t>
            </w:r>
            <w:r>
              <w:rPr>
                <w:rFonts w:hint="eastAsia" w:hAnsiTheme="minorEastAsia" w:eastAsiaTheme="minorEastAsia"/>
                <w:sz w:val="21"/>
                <w:szCs w:val="21"/>
                <w:lang w:eastAsia="zh-CN"/>
              </w:rPr>
              <w:t>和纠正措施；</w:t>
            </w:r>
          </w:p>
          <w:p>
            <w:pPr>
              <w:autoSpaceDE w:val="0"/>
              <w:autoSpaceDN w:val="0"/>
              <w:adjustRightInd w:val="0"/>
              <w:snapToGrid w:val="0"/>
              <w:spacing w:line="360" w:lineRule="auto"/>
              <w:ind w:right="-6" w:rightChars="-3" w:firstLine="420" w:firstLineChars="200"/>
              <w:rPr>
                <w:rFonts w:eastAsiaTheme="minorEastAsia"/>
                <w:szCs w:val="21"/>
              </w:rPr>
            </w:pPr>
            <w:r>
              <w:rPr>
                <w:rFonts w:hint="eastAsia" w:hAnsiTheme="minorEastAsia" w:eastAsiaTheme="minorEastAsia"/>
                <w:sz w:val="21"/>
                <w:szCs w:val="21"/>
                <w:lang w:eastAsia="zh-CN"/>
              </w:rPr>
              <w:t>E/OMS: 5.3组织的岗位、职责和权限、6.2环境与职业健康安全目标、6.1.2环境因素/危险源辨识与评价、8.1运行策划和控制、10.2不符合/事件和纠正措施</w:t>
            </w:r>
          </w:p>
        </w:tc>
        <w:tc>
          <w:tcPr>
            <w:tcW w:w="1585" w:type="dxa"/>
            <w:vMerge w:val="continue"/>
          </w:tcPr>
          <w:p>
            <w:pPr>
              <w:spacing w:line="360" w:lineRule="auto"/>
              <w:rPr>
                <w:rFonts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1242" w:type="dxa"/>
            <w:vAlign w:val="center"/>
          </w:tcPr>
          <w:p>
            <w:pPr>
              <w:spacing w:line="360" w:lineRule="auto"/>
              <w:rPr>
                <w:rFonts w:hAnsiTheme="minorEastAsia" w:eastAsiaTheme="minorEastAsia"/>
                <w:sz w:val="24"/>
                <w:szCs w:val="24"/>
              </w:rPr>
            </w:pPr>
            <w:r>
              <w:rPr>
                <w:rFonts w:hint="eastAsia" w:ascii="宋体" w:hAnsi="宋体" w:cs="Arial"/>
                <w:sz w:val="21"/>
                <w:szCs w:val="21"/>
              </w:rPr>
              <w:t>组织的岗位、职责和权限</w:t>
            </w:r>
          </w:p>
        </w:tc>
        <w:tc>
          <w:tcPr>
            <w:tcW w:w="1276" w:type="dxa"/>
          </w:tcPr>
          <w:p>
            <w:pPr>
              <w:spacing w:line="360" w:lineRule="auto"/>
              <w:rPr>
                <w:rFonts w:hint="default" w:eastAsiaTheme="minorEastAsia"/>
                <w:sz w:val="24"/>
                <w:szCs w:val="24"/>
                <w:lang w:val="en-US" w:eastAsia="zh-CN"/>
              </w:rPr>
            </w:pPr>
            <w:r>
              <w:rPr>
                <w:rFonts w:hint="eastAsia" w:eastAsiaTheme="minorEastAsia"/>
                <w:sz w:val="24"/>
                <w:szCs w:val="24"/>
                <w:lang w:val="en-US" w:eastAsia="zh-CN"/>
              </w:rPr>
              <w:t>QEO 5.3</w:t>
            </w:r>
          </w:p>
        </w:tc>
        <w:tc>
          <w:tcPr>
            <w:tcW w:w="10606" w:type="dxa"/>
          </w:tcPr>
          <w:p>
            <w:pPr>
              <w:autoSpaceDE w:val="0"/>
              <w:autoSpaceDN w:val="0"/>
              <w:adjustRightInd w:val="0"/>
              <w:snapToGrid w:val="0"/>
              <w:spacing w:line="360" w:lineRule="auto"/>
              <w:ind w:right="-6" w:rightChars="-3" w:firstLine="480" w:firstLineChars="200"/>
              <w:rPr>
                <w:rFonts w:hint="eastAsia" w:hAnsiTheme="minorEastAsia" w:eastAsiaTheme="minorEastAsia"/>
                <w:sz w:val="24"/>
                <w:szCs w:val="24"/>
                <w:lang w:eastAsia="zh-CN"/>
              </w:rPr>
            </w:pPr>
            <w:r>
              <w:rPr>
                <w:rFonts w:hint="eastAsia" w:hAnsiTheme="minorEastAsia" w:eastAsiaTheme="minorEastAsia"/>
                <w:sz w:val="24"/>
                <w:szCs w:val="24"/>
                <w:lang w:val="en-US" w:eastAsia="zh-CN"/>
              </w:rPr>
              <w:t>该</w:t>
            </w:r>
            <w:r>
              <w:rPr>
                <w:rFonts w:hint="eastAsia" w:hAnsiTheme="minorEastAsia" w:eastAsiaTheme="minorEastAsia"/>
                <w:sz w:val="24"/>
                <w:szCs w:val="24"/>
              </w:rPr>
              <w:t>部门</w:t>
            </w:r>
            <w:r>
              <w:rPr>
                <w:rFonts w:hint="eastAsia" w:hAnsiTheme="minorEastAsia" w:eastAsiaTheme="minorEastAsia"/>
                <w:sz w:val="24"/>
                <w:szCs w:val="24"/>
                <w:lang w:eastAsia="zh-CN"/>
              </w:rPr>
              <w:t>职责</w:t>
            </w:r>
            <w:r>
              <w:rPr>
                <w:rFonts w:hint="eastAsia" w:hAnsiTheme="minorEastAsia" w:eastAsiaTheme="minorEastAsia"/>
                <w:sz w:val="24"/>
                <w:szCs w:val="24"/>
              </w:rPr>
              <w:t>主要负责</w:t>
            </w:r>
            <w:r>
              <w:rPr>
                <w:rFonts w:hint="eastAsia" w:hAnsiTheme="minorEastAsia" w:eastAsiaTheme="minorEastAsia"/>
                <w:sz w:val="24"/>
                <w:szCs w:val="24"/>
                <w:lang w:val="en-US" w:eastAsia="zh-CN"/>
              </w:rPr>
              <w:t>公司</w:t>
            </w:r>
            <w:r>
              <w:rPr>
                <w:rFonts w:hint="eastAsia" w:hAnsiTheme="minorEastAsia" w:eastAsiaTheme="minorEastAsia"/>
                <w:sz w:val="24"/>
                <w:szCs w:val="24"/>
                <w:lang w:eastAsia="zh-CN"/>
              </w:rPr>
              <w:t>销售、合同评审及顾客满意度调查等工作的</w:t>
            </w:r>
            <w:r>
              <w:rPr>
                <w:rFonts w:hint="eastAsia" w:hAnsiTheme="minorEastAsia" w:eastAsiaTheme="minorEastAsia"/>
                <w:sz w:val="24"/>
                <w:szCs w:val="24"/>
              </w:rPr>
              <w:t>控制</w:t>
            </w:r>
            <w:r>
              <w:rPr>
                <w:rFonts w:hint="eastAsia" w:hAnsiTheme="minorEastAsia" w:eastAsiaTheme="minorEastAsia"/>
                <w:sz w:val="24"/>
                <w:szCs w:val="24"/>
                <w:lang w:val="en-US" w:eastAsia="zh-CN"/>
              </w:rPr>
              <w:t>以及供销过程的控制及相应环境和职业健康安全的运行控制</w:t>
            </w:r>
            <w:r>
              <w:rPr>
                <w:rFonts w:hint="eastAsia" w:hAnsiTheme="minorEastAsia" w:eastAsiaTheme="minorEastAsia"/>
                <w:sz w:val="24"/>
                <w:szCs w:val="24"/>
              </w:rPr>
              <w:t>。</w:t>
            </w:r>
            <w:r>
              <w:rPr>
                <w:rFonts w:hint="eastAsia" w:hAnsiTheme="minorEastAsia" w:eastAsiaTheme="minorEastAsia"/>
                <w:sz w:val="24"/>
                <w:szCs w:val="24"/>
                <w:lang w:eastAsia="zh-CN"/>
              </w:rPr>
              <w:t>通过手册形式颁布实施。个人岗位职责权限已通过公司制度形式下发实施。</w:t>
            </w:r>
          </w:p>
          <w:p>
            <w:pPr>
              <w:autoSpaceDE w:val="0"/>
              <w:autoSpaceDN w:val="0"/>
              <w:adjustRightInd w:val="0"/>
              <w:snapToGrid w:val="0"/>
              <w:spacing w:line="360" w:lineRule="auto"/>
              <w:ind w:right="-6" w:rightChars="-3" w:firstLine="480" w:firstLineChars="200"/>
              <w:rPr>
                <w:rFonts w:hAnsiTheme="minorEastAsia" w:eastAsiaTheme="minorEastAsia"/>
                <w:sz w:val="24"/>
                <w:szCs w:val="24"/>
              </w:rPr>
            </w:pPr>
            <w:r>
              <w:rPr>
                <w:rFonts w:hint="eastAsia" w:hAnsiTheme="minorEastAsia" w:eastAsiaTheme="minorEastAsia"/>
                <w:sz w:val="24"/>
                <w:szCs w:val="24"/>
                <w:lang w:val="en-US" w:eastAsia="zh-CN"/>
              </w:rPr>
              <w:t>与部门</w:t>
            </w:r>
            <w:r>
              <w:rPr>
                <w:rFonts w:hint="eastAsia" w:hAnsiTheme="minorEastAsia" w:eastAsiaTheme="minorEastAsia"/>
                <w:sz w:val="24"/>
                <w:szCs w:val="24"/>
              </w:rPr>
              <w:t>负责人沟通，</w:t>
            </w:r>
            <w:r>
              <w:rPr>
                <w:rFonts w:hint="eastAsia" w:hAnsiTheme="minorEastAsia" w:eastAsiaTheme="minorEastAsia"/>
                <w:sz w:val="24"/>
                <w:szCs w:val="24"/>
                <w:lang w:eastAsia="zh-CN"/>
              </w:rPr>
              <w:t>口述</w:t>
            </w:r>
            <w:r>
              <w:rPr>
                <w:rFonts w:hint="eastAsia" w:hAnsiTheme="minorEastAsia" w:eastAsiaTheme="minorEastAsia"/>
                <w:sz w:val="24"/>
                <w:szCs w:val="24"/>
              </w:rPr>
              <w:t>的</w:t>
            </w:r>
            <w:r>
              <w:rPr>
                <w:rFonts w:hint="eastAsia" w:hAnsiTheme="minorEastAsia" w:eastAsiaTheme="minorEastAsia"/>
                <w:sz w:val="24"/>
                <w:szCs w:val="24"/>
                <w:lang w:eastAsia="zh-CN"/>
              </w:rPr>
              <w:t>部门及个人</w:t>
            </w:r>
            <w:r>
              <w:rPr>
                <w:rFonts w:hint="eastAsia" w:hAnsiTheme="minorEastAsia" w:eastAsiaTheme="minorEastAsia"/>
                <w:sz w:val="24"/>
                <w:szCs w:val="24"/>
              </w:rPr>
              <w:t>职责和权限与</w:t>
            </w:r>
            <w:r>
              <w:rPr>
                <w:rFonts w:hint="eastAsia" w:hAnsiTheme="minorEastAsia" w:eastAsiaTheme="minorEastAsia"/>
                <w:sz w:val="24"/>
                <w:szCs w:val="24"/>
                <w:lang w:eastAsia="zh-CN"/>
              </w:rPr>
              <w:t>公司文件描述</w:t>
            </w:r>
            <w:r>
              <w:rPr>
                <w:rFonts w:hint="eastAsia" w:hAnsiTheme="minorEastAsia" w:eastAsiaTheme="minorEastAsia"/>
                <w:sz w:val="24"/>
                <w:szCs w:val="24"/>
              </w:rPr>
              <w:t>的基本一致。</w:t>
            </w:r>
          </w:p>
        </w:tc>
        <w:tc>
          <w:tcPr>
            <w:tcW w:w="1585" w:type="dxa"/>
          </w:tcPr>
          <w:p>
            <w:pPr>
              <w:spacing w:line="360" w:lineRule="auto"/>
              <w:rPr>
                <w:rFonts w:hint="eastAsia" w:eastAsiaTheme="minorEastAsia"/>
                <w:sz w:val="24"/>
                <w:szCs w:val="24"/>
                <w:lang w:val="en-US" w:eastAsia="zh-CN"/>
              </w:rPr>
            </w:pPr>
            <w:r>
              <w:rPr>
                <w:rFonts w:hint="eastAsia" w:eastAsiaTheme="minorEastAsia"/>
                <w:sz w:val="24"/>
                <w:szCs w:val="24"/>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1242" w:type="dxa"/>
            <w:vAlign w:val="center"/>
          </w:tcPr>
          <w:p>
            <w:pPr>
              <w:spacing w:line="360" w:lineRule="auto"/>
              <w:rPr>
                <w:rFonts w:hAnsiTheme="minorEastAsia" w:eastAsiaTheme="minorEastAsia"/>
                <w:sz w:val="24"/>
                <w:szCs w:val="24"/>
              </w:rPr>
            </w:pPr>
            <w:r>
              <w:rPr>
                <w:rFonts w:hint="eastAsia" w:ascii="宋体" w:hAnsi="宋体" w:cs="Arial"/>
                <w:sz w:val="21"/>
                <w:szCs w:val="21"/>
              </w:rPr>
              <w:t>目标</w:t>
            </w:r>
          </w:p>
        </w:tc>
        <w:tc>
          <w:tcPr>
            <w:tcW w:w="1276" w:type="dxa"/>
          </w:tcPr>
          <w:p>
            <w:pPr>
              <w:spacing w:line="360" w:lineRule="auto"/>
              <w:rPr>
                <w:rFonts w:hint="default" w:eastAsiaTheme="minorEastAsia"/>
                <w:sz w:val="24"/>
                <w:szCs w:val="24"/>
                <w:lang w:val="en-US" w:eastAsia="zh-CN"/>
              </w:rPr>
            </w:pPr>
            <w:r>
              <w:rPr>
                <w:rFonts w:hint="eastAsia" w:eastAsiaTheme="minorEastAsia"/>
                <w:sz w:val="24"/>
                <w:szCs w:val="24"/>
                <w:lang w:val="en-US" w:eastAsia="zh-CN"/>
              </w:rPr>
              <w:t>QEO 6.2</w:t>
            </w:r>
          </w:p>
        </w:tc>
        <w:tc>
          <w:tcPr>
            <w:tcW w:w="10606" w:type="dxa"/>
          </w:tcPr>
          <w:p>
            <w:pPr>
              <w:autoSpaceDE w:val="0"/>
              <w:autoSpaceDN w:val="0"/>
              <w:adjustRightInd w:val="0"/>
              <w:snapToGrid w:val="0"/>
              <w:spacing w:line="360" w:lineRule="auto"/>
              <w:ind w:right="-6" w:rightChars="-3" w:firstLine="480" w:firstLineChars="200"/>
              <w:rPr>
                <w:rFonts w:hint="eastAsia" w:hAnsiTheme="minorEastAsia" w:eastAsiaTheme="minorEastAsia"/>
                <w:sz w:val="24"/>
                <w:szCs w:val="24"/>
                <w:lang w:val="en-US" w:eastAsia="zh-CN"/>
              </w:rPr>
            </w:pPr>
            <w:r>
              <w:rPr>
                <w:rFonts w:hint="eastAsia" w:hAnsiTheme="minorEastAsia" w:eastAsiaTheme="minorEastAsia"/>
                <w:sz w:val="24"/>
                <w:szCs w:val="24"/>
                <w:lang w:val="en-US" w:eastAsia="zh-CN"/>
              </w:rPr>
              <w:t>本部门分解质量目标有：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rPr>
            </w:pPr>
            <w:r>
              <w:rPr>
                <w:rFonts w:hint="eastAsia" w:eastAsia="宋体"/>
                <w:color w:val="auto"/>
                <w:sz w:val="21"/>
                <w:szCs w:val="21"/>
                <w:lang w:eastAsia="zh-CN"/>
              </w:rPr>
              <w:drawing>
                <wp:inline distT="0" distB="0" distL="114300" distR="114300">
                  <wp:extent cx="6258560" cy="2195830"/>
                  <wp:effectExtent l="0" t="0" r="8890" b="13970"/>
                  <wp:docPr id="3" name="图片 3" descr="微信图片_2021080108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801082033"/>
                          <pic:cNvPicPr>
                            <a:picLocks noChangeAspect="1"/>
                          </pic:cNvPicPr>
                        </pic:nvPicPr>
                        <pic:blipFill>
                          <a:blip r:embed="rId6"/>
                          <a:stretch>
                            <a:fillRect/>
                          </a:stretch>
                        </pic:blipFill>
                        <pic:spPr>
                          <a:xfrm>
                            <a:off x="0" y="0"/>
                            <a:ext cx="6258560" cy="2195830"/>
                          </a:xfrm>
                          <a:prstGeom prst="rect">
                            <a:avLst/>
                          </a:prstGeom>
                        </pic:spPr>
                      </pic:pic>
                    </a:graphicData>
                  </a:graphic>
                </wp:inline>
              </w:drawing>
            </w:r>
          </w:p>
          <w:p>
            <w:pPr>
              <w:tabs>
                <w:tab w:val="left" w:pos="6597"/>
              </w:tabs>
              <w:spacing w:line="360" w:lineRule="auto"/>
              <w:ind w:firstLine="480" w:firstLineChars="200"/>
              <w:rPr>
                <w:rFonts w:hAnsiTheme="minorEastAsia" w:eastAsiaTheme="minorEastAsia"/>
                <w:sz w:val="24"/>
                <w:szCs w:val="24"/>
              </w:rPr>
            </w:pPr>
            <w:r>
              <w:rPr>
                <w:rFonts w:hint="eastAsia" w:hAnsiTheme="minorEastAsia" w:eastAsiaTheme="minorEastAsia"/>
                <w:sz w:val="24"/>
                <w:szCs w:val="24"/>
                <w:lang w:val="en-US" w:eastAsia="zh-CN"/>
              </w:rPr>
              <w:t>提供《目标考核表》，目标均可量化可测量。最近一次考核2021年2-7月份考核情况，销售部管理目标均已完成。考核人：陈春华，审批：黄新元。</w:t>
            </w:r>
          </w:p>
        </w:tc>
        <w:tc>
          <w:tcPr>
            <w:tcW w:w="1585" w:type="dxa"/>
          </w:tcPr>
          <w:p>
            <w:pPr>
              <w:spacing w:line="360" w:lineRule="auto"/>
              <w:rPr>
                <w:rFonts w:eastAsiaTheme="minorEastAsia"/>
                <w:sz w:val="24"/>
                <w:szCs w:val="24"/>
              </w:rPr>
            </w:pPr>
            <w:r>
              <w:rPr>
                <w:rFonts w:hint="eastAsia" w:eastAsiaTheme="minorEastAsia"/>
                <w:sz w:val="24"/>
                <w:szCs w:val="24"/>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1242" w:type="dxa"/>
            <w:vAlign w:val="center"/>
          </w:tcPr>
          <w:p>
            <w:pPr>
              <w:autoSpaceDE w:val="0"/>
              <w:autoSpaceDN w:val="0"/>
              <w:adjustRightInd w:val="0"/>
              <w:snapToGrid w:val="0"/>
              <w:spacing w:line="360" w:lineRule="auto"/>
              <w:ind w:right="-6" w:rightChars="-3"/>
              <w:rPr>
                <w:rFonts w:hAnsiTheme="minorEastAsia" w:eastAsiaTheme="minorEastAsia"/>
                <w:sz w:val="24"/>
                <w:szCs w:val="24"/>
              </w:rPr>
            </w:pPr>
            <w:r>
              <w:rPr>
                <w:rFonts w:hint="eastAsia" w:hAnsiTheme="minorEastAsia" w:eastAsiaTheme="minorEastAsia"/>
                <w:sz w:val="24"/>
                <w:szCs w:val="24"/>
              </w:rPr>
              <w:t>基础设施</w:t>
            </w:r>
          </w:p>
        </w:tc>
        <w:tc>
          <w:tcPr>
            <w:tcW w:w="1276" w:type="dxa"/>
            <w:vAlign w:val="center"/>
          </w:tcPr>
          <w:p>
            <w:pPr>
              <w:autoSpaceDE w:val="0"/>
              <w:autoSpaceDN w:val="0"/>
              <w:adjustRightInd w:val="0"/>
              <w:snapToGrid w:val="0"/>
              <w:spacing w:line="360" w:lineRule="auto"/>
              <w:ind w:right="-6" w:rightChars="-3"/>
              <w:jc w:val="center"/>
              <w:rPr>
                <w:rFonts w:hAnsiTheme="minorEastAsia" w:eastAsiaTheme="minorEastAsia"/>
                <w:sz w:val="24"/>
                <w:szCs w:val="24"/>
              </w:rPr>
            </w:pPr>
            <w:r>
              <w:rPr>
                <w:rFonts w:hint="eastAsia" w:hAnsiTheme="minorEastAsia" w:eastAsiaTheme="minorEastAsia"/>
                <w:sz w:val="24"/>
                <w:szCs w:val="24"/>
                <w:lang w:val="en-US" w:eastAsia="zh-CN"/>
              </w:rPr>
              <w:t>Q</w:t>
            </w:r>
            <w:r>
              <w:rPr>
                <w:rFonts w:hint="eastAsia" w:hAnsiTheme="minorEastAsia" w:eastAsiaTheme="minorEastAsia"/>
                <w:sz w:val="24"/>
                <w:szCs w:val="24"/>
              </w:rPr>
              <w:t>7.1.3</w:t>
            </w:r>
          </w:p>
        </w:tc>
        <w:tc>
          <w:tcPr>
            <w:tcW w:w="10606" w:type="dxa"/>
          </w:tcPr>
          <w:p>
            <w:pPr>
              <w:autoSpaceDE w:val="0"/>
              <w:autoSpaceDN w:val="0"/>
              <w:adjustRightInd w:val="0"/>
              <w:snapToGrid w:val="0"/>
              <w:spacing w:line="360" w:lineRule="auto"/>
              <w:ind w:right="-6" w:rightChars="-3" w:firstLine="480" w:firstLineChars="200"/>
              <w:rPr>
                <w:rFonts w:hint="eastAsia" w:hAnsiTheme="minorEastAsia" w:eastAsiaTheme="minorEastAsia"/>
                <w:sz w:val="24"/>
                <w:szCs w:val="24"/>
                <w:lang w:eastAsia="zh-CN"/>
              </w:rPr>
            </w:pPr>
            <w:r>
              <w:rPr>
                <w:rFonts w:hint="eastAsia" w:hAnsiTheme="minorEastAsia" w:eastAsiaTheme="minorEastAsia"/>
                <w:sz w:val="24"/>
                <w:szCs w:val="24"/>
              </w:rPr>
              <w:t>公司为确保质量管理体系的建立、实施和改进需要，提供并配备主要生产设备包括</w:t>
            </w:r>
            <w:r>
              <w:rPr>
                <w:rFonts w:hint="eastAsia" w:hAnsiTheme="minorEastAsia" w:eastAsiaTheme="minorEastAsia"/>
                <w:sz w:val="24"/>
                <w:szCs w:val="24"/>
                <w:lang w:val="en-US" w:eastAsia="zh-CN"/>
              </w:rPr>
              <w:t>了</w:t>
            </w:r>
            <w:r>
              <w:rPr>
                <w:rFonts w:hint="eastAsia" w:hAnsiTheme="minorEastAsia" w:eastAsiaTheme="minorEastAsia"/>
                <w:sz w:val="24"/>
                <w:szCs w:val="24"/>
              </w:rPr>
              <w:t>电脑</w:t>
            </w:r>
            <w:r>
              <w:rPr>
                <w:rFonts w:hint="eastAsia" w:hAnsiTheme="minorEastAsia" w:eastAsiaTheme="minorEastAsia"/>
                <w:sz w:val="24"/>
                <w:szCs w:val="24"/>
                <w:lang w:eastAsia="zh-CN"/>
              </w:rPr>
              <w:t>、</w:t>
            </w:r>
            <w:r>
              <w:rPr>
                <w:rFonts w:hint="eastAsia" w:hAnsiTheme="minorEastAsia" w:eastAsiaTheme="minorEastAsia"/>
                <w:sz w:val="24"/>
                <w:szCs w:val="24"/>
              </w:rPr>
              <w:t>打印机</w:t>
            </w:r>
            <w:r>
              <w:rPr>
                <w:rFonts w:hint="eastAsia" w:hAnsiTheme="minorEastAsia" w:eastAsiaTheme="minorEastAsia"/>
                <w:sz w:val="24"/>
                <w:szCs w:val="24"/>
                <w:lang w:eastAsia="zh-CN"/>
              </w:rPr>
              <w:t>、</w:t>
            </w:r>
            <w:r>
              <w:rPr>
                <w:rFonts w:hint="eastAsia" w:hAnsiTheme="minorEastAsia" w:eastAsiaTheme="minorEastAsia"/>
                <w:sz w:val="24"/>
                <w:szCs w:val="24"/>
              </w:rPr>
              <w:t>复印机</w:t>
            </w:r>
            <w:r>
              <w:rPr>
                <w:rFonts w:hint="eastAsia" w:hAnsiTheme="minorEastAsia" w:eastAsiaTheme="minorEastAsia"/>
                <w:sz w:val="24"/>
                <w:szCs w:val="24"/>
                <w:lang w:eastAsia="zh-CN"/>
              </w:rPr>
              <w:t>、</w:t>
            </w:r>
            <w:r>
              <w:rPr>
                <w:rFonts w:hint="eastAsia" w:hAnsiTheme="minorEastAsia" w:eastAsiaTheme="minorEastAsia"/>
                <w:sz w:val="24"/>
                <w:szCs w:val="24"/>
              </w:rPr>
              <w:t>扫描机</w:t>
            </w:r>
            <w:r>
              <w:rPr>
                <w:rFonts w:hint="eastAsia" w:hAnsiTheme="minorEastAsia" w:eastAsiaTheme="minorEastAsia"/>
                <w:sz w:val="24"/>
                <w:szCs w:val="24"/>
                <w:lang w:eastAsia="zh-CN"/>
              </w:rPr>
              <w:t>等</w:t>
            </w:r>
            <w:r>
              <w:rPr>
                <w:rFonts w:hint="eastAsia" w:hAnsiTheme="minorEastAsia" w:eastAsiaTheme="minorEastAsia"/>
                <w:sz w:val="24"/>
                <w:szCs w:val="24"/>
                <w:lang w:val="en-US" w:eastAsia="zh-CN"/>
              </w:rPr>
              <w:t>办公</w:t>
            </w:r>
            <w:r>
              <w:rPr>
                <w:rFonts w:hint="eastAsia" w:hAnsiTheme="minorEastAsia" w:eastAsiaTheme="minorEastAsia"/>
                <w:sz w:val="24"/>
                <w:szCs w:val="24"/>
              </w:rPr>
              <w:t>设备/设施。现有基础设施配备较充分、齐全，满足日常经营和管理体系的实施和改进需要</w:t>
            </w:r>
            <w:r>
              <w:rPr>
                <w:rFonts w:hint="eastAsia" w:hAnsiTheme="minorEastAsia" w:eastAsiaTheme="minorEastAsia"/>
                <w:sz w:val="24"/>
                <w:szCs w:val="24"/>
                <w:lang w:eastAsia="zh-CN"/>
              </w:rPr>
              <w:t>。</w:t>
            </w:r>
          </w:p>
        </w:tc>
        <w:tc>
          <w:tcPr>
            <w:tcW w:w="1585" w:type="dxa"/>
          </w:tcPr>
          <w:p>
            <w:pPr>
              <w:spacing w:line="360" w:lineRule="auto"/>
              <w:rPr>
                <w:rFonts w:eastAsiaTheme="minorEastAsia"/>
                <w:sz w:val="24"/>
                <w:szCs w:val="24"/>
              </w:rPr>
            </w:pPr>
            <w:r>
              <w:rPr>
                <w:rFonts w:hint="eastAsia" w:eastAsiaTheme="minorEastAsia"/>
                <w:sz w:val="24"/>
                <w:szCs w:val="24"/>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242" w:type="dxa"/>
            <w:vAlign w:val="center"/>
          </w:tcPr>
          <w:p>
            <w:pPr>
              <w:autoSpaceDE w:val="0"/>
              <w:autoSpaceDN w:val="0"/>
              <w:adjustRightInd w:val="0"/>
              <w:snapToGrid w:val="0"/>
              <w:spacing w:line="360" w:lineRule="auto"/>
              <w:ind w:right="-6" w:rightChars="-3"/>
              <w:rPr>
                <w:rFonts w:hAnsiTheme="minorEastAsia" w:eastAsiaTheme="minorEastAsia"/>
                <w:sz w:val="24"/>
                <w:szCs w:val="24"/>
              </w:rPr>
            </w:pPr>
            <w:r>
              <w:rPr>
                <w:rFonts w:hint="eastAsia" w:hAnsiTheme="minorEastAsia" w:eastAsiaTheme="minorEastAsia"/>
                <w:sz w:val="24"/>
                <w:szCs w:val="24"/>
              </w:rPr>
              <w:t>过程运行环境</w:t>
            </w:r>
          </w:p>
        </w:tc>
        <w:tc>
          <w:tcPr>
            <w:tcW w:w="1276" w:type="dxa"/>
            <w:vAlign w:val="center"/>
          </w:tcPr>
          <w:p>
            <w:pPr>
              <w:autoSpaceDE w:val="0"/>
              <w:autoSpaceDN w:val="0"/>
              <w:adjustRightInd w:val="0"/>
              <w:snapToGrid w:val="0"/>
              <w:spacing w:line="360" w:lineRule="auto"/>
              <w:ind w:right="-6" w:rightChars="-3"/>
              <w:jc w:val="center"/>
              <w:rPr>
                <w:rFonts w:hAnsiTheme="minorEastAsia" w:eastAsiaTheme="minorEastAsia"/>
                <w:sz w:val="24"/>
                <w:szCs w:val="24"/>
              </w:rPr>
            </w:pPr>
            <w:r>
              <w:rPr>
                <w:rFonts w:hint="eastAsia" w:hAnsiTheme="minorEastAsia" w:eastAsiaTheme="minorEastAsia"/>
                <w:sz w:val="24"/>
                <w:szCs w:val="24"/>
                <w:lang w:val="en-US" w:eastAsia="zh-CN"/>
              </w:rPr>
              <w:t>Q</w:t>
            </w:r>
            <w:r>
              <w:rPr>
                <w:rFonts w:hint="eastAsia" w:hAnsiTheme="minorEastAsia" w:eastAsiaTheme="minorEastAsia"/>
                <w:sz w:val="24"/>
                <w:szCs w:val="24"/>
              </w:rPr>
              <w:t>7.1.4</w:t>
            </w:r>
          </w:p>
        </w:tc>
        <w:tc>
          <w:tcPr>
            <w:tcW w:w="10606" w:type="dxa"/>
          </w:tcPr>
          <w:p>
            <w:pPr>
              <w:autoSpaceDE w:val="0"/>
              <w:autoSpaceDN w:val="0"/>
              <w:adjustRightInd w:val="0"/>
              <w:snapToGrid w:val="0"/>
              <w:spacing w:line="360" w:lineRule="auto"/>
              <w:ind w:right="-6" w:rightChars="-3" w:firstLine="480" w:firstLineChars="200"/>
              <w:rPr>
                <w:rFonts w:hint="eastAsia" w:hAnsiTheme="minorEastAsia" w:eastAsiaTheme="minorEastAsia"/>
                <w:sz w:val="24"/>
                <w:szCs w:val="24"/>
                <w:lang w:val="en-US" w:eastAsia="zh-CN"/>
              </w:rPr>
            </w:pPr>
            <w:r>
              <w:rPr>
                <w:rFonts w:hint="eastAsia" w:hAnsiTheme="minorEastAsia" w:eastAsiaTheme="minorEastAsia"/>
                <w:sz w:val="24"/>
                <w:szCs w:val="24"/>
                <w:lang w:val="en-US" w:eastAsia="zh-CN"/>
              </w:rPr>
              <w:t>策划并制定了《工作环境和管理要求》，现场观察办公区、生产车间环境卫生管理，工作场所布局合理，温湿度适宜，照明良好，满足办公需求。有“办公环境卫生管理制度”、“安全防火规定等规章制度”等规章制度。基本满足要求。</w:t>
            </w:r>
          </w:p>
          <w:p>
            <w:pPr>
              <w:autoSpaceDE w:val="0"/>
              <w:autoSpaceDN w:val="0"/>
              <w:adjustRightInd w:val="0"/>
              <w:snapToGrid w:val="0"/>
              <w:spacing w:line="360" w:lineRule="auto"/>
              <w:ind w:right="-6" w:rightChars="-3" w:firstLine="480" w:firstLineChars="200"/>
              <w:rPr>
                <w:rFonts w:hint="eastAsia" w:hAnsiTheme="minorEastAsia" w:eastAsiaTheme="minorEastAsia"/>
                <w:sz w:val="24"/>
                <w:szCs w:val="24"/>
                <w:lang w:val="en-US" w:eastAsia="zh-CN"/>
              </w:rPr>
            </w:pPr>
            <w:r>
              <w:rPr>
                <w:rFonts w:hint="eastAsia" w:hAnsiTheme="minorEastAsia" w:eastAsiaTheme="minorEastAsia"/>
                <w:sz w:val="24"/>
                <w:szCs w:val="24"/>
                <w:lang w:val="en-US" w:eastAsia="zh-CN"/>
              </w:rPr>
              <w:t>经与主管人员交谈，其对本部门在本条款管理中的职责、分工和接口关系清楚掌握，基本符合文件要求。</w:t>
            </w:r>
          </w:p>
          <w:p>
            <w:pPr>
              <w:autoSpaceDE w:val="0"/>
              <w:autoSpaceDN w:val="0"/>
              <w:adjustRightInd w:val="0"/>
              <w:snapToGrid w:val="0"/>
              <w:spacing w:line="360" w:lineRule="auto"/>
              <w:ind w:right="-6" w:rightChars="-3" w:firstLine="480" w:firstLineChars="200"/>
              <w:rPr>
                <w:rFonts w:hint="eastAsia" w:hAnsiTheme="minorEastAsia" w:eastAsiaTheme="minorEastAsia"/>
                <w:sz w:val="24"/>
                <w:szCs w:val="24"/>
                <w:lang w:val="en-US" w:eastAsia="zh-CN"/>
              </w:rPr>
            </w:pPr>
            <w:r>
              <w:rPr>
                <w:rFonts w:hint="eastAsia" w:hAnsiTheme="minorEastAsia" w:eastAsiaTheme="minorEastAsia"/>
                <w:sz w:val="24"/>
                <w:szCs w:val="24"/>
                <w:lang w:val="en-US" w:eastAsia="zh-CN"/>
              </w:rPr>
              <w:t>公司现场观察，公司办公场所和生产场所均环境良好，满足办公需要，无特殊环境要求。</w:t>
            </w:r>
          </w:p>
        </w:tc>
        <w:tc>
          <w:tcPr>
            <w:tcW w:w="1585" w:type="dxa"/>
          </w:tcPr>
          <w:p>
            <w:pPr>
              <w:spacing w:line="360" w:lineRule="auto"/>
              <w:rPr>
                <w:rFonts w:eastAsiaTheme="minorEastAsia"/>
                <w:sz w:val="24"/>
                <w:szCs w:val="24"/>
              </w:rPr>
            </w:pPr>
            <w:r>
              <w:rPr>
                <w:rFonts w:hint="eastAsia" w:eastAsiaTheme="minorEastAsia"/>
                <w:sz w:val="24"/>
                <w:szCs w:val="24"/>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1242" w:type="dxa"/>
            <w:vAlign w:val="center"/>
          </w:tcPr>
          <w:p>
            <w:pPr>
              <w:autoSpaceDE w:val="0"/>
              <w:autoSpaceDN w:val="0"/>
              <w:adjustRightInd w:val="0"/>
              <w:snapToGrid w:val="0"/>
              <w:spacing w:line="360" w:lineRule="auto"/>
              <w:ind w:right="-6" w:rightChars="-3"/>
              <w:rPr>
                <w:rFonts w:hAnsiTheme="minorEastAsia" w:eastAsiaTheme="minorEastAsia"/>
                <w:sz w:val="24"/>
                <w:szCs w:val="24"/>
              </w:rPr>
            </w:pPr>
            <w:r>
              <w:rPr>
                <w:rFonts w:hint="eastAsia" w:hAnsiTheme="minorEastAsia" w:eastAsiaTheme="minorEastAsia"/>
                <w:sz w:val="24"/>
                <w:szCs w:val="24"/>
              </w:rPr>
              <w:t>监视和测量资源</w:t>
            </w:r>
          </w:p>
        </w:tc>
        <w:tc>
          <w:tcPr>
            <w:tcW w:w="1276" w:type="dxa"/>
            <w:vAlign w:val="center"/>
          </w:tcPr>
          <w:p>
            <w:pPr>
              <w:autoSpaceDE w:val="0"/>
              <w:autoSpaceDN w:val="0"/>
              <w:adjustRightInd w:val="0"/>
              <w:snapToGrid w:val="0"/>
              <w:spacing w:line="360" w:lineRule="auto"/>
              <w:ind w:right="-6" w:rightChars="-3"/>
              <w:jc w:val="center"/>
              <w:rPr>
                <w:rFonts w:hint="eastAsia" w:hAnsiTheme="minorEastAsia" w:eastAsiaTheme="minorEastAsia"/>
                <w:sz w:val="24"/>
                <w:szCs w:val="24"/>
                <w:lang w:val="en-US" w:eastAsia="zh-CN"/>
              </w:rPr>
            </w:pPr>
            <w:r>
              <w:rPr>
                <w:rFonts w:hint="eastAsia" w:hAnsiTheme="minorEastAsia" w:eastAsiaTheme="minorEastAsia"/>
                <w:sz w:val="24"/>
                <w:szCs w:val="24"/>
                <w:lang w:val="en-US" w:eastAsia="zh-CN"/>
              </w:rPr>
              <w:t>Q</w:t>
            </w:r>
            <w:r>
              <w:rPr>
                <w:rFonts w:hint="eastAsia" w:hAnsiTheme="minorEastAsia" w:eastAsiaTheme="minorEastAsia"/>
                <w:sz w:val="24"/>
                <w:szCs w:val="24"/>
              </w:rPr>
              <w:t>7.1.</w:t>
            </w:r>
            <w:r>
              <w:rPr>
                <w:rFonts w:hint="eastAsia" w:hAnsiTheme="minorEastAsia" w:eastAsiaTheme="minorEastAsia"/>
                <w:sz w:val="24"/>
                <w:szCs w:val="24"/>
                <w:lang w:val="en-US" w:eastAsia="zh-CN"/>
              </w:rPr>
              <w:t>5</w:t>
            </w:r>
          </w:p>
        </w:tc>
        <w:tc>
          <w:tcPr>
            <w:tcW w:w="10606" w:type="dxa"/>
          </w:tcPr>
          <w:p>
            <w:pPr>
              <w:autoSpaceDE w:val="0"/>
              <w:autoSpaceDN w:val="0"/>
              <w:adjustRightInd w:val="0"/>
              <w:snapToGrid w:val="0"/>
              <w:spacing w:line="360" w:lineRule="auto"/>
              <w:ind w:right="-6" w:rightChars="-3" w:firstLine="480" w:firstLineChars="200"/>
              <w:jc w:val="left"/>
              <w:rPr>
                <w:rFonts w:hint="default" w:hAnsiTheme="minorEastAsia" w:eastAsiaTheme="minorEastAsia"/>
                <w:sz w:val="24"/>
                <w:szCs w:val="24"/>
                <w:lang w:val="en-US" w:eastAsia="zh-CN"/>
              </w:rPr>
            </w:pPr>
            <w:r>
              <w:rPr>
                <w:rFonts w:hint="eastAsia" w:hAnsiTheme="minorEastAsia" w:eastAsiaTheme="minorEastAsia"/>
                <w:sz w:val="24"/>
                <w:szCs w:val="24"/>
                <w:lang w:val="en-US" w:eastAsia="zh-CN"/>
              </w:rPr>
              <w:t>目前公司共有20种测量设备：防火门可靠性试验装置、抗压抗折试验机、防火门甲醛测定仪、电热鼓风干燥箱、电子天平、塞尺、游标卡尺等设备。抽查抗压抗折试验机校准报告、防火门可靠性试验装置、防火门甲醛测定仪校准报告测量溯源的要求。</w:t>
            </w:r>
            <w:r>
              <w:rPr>
                <w:rFonts w:hint="default" w:hAnsiTheme="minorEastAsia" w:eastAsiaTheme="minorEastAsia"/>
                <w:sz w:val="24"/>
                <w:szCs w:val="24"/>
                <w:lang w:val="en-US" w:eastAsia="zh-CN"/>
              </w:rPr>
              <w:drawing>
                <wp:inline distT="0" distB="0" distL="114300" distR="114300">
                  <wp:extent cx="1861185" cy="3178810"/>
                  <wp:effectExtent l="0" t="0" r="5715" b="2540"/>
                  <wp:docPr id="6" name="图片 6" descr="微信图片_2021080110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801104518"/>
                          <pic:cNvPicPr>
                            <a:picLocks noChangeAspect="1"/>
                          </pic:cNvPicPr>
                        </pic:nvPicPr>
                        <pic:blipFill>
                          <a:blip r:embed="rId7"/>
                          <a:stretch>
                            <a:fillRect/>
                          </a:stretch>
                        </pic:blipFill>
                        <pic:spPr>
                          <a:xfrm>
                            <a:off x="0" y="0"/>
                            <a:ext cx="1861185" cy="3178810"/>
                          </a:xfrm>
                          <a:prstGeom prst="rect">
                            <a:avLst/>
                          </a:prstGeom>
                        </pic:spPr>
                      </pic:pic>
                    </a:graphicData>
                  </a:graphic>
                </wp:inline>
              </w:drawing>
            </w:r>
            <w:r>
              <w:rPr>
                <w:rFonts w:hint="default" w:hAnsiTheme="minorEastAsia" w:eastAsiaTheme="minorEastAsia"/>
                <w:sz w:val="24"/>
                <w:szCs w:val="24"/>
                <w:lang w:val="en-US" w:eastAsia="zh-CN"/>
              </w:rPr>
              <w:drawing>
                <wp:inline distT="0" distB="0" distL="114300" distR="114300">
                  <wp:extent cx="2032635" cy="3169285"/>
                  <wp:effectExtent l="0" t="0" r="5715" b="12065"/>
                  <wp:docPr id="7" name="图片 7" descr="微信图片_2021080110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801104522"/>
                          <pic:cNvPicPr>
                            <a:picLocks noChangeAspect="1"/>
                          </pic:cNvPicPr>
                        </pic:nvPicPr>
                        <pic:blipFill>
                          <a:blip r:embed="rId8"/>
                          <a:stretch>
                            <a:fillRect/>
                          </a:stretch>
                        </pic:blipFill>
                        <pic:spPr>
                          <a:xfrm>
                            <a:off x="0" y="0"/>
                            <a:ext cx="2032635" cy="3169285"/>
                          </a:xfrm>
                          <a:prstGeom prst="rect">
                            <a:avLst/>
                          </a:prstGeom>
                        </pic:spPr>
                      </pic:pic>
                    </a:graphicData>
                  </a:graphic>
                </wp:inline>
              </w:drawing>
            </w:r>
            <w:r>
              <w:rPr>
                <w:rFonts w:hint="default" w:hAnsiTheme="minorEastAsia" w:eastAsiaTheme="minorEastAsia"/>
                <w:sz w:val="24"/>
                <w:szCs w:val="24"/>
                <w:lang w:val="en-US" w:eastAsia="zh-CN"/>
              </w:rPr>
              <w:drawing>
                <wp:inline distT="0" distB="0" distL="114300" distR="114300">
                  <wp:extent cx="2155825" cy="3159125"/>
                  <wp:effectExtent l="0" t="0" r="15875" b="3175"/>
                  <wp:docPr id="8" name="图片 8" descr="微信图片_2021080110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801104526"/>
                          <pic:cNvPicPr>
                            <a:picLocks noChangeAspect="1"/>
                          </pic:cNvPicPr>
                        </pic:nvPicPr>
                        <pic:blipFill>
                          <a:blip r:embed="rId9"/>
                          <a:stretch>
                            <a:fillRect/>
                          </a:stretch>
                        </pic:blipFill>
                        <pic:spPr>
                          <a:xfrm>
                            <a:off x="0" y="0"/>
                            <a:ext cx="2155825" cy="3159125"/>
                          </a:xfrm>
                          <a:prstGeom prst="rect">
                            <a:avLst/>
                          </a:prstGeom>
                        </pic:spPr>
                      </pic:pic>
                    </a:graphicData>
                  </a:graphic>
                </wp:inline>
              </w:drawing>
            </w:r>
          </w:p>
        </w:tc>
        <w:tc>
          <w:tcPr>
            <w:tcW w:w="1585" w:type="dxa"/>
          </w:tcPr>
          <w:p>
            <w:pPr>
              <w:spacing w:line="360" w:lineRule="auto"/>
              <w:rPr>
                <w:rFonts w:eastAsiaTheme="minorEastAsia"/>
                <w:sz w:val="24"/>
                <w:szCs w:val="24"/>
              </w:rPr>
            </w:pPr>
            <w:r>
              <w:rPr>
                <w:rFonts w:hint="eastAsia" w:eastAsiaTheme="minorEastAsia"/>
                <w:sz w:val="24"/>
                <w:szCs w:val="24"/>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242" w:type="dxa"/>
            <w:vAlign w:val="center"/>
          </w:tcPr>
          <w:p>
            <w:pPr>
              <w:spacing w:line="360" w:lineRule="auto"/>
              <w:rPr>
                <w:rFonts w:eastAsiaTheme="minorEastAsia"/>
                <w:sz w:val="24"/>
                <w:szCs w:val="24"/>
                <w:highlight w:val="yellow"/>
              </w:rPr>
            </w:pPr>
            <w:r>
              <w:rPr>
                <w:rFonts w:hAnsiTheme="minorEastAsia" w:eastAsiaTheme="minorEastAsia"/>
                <w:sz w:val="24"/>
                <w:szCs w:val="24"/>
              </w:rPr>
              <w:t>产品和服务的要求</w:t>
            </w:r>
          </w:p>
        </w:tc>
        <w:tc>
          <w:tcPr>
            <w:tcW w:w="1276" w:type="dxa"/>
          </w:tcPr>
          <w:p>
            <w:pPr>
              <w:spacing w:line="360" w:lineRule="auto"/>
              <w:rPr>
                <w:rFonts w:eastAsiaTheme="minorEastAsia"/>
                <w:color w:val="000000"/>
                <w:sz w:val="24"/>
                <w:szCs w:val="24"/>
                <w:highlight w:val="yellow"/>
              </w:rPr>
            </w:pPr>
            <w:r>
              <w:rPr>
                <w:rFonts w:eastAsiaTheme="minorEastAsia"/>
                <w:sz w:val="24"/>
                <w:szCs w:val="24"/>
              </w:rPr>
              <w:t>Q8.2</w:t>
            </w:r>
          </w:p>
        </w:tc>
        <w:tc>
          <w:tcPr>
            <w:tcW w:w="10606" w:type="dxa"/>
          </w:tcPr>
          <w:p>
            <w:pPr>
              <w:autoSpaceDE w:val="0"/>
              <w:autoSpaceDN w:val="0"/>
              <w:adjustRightInd w:val="0"/>
              <w:snapToGrid w:val="0"/>
              <w:spacing w:line="360" w:lineRule="auto"/>
              <w:ind w:right="-6" w:rightChars="-3" w:firstLine="480" w:firstLineChars="200"/>
              <w:rPr>
                <w:rFonts w:eastAsiaTheme="minorEastAsia"/>
                <w:sz w:val="24"/>
                <w:szCs w:val="24"/>
              </w:rPr>
            </w:pPr>
            <w:r>
              <w:rPr>
                <w:rFonts w:hAnsiTheme="minorEastAsia" w:eastAsiaTheme="minorEastAsia"/>
                <w:sz w:val="24"/>
                <w:szCs w:val="24"/>
              </w:rPr>
              <w:t>销售部负责人介绍沟通方式：主要是电话、资料传递、招投标会、交流会等形式宣传本公司有关产品及公司的有关信誉等。</w:t>
            </w:r>
          </w:p>
          <w:p>
            <w:pPr>
              <w:autoSpaceDE w:val="0"/>
              <w:autoSpaceDN w:val="0"/>
              <w:adjustRightInd w:val="0"/>
              <w:snapToGrid w:val="0"/>
              <w:spacing w:line="360" w:lineRule="auto"/>
              <w:ind w:right="-6" w:rightChars="-3" w:firstLine="480" w:firstLineChars="200"/>
              <w:rPr>
                <w:rFonts w:eastAsiaTheme="minorEastAsia"/>
                <w:sz w:val="24"/>
                <w:szCs w:val="24"/>
              </w:rPr>
            </w:pPr>
            <w:r>
              <w:rPr>
                <w:rFonts w:hAnsiTheme="minorEastAsia" w:eastAsiaTheme="minorEastAsia"/>
                <w:sz w:val="24"/>
                <w:szCs w:val="24"/>
              </w:rPr>
              <w:t>针对合同洽谈、签订、履行过程中的问题，及时电话联系，明确各自的要求，执行合同。</w:t>
            </w:r>
          </w:p>
          <w:p>
            <w:pPr>
              <w:autoSpaceDE w:val="0"/>
              <w:autoSpaceDN w:val="0"/>
              <w:adjustRightInd w:val="0"/>
              <w:snapToGrid w:val="0"/>
              <w:spacing w:line="360" w:lineRule="auto"/>
              <w:ind w:right="-6" w:rightChars="-3" w:firstLine="480" w:firstLineChars="200"/>
              <w:rPr>
                <w:rFonts w:eastAsiaTheme="minorEastAsia"/>
                <w:sz w:val="24"/>
                <w:szCs w:val="24"/>
              </w:rPr>
            </w:pPr>
            <w:r>
              <w:rPr>
                <w:rFonts w:hAnsiTheme="minorEastAsia" w:eastAsiaTheme="minorEastAsia"/>
                <w:sz w:val="24"/>
                <w:szCs w:val="24"/>
              </w:rPr>
              <w:t>目前沟通效果良好。</w:t>
            </w:r>
          </w:p>
          <w:p>
            <w:pPr>
              <w:autoSpaceDE w:val="0"/>
              <w:autoSpaceDN w:val="0"/>
              <w:adjustRightInd w:val="0"/>
              <w:snapToGrid w:val="0"/>
              <w:spacing w:line="360" w:lineRule="auto"/>
              <w:ind w:right="-6" w:rightChars="-3" w:firstLine="480" w:firstLineChars="200"/>
              <w:rPr>
                <w:rFonts w:eastAsiaTheme="minorEastAsia"/>
                <w:sz w:val="24"/>
                <w:szCs w:val="24"/>
              </w:rPr>
            </w:pPr>
            <w:r>
              <w:rPr>
                <w:rFonts w:hAnsiTheme="minorEastAsia" w:eastAsiaTheme="minorEastAsia"/>
                <w:sz w:val="24"/>
                <w:szCs w:val="24"/>
              </w:rPr>
              <w:t>公司主要通过招标会、客户的走访、交流会等了解市场的需求状态。主要以招标文件、合同、电话等形式确定与产品有关的要求，均已保存或进行相应的记录。</w:t>
            </w:r>
          </w:p>
          <w:p>
            <w:pPr>
              <w:autoSpaceDE w:val="0"/>
              <w:autoSpaceDN w:val="0"/>
              <w:adjustRightInd w:val="0"/>
              <w:snapToGrid w:val="0"/>
              <w:spacing w:line="360" w:lineRule="auto"/>
              <w:ind w:right="-6" w:rightChars="-3" w:firstLine="480" w:firstLineChars="200"/>
              <w:rPr>
                <w:rFonts w:eastAsiaTheme="minorEastAsia"/>
                <w:sz w:val="24"/>
                <w:szCs w:val="24"/>
              </w:rPr>
            </w:pPr>
            <w:r>
              <w:rPr>
                <w:rFonts w:hAnsiTheme="minorEastAsia" w:eastAsiaTheme="minorEastAsia"/>
                <w:sz w:val="24"/>
                <w:szCs w:val="24"/>
              </w:rPr>
              <w:t>由销售部业务人员直接对顾客要求进行识别、确认，对于存在的问题直接提出和顾客进行交流沟通。然后由销售部经理组织人员评审，现场合同评审记录，经评审能满足要求后由总经理或其授权人签字并加盖公司印章，然后回传给顾客。</w:t>
            </w:r>
          </w:p>
          <w:p>
            <w:pPr>
              <w:autoSpaceDE w:val="0"/>
              <w:autoSpaceDN w:val="0"/>
              <w:adjustRightInd w:val="0"/>
              <w:snapToGrid w:val="0"/>
              <w:spacing w:line="360" w:lineRule="auto"/>
              <w:ind w:right="-6" w:rightChars="-3" w:firstLine="480" w:firstLineChars="200"/>
              <w:rPr>
                <w:rFonts w:hAnsiTheme="minorEastAsia" w:eastAsiaTheme="minorEastAsia"/>
                <w:sz w:val="24"/>
                <w:szCs w:val="24"/>
              </w:rPr>
            </w:pPr>
            <w:r>
              <w:rPr>
                <w:rFonts w:hAnsiTheme="minorEastAsia" w:eastAsiaTheme="minorEastAsia"/>
                <w:sz w:val="24"/>
                <w:szCs w:val="24"/>
              </w:rPr>
              <w:t>抽</w:t>
            </w:r>
            <w:r>
              <w:rPr>
                <w:rFonts w:eastAsiaTheme="minorEastAsia"/>
                <w:sz w:val="24"/>
                <w:szCs w:val="24"/>
              </w:rPr>
              <w:t>1</w:t>
            </w:r>
            <w:r>
              <w:rPr>
                <w:rFonts w:hAnsiTheme="minorEastAsia" w:eastAsiaTheme="minorEastAsia"/>
                <w:sz w:val="24"/>
                <w:szCs w:val="24"/>
              </w:rPr>
              <w:t>）查</w:t>
            </w:r>
            <w:r>
              <w:rPr>
                <w:rFonts w:eastAsiaTheme="minorEastAsia"/>
                <w:sz w:val="24"/>
                <w:szCs w:val="24"/>
              </w:rPr>
              <w:t>20</w:t>
            </w:r>
            <w:r>
              <w:rPr>
                <w:rFonts w:hint="eastAsia" w:eastAsiaTheme="minorEastAsia"/>
                <w:sz w:val="24"/>
                <w:szCs w:val="24"/>
              </w:rPr>
              <w:t>2</w:t>
            </w:r>
            <w:r>
              <w:rPr>
                <w:rFonts w:hint="eastAsia" w:eastAsiaTheme="minorEastAsia"/>
                <w:sz w:val="24"/>
                <w:szCs w:val="24"/>
                <w:lang w:val="en-US" w:eastAsia="zh-CN"/>
              </w:rPr>
              <w:t>1</w:t>
            </w:r>
            <w:r>
              <w:rPr>
                <w:rFonts w:hint="eastAsia" w:eastAsiaTheme="minorEastAsia"/>
                <w:sz w:val="24"/>
                <w:szCs w:val="24"/>
              </w:rPr>
              <w:t>.</w:t>
            </w:r>
            <w:r>
              <w:rPr>
                <w:rFonts w:hint="eastAsia" w:eastAsiaTheme="minorEastAsia"/>
                <w:sz w:val="24"/>
                <w:szCs w:val="24"/>
                <w:lang w:val="en-US" w:eastAsia="zh-CN"/>
              </w:rPr>
              <w:t>4</w:t>
            </w:r>
            <w:r>
              <w:rPr>
                <w:rFonts w:hint="eastAsia" w:eastAsiaTheme="minorEastAsia"/>
                <w:sz w:val="24"/>
                <w:szCs w:val="24"/>
              </w:rPr>
              <w:t>.</w:t>
            </w:r>
            <w:r>
              <w:rPr>
                <w:rFonts w:hint="eastAsia" w:eastAsiaTheme="minorEastAsia"/>
                <w:sz w:val="24"/>
                <w:szCs w:val="24"/>
                <w:lang w:val="en-US" w:eastAsia="zh-CN"/>
              </w:rPr>
              <w:t>13</w:t>
            </w:r>
            <w:r>
              <w:rPr>
                <w:rFonts w:hAnsiTheme="minorEastAsia" w:eastAsiaTheme="minorEastAsia"/>
                <w:sz w:val="24"/>
                <w:szCs w:val="24"/>
              </w:rPr>
              <w:t>日的</w:t>
            </w:r>
            <w:r>
              <w:rPr>
                <w:rFonts w:hint="eastAsia" w:hAnsiTheme="minorEastAsia" w:eastAsiaTheme="minorEastAsia"/>
                <w:sz w:val="24"/>
                <w:szCs w:val="24"/>
              </w:rPr>
              <w:t>销售</w:t>
            </w:r>
            <w:r>
              <w:rPr>
                <w:rFonts w:hAnsiTheme="minorEastAsia" w:eastAsiaTheme="minorEastAsia"/>
                <w:sz w:val="24"/>
                <w:szCs w:val="24"/>
              </w:rPr>
              <w:t>合同，包括了如下内容：需方名称：</w:t>
            </w:r>
            <w:r>
              <w:rPr>
                <w:rFonts w:hint="eastAsia" w:hAnsiTheme="minorEastAsia" w:eastAsiaTheme="minorEastAsia"/>
                <w:sz w:val="24"/>
                <w:szCs w:val="24"/>
                <w:lang w:val="en-US" w:eastAsia="zh-CN"/>
              </w:rPr>
              <w:t>徐建忠</w:t>
            </w:r>
            <w:r>
              <w:rPr>
                <w:rFonts w:hAnsiTheme="minorEastAsia" w:eastAsiaTheme="minorEastAsia"/>
                <w:sz w:val="24"/>
                <w:szCs w:val="24"/>
              </w:rPr>
              <w:t>，需求产品名称：</w:t>
            </w:r>
            <w:r>
              <w:rPr>
                <w:rFonts w:hint="eastAsia" w:hAnsiTheme="minorEastAsia" w:eastAsiaTheme="minorEastAsia"/>
                <w:sz w:val="24"/>
                <w:szCs w:val="24"/>
                <w:lang w:val="en-US" w:eastAsia="zh-CN"/>
              </w:rPr>
              <w:t>钢质防火门</w:t>
            </w:r>
            <w:r>
              <w:rPr>
                <w:rFonts w:hAnsiTheme="minorEastAsia" w:eastAsiaTheme="minorEastAsia"/>
                <w:sz w:val="24"/>
                <w:szCs w:val="24"/>
              </w:rPr>
              <w:t>，</w:t>
            </w:r>
            <w:r>
              <w:rPr>
                <w:rFonts w:hint="eastAsia" w:hAnsiTheme="minorEastAsia" w:eastAsiaTheme="minorEastAsia"/>
                <w:sz w:val="24"/>
                <w:szCs w:val="24"/>
              </w:rPr>
              <w:t>数量：</w:t>
            </w:r>
            <w:r>
              <w:rPr>
                <w:rFonts w:hint="eastAsia" w:hAnsiTheme="minorEastAsia" w:eastAsiaTheme="minorEastAsia"/>
                <w:sz w:val="24"/>
                <w:szCs w:val="24"/>
                <w:lang w:val="en-US" w:eastAsia="zh-CN"/>
              </w:rPr>
              <w:t>38樘</w:t>
            </w:r>
            <w:r>
              <w:rPr>
                <w:rFonts w:hint="eastAsia" w:hAnsiTheme="minorEastAsia" w:eastAsiaTheme="minorEastAsia"/>
                <w:sz w:val="24"/>
                <w:szCs w:val="24"/>
              </w:rPr>
              <w:t>；</w:t>
            </w:r>
            <w:r>
              <w:rPr>
                <w:rFonts w:hAnsiTheme="minorEastAsia" w:eastAsiaTheme="minorEastAsia"/>
                <w:sz w:val="24"/>
                <w:szCs w:val="24"/>
              </w:rPr>
              <w:t>在合同中明确了质量标准、运输、费用结算、付款方式等要求，查合同评审记录表，</w:t>
            </w:r>
            <w:r>
              <w:rPr>
                <w:rFonts w:hint="eastAsia" w:eastAsiaTheme="minorEastAsia"/>
                <w:sz w:val="24"/>
                <w:szCs w:val="24"/>
                <w:lang w:val="en-US" w:eastAsia="zh-CN"/>
              </w:rPr>
              <w:t>许婷、倪燕华</w:t>
            </w:r>
            <w:r>
              <w:rPr>
                <w:rFonts w:hAnsiTheme="minorEastAsia" w:eastAsiaTheme="minorEastAsia"/>
                <w:sz w:val="24"/>
                <w:szCs w:val="24"/>
              </w:rPr>
              <w:t>等评审，可以签订该合同，同日经总经理批准盖章后回传了顾客。</w:t>
            </w:r>
          </w:p>
          <w:p>
            <w:pPr>
              <w:autoSpaceDE w:val="0"/>
              <w:autoSpaceDN w:val="0"/>
              <w:adjustRightInd w:val="0"/>
              <w:snapToGrid w:val="0"/>
              <w:spacing w:line="360" w:lineRule="auto"/>
              <w:ind w:right="-6" w:rightChars="-3" w:firstLine="480" w:firstLineChars="200"/>
              <w:rPr>
                <w:rFonts w:hAnsiTheme="minorEastAsia" w:eastAsiaTheme="minorEastAsia"/>
                <w:sz w:val="24"/>
                <w:szCs w:val="24"/>
              </w:rPr>
            </w:pPr>
            <w:r>
              <w:rPr>
                <w:rFonts w:hAnsiTheme="minorEastAsia" w:eastAsiaTheme="minorEastAsia"/>
                <w:sz w:val="24"/>
                <w:szCs w:val="24"/>
              </w:rPr>
              <w:t>抽</w:t>
            </w:r>
            <w:r>
              <w:rPr>
                <w:rFonts w:hint="eastAsia" w:eastAsiaTheme="minorEastAsia"/>
                <w:sz w:val="24"/>
                <w:szCs w:val="24"/>
              </w:rPr>
              <w:t>2</w:t>
            </w:r>
            <w:r>
              <w:rPr>
                <w:rFonts w:hAnsiTheme="minorEastAsia" w:eastAsiaTheme="minorEastAsia"/>
                <w:sz w:val="24"/>
                <w:szCs w:val="24"/>
              </w:rPr>
              <w:t>）查</w:t>
            </w:r>
            <w:r>
              <w:rPr>
                <w:rFonts w:eastAsiaTheme="minorEastAsia"/>
                <w:sz w:val="24"/>
                <w:szCs w:val="24"/>
              </w:rPr>
              <w:t>20</w:t>
            </w:r>
            <w:r>
              <w:rPr>
                <w:rFonts w:hint="eastAsia" w:eastAsiaTheme="minorEastAsia"/>
                <w:sz w:val="24"/>
                <w:szCs w:val="24"/>
              </w:rPr>
              <w:t>21</w:t>
            </w:r>
            <w:r>
              <w:rPr>
                <w:rFonts w:eastAsiaTheme="minorEastAsia"/>
                <w:sz w:val="24"/>
                <w:szCs w:val="24"/>
              </w:rPr>
              <w:t>.</w:t>
            </w:r>
            <w:r>
              <w:rPr>
                <w:rFonts w:hint="eastAsia" w:eastAsiaTheme="minorEastAsia"/>
                <w:sz w:val="24"/>
                <w:szCs w:val="24"/>
                <w:lang w:val="en-US" w:eastAsia="zh-CN"/>
              </w:rPr>
              <w:t>4</w:t>
            </w:r>
            <w:r>
              <w:rPr>
                <w:rFonts w:eastAsiaTheme="minorEastAsia"/>
                <w:sz w:val="24"/>
                <w:szCs w:val="24"/>
              </w:rPr>
              <w:t>.</w:t>
            </w:r>
            <w:r>
              <w:rPr>
                <w:rFonts w:hint="eastAsia" w:eastAsiaTheme="minorEastAsia"/>
                <w:sz w:val="24"/>
                <w:szCs w:val="24"/>
                <w:lang w:val="en-US" w:eastAsia="zh-CN"/>
              </w:rPr>
              <w:t>21</w:t>
            </w:r>
            <w:r>
              <w:rPr>
                <w:rFonts w:hAnsiTheme="minorEastAsia" w:eastAsiaTheme="minorEastAsia"/>
                <w:sz w:val="24"/>
                <w:szCs w:val="24"/>
              </w:rPr>
              <w:t>日的购销合同，包括了如下内容：需方名称：</w:t>
            </w:r>
            <w:r>
              <w:rPr>
                <w:rFonts w:hint="eastAsia" w:hAnsiTheme="minorEastAsia" w:eastAsiaTheme="minorEastAsia"/>
                <w:sz w:val="24"/>
                <w:szCs w:val="24"/>
                <w:lang w:val="en-US" w:eastAsia="zh-CN"/>
              </w:rPr>
              <w:t>宝胜幼儿园</w:t>
            </w:r>
            <w:r>
              <w:rPr>
                <w:rFonts w:hAnsiTheme="minorEastAsia" w:eastAsiaTheme="minorEastAsia"/>
                <w:sz w:val="24"/>
                <w:szCs w:val="24"/>
              </w:rPr>
              <w:t>，需求产品名称：</w:t>
            </w:r>
            <w:r>
              <w:rPr>
                <w:rFonts w:hint="eastAsia" w:hAnsiTheme="minorEastAsia" w:eastAsiaTheme="minorEastAsia"/>
                <w:sz w:val="24"/>
                <w:szCs w:val="24"/>
                <w:lang w:val="en-US" w:eastAsia="zh-CN"/>
              </w:rPr>
              <w:t>钢质隔热防火门</w:t>
            </w:r>
            <w:r>
              <w:rPr>
                <w:rFonts w:hAnsiTheme="minorEastAsia" w:eastAsiaTheme="minorEastAsia"/>
                <w:sz w:val="24"/>
                <w:szCs w:val="24"/>
              </w:rPr>
              <w:t>，</w:t>
            </w:r>
            <w:r>
              <w:rPr>
                <w:rFonts w:hint="eastAsia" w:hAnsiTheme="minorEastAsia" w:eastAsiaTheme="minorEastAsia"/>
                <w:sz w:val="24"/>
                <w:szCs w:val="24"/>
              </w:rPr>
              <w:t>数量：</w:t>
            </w:r>
            <w:r>
              <w:rPr>
                <w:rFonts w:hint="eastAsia" w:hAnsiTheme="minorEastAsia" w:eastAsiaTheme="minorEastAsia"/>
                <w:sz w:val="24"/>
                <w:szCs w:val="24"/>
                <w:lang w:val="en-US" w:eastAsia="zh-CN"/>
              </w:rPr>
              <w:t>27樘</w:t>
            </w:r>
            <w:r>
              <w:rPr>
                <w:rFonts w:hint="eastAsia" w:hAnsiTheme="minorEastAsia" w:eastAsiaTheme="minorEastAsia"/>
                <w:sz w:val="24"/>
                <w:szCs w:val="24"/>
              </w:rPr>
              <w:t>；</w:t>
            </w:r>
            <w:r>
              <w:rPr>
                <w:rFonts w:hAnsiTheme="minorEastAsia" w:eastAsiaTheme="minorEastAsia"/>
                <w:sz w:val="24"/>
                <w:szCs w:val="24"/>
              </w:rPr>
              <w:t>在合同中明确了质量标准、运输、费用结算、付款方式等要求，查合同评审记录表，</w:t>
            </w:r>
            <w:r>
              <w:rPr>
                <w:rFonts w:hint="eastAsia" w:eastAsiaTheme="minorEastAsia"/>
                <w:sz w:val="24"/>
                <w:szCs w:val="24"/>
                <w:lang w:val="en-US" w:eastAsia="zh-CN"/>
              </w:rPr>
              <w:t>许婷、倪燕华</w:t>
            </w:r>
            <w:r>
              <w:rPr>
                <w:rFonts w:hAnsiTheme="minorEastAsia" w:eastAsiaTheme="minorEastAsia"/>
                <w:sz w:val="24"/>
                <w:szCs w:val="24"/>
              </w:rPr>
              <w:t>等评审，可以签订该合同，同日经总经理批准盖章后回传了顾客。</w:t>
            </w:r>
          </w:p>
          <w:p>
            <w:pPr>
              <w:autoSpaceDE w:val="0"/>
              <w:autoSpaceDN w:val="0"/>
              <w:adjustRightInd w:val="0"/>
              <w:snapToGrid w:val="0"/>
              <w:spacing w:line="360" w:lineRule="auto"/>
              <w:ind w:right="-6" w:rightChars="-3" w:firstLine="480" w:firstLineChars="200"/>
              <w:rPr>
                <w:rFonts w:hint="eastAsia" w:ascii="Times New Roman" w:hAnsi="Times New Roman" w:cs="Times New Roman" w:eastAsiaTheme="minorEastAsia"/>
                <w:b w:val="0"/>
                <w:bCs w:val="0"/>
                <w:kern w:val="2"/>
                <w:sz w:val="24"/>
                <w:szCs w:val="24"/>
                <w:lang w:val="en-US" w:eastAsia="zh-CN" w:bidi="ar-SA"/>
              </w:rPr>
            </w:pPr>
            <w:r>
              <w:rPr>
                <w:rFonts w:ascii="Times New Roman" w:cs="Times New Roman" w:hAnsiTheme="minorEastAsia" w:eastAsiaTheme="minorEastAsia"/>
                <w:b w:val="0"/>
                <w:bCs w:val="0"/>
                <w:kern w:val="2"/>
                <w:sz w:val="24"/>
                <w:szCs w:val="24"/>
                <w:lang w:val="en-US" w:eastAsia="zh-CN" w:bidi="ar-SA"/>
              </w:rPr>
              <w:t>抽</w:t>
            </w:r>
            <w:r>
              <w:rPr>
                <w:rFonts w:hint="eastAsia" w:ascii="Times New Roman" w:cs="Times New Roman" w:hAnsiTheme="minorEastAsia" w:eastAsiaTheme="minorEastAsia"/>
                <w:b w:val="0"/>
                <w:bCs w:val="0"/>
                <w:kern w:val="2"/>
                <w:sz w:val="24"/>
                <w:szCs w:val="24"/>
                <w:lang w:val="en-US" w:eastAsia="zh-CN" w:bidi="ar-SA"/>
              </w:rPr>
              <w:t>3）查2021.5.25</w:t>
            </w:r>
            <w:r>
              <w:rPr>
                <w:rFonts w:hint="eastAsia" w:ascii="Times New Roman" w:hAnsi="Times New Roman" w:cs="Times New Roman" w:eastAsiaTheme="minorEastAsia"/>
                <w:b w:val="0"/>
                <w:bCs w:val="0"/>
                <w:kern w:val="2"/>
                <w:sz w:val="24"/>
                <w:szCs w:val="24"/>
                <w:lang w:val="en-US" w:eastAsia="zh-CN" w:bidi="ar-SA"/>
              </w:rPr>
              <w:t>日的购销合同，包括了如下内容：需方名称：悦海酒店幸福楼，需求产品名称：钢质隔热防火门，数量：64樘；在合同中明确了质量标准、运输、费用结算、付款方式等要求，查合同评审记录表，许婷、倪燕华等评审，可以签订该合同，同日经总经理批准盖章后回传了顾客。</w:t>
            </w:r>
          </w:p>
          <w:p>
            <w:pPr>
              <w:autoSpaceDE w:val="0"/>
              <w:autoSpaceDN w:val="0"/>
              <w:adjustRightInd w:val="0"/>
              <w:snapToGrid w:val="0"/>
              <w:spacing w:line="360" w:lineRule="auto"/>
              <w:ind w:right="-6" w:rightChars="-3" w:firstLine="480" w:firstLineChars="200"/>
              <w:rPr>
                <w:rFonts w:hAnsiTheme="minorEastAsia" w:eastAsiaTheme="minorEastAsia"/>
                <w:sz w:val="24"/>
                <w:szCs w:val="24"/>
              </w:rPr>
            </w:pPr>
            <w:r>
              <w:rPr>
                <w:rFonts w:hint="eastAsia" w:hAnsiTheme="minorEastAsia" w:eastAsiaTheme="minorEastAsia"/>
                <w:sz w:val="24"/>
                <w:szCs w:val="24"/>
              </w:rPr>
              <w:t>另抽查了其他购销合同，合同评审均在签订之前进行，保存完好，符合要求。</w:t>
            </w:r>
          </w:p>
          <w:p>
            <w:pPr>
              <w:autoSpaceDE w:val="0"/>
              <w:autoSpaceDN w:val="0"/>
              <w:adjustRightInd w:val="0"/>
              <w:snapToGrid w:val="0"/>
              <w:spacing w:line="360" w:lineRule="auto"/>
              <w:ind w:right="-6" w:rightChars="-3" w:firstLine="480" w:firstLineChars="200"/>
              <w:rPr>
                <w:rFonts w:eastAsiaTheme="minorEastAsia"/>
                <w:sz w:val="24"/>
                <w:szCs w:val="24"/>
              </w:rPr>
            </w:pPr>
            <w:r>
              <w:rPr>
                <w:rFonts w:hAnsiTheme="minorEastAsia" w:eastAsiaTheme="minorEastAsia"/>
                <w:sz w:val="24"/>
                <w:szCs w:val="24"/>
              </w:rPr>
              <w:t>销售部经理介绍：目前尚未发生合同更改的情况，询问对更改情况的控制较为明确清楚。</w:t>
            </w:r>
          </w:p>
          <w:p>
            <w:pPr>
              <w:tabs>
                <w:tab w:val="left" w:pos="6597"/>
              </w:tabs>
              <w:spacing w:line="360" w:lineRule="auto"/>
              <w:ind w:firstLine="480" w:firstLineChars="200"/>
              <w:rPr>
                <w:rFonts w:eastAsiaTheme="minorEastAsia"/>
                <w:sz w:val="24"/>
                <w:szCs w:val="24"/>
                <w:highlight w:val="yellow"/>
              </w:rPr>
            </w:pPr>
            <w:r>
              <w:rPr>
                <w:rFonts w:hAnsiTheme="minorEastAsia" w:eastAsiaTheme="minorEastAsia"/>
                <w:sz w:val="24"/>
                <w:szCs w:val="24"/>
              </w:rPr>
              <w:t>产品要求的评审基本符合标准要求。</w:t>
            </w:r>
          </w:p>
        </w:tc>
        <w:tc>
          <w:tcPr>
            <w:tcW w:w="1585" w:type="dxa"/>
          </w:tcPr>
          <w:p>
            <w:pPr>
              <w:spacing w:line="360" w:lineRule="auto"/>
              <w:rPr>
                <w:rFonts w:hint="eastAsia" w:eastAsiaTheme="minorEastAsia"/>
                <w:sz w:val="24"/>
                <w:szCs w:val="24"/>
                <w:highlight w:val="yellow"/>
                <w:lang w:eastAsia="zh-CN"/>
              </w:rPr>
            </w:pPr>
            <w:r>
              <w:rPr>
                <w:rFonts w:hint="eastAsia" w:eastAsiaTheme="minorEastAsia"/>
                <w:sz w:val="24"/>
                <w:szCs w:val="24"/>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1242" w:type="dxa"/>
          </w:tcPr>
          <w:p>
            <w:pPr>
              <w:spacing w:line="360" w:lineRule="auto"/>
              <w:rPr>
                <w:rFonts w:hAnsiTheme="minorEastAsia" w:eastAsiaTheme="minorEastAsia"/>
                <w:color w:val="000000"/>
                <w:sz w:val="24"/>
                <w:szCs w:val="24"/>
              </w:rPr>
            </w:pPr>
            <w:r>
              <w:rPr>
                <w:rFonts w:hint="eastAsia" w:ascii="宋体" w:hAnsi="宋体" w:cs="Arial"/>
                <w:sz w:val="21"/>
                <w:szCs w:val="21"/>
              </w:rPr>
              <w:t>产品和服务的设计和开发</w:t>
            </w:r>
            <w:r>
              <w:rPr>
                <w:rFonts w:hint="eastAsia" w:ascii="宋体" w:hAnsi="宋体" w:cs="Arial"/>
                <w:sz w:val="21"/>
                <w:szCs w:val="21"/>
                <w:lang w:val="en-US" w:eastAsia="zh-CN"/>
              </w:rPr>
              <w:t>删减确认</w:t>
            </w:r>
          </w:p>
        </w:tc>
        <w:tc>
          <w:tcPr>
            <w:tcW w:w="1276" w:type="dxa"/>
          </w:tcPr>
          <w:p>
            <w:pPr>
              <w:spacing w:line="360" w:lineRule="auto"/>
              <w:rPr>
                <w:rFonts w:hint="default" w:eastAsiaTheme="minorEastAsia"/>
                <w:color w:val="000000"/>
                <w:sz w:val="24"/>
                <w:szCs w:val="24"/>
                <w:lang w:val="en-US" w:eastAsia="zh-CN"/>
              </w:rPr>
            </w:pPr>
            <w:r>
              <w:rPr>
                <w:rFonts w:hint="eastAsia" w:eastAsiaTheme="minorEastAsia"/>
                <w:color w:val="000000"/>
                <w:sz w:val="24"/>
                <w:szCs w:val="24"/>
                <w:lang w:val="en-US" w:eastAsia="zh-CN"/>
              </w:rPr>
              <w:t>Q8.3</w:t>
            </w:r>
          </w:p>
        </w:tc>
        <w:tc>
          <w:tcPr>
            <w:tcW w:w="10606" w:type="dxa"/>
          </w:tcPr>
          <w:p>
            <w:pPr>
              <w:spacing w:line="360" w:lineRule="auto"/>
              <w:ind w:firstLine="480" w:firstLineChars="200"/>
              <w:rPr>
                <w:rFonts w:hint="default" w:eastAsia="宋体" w:hAnsiTheme="minorEastAsia"/>
                <w:color w:val="000000"/>
                <w:sz w:val="24"/>
                <w:szCs w:val="24"/>
                <w:lang w:val="en-US" w:eastAsia="zh-CN"/>
              </w:rPr>
            </w:pPr>
            <w:r>
              <w:rPr>
                <w:rFonts w:hint="eastAsia" w:hAnsiTheme="minorEastAsia" w:eastAsiaTheme="minorEastAsia"/>
                <w:sz w:val="24"/>
                <w:szCs w:val="24"/>
                <w:lang w:val="en-US" w:eastAsia="zh-CN"/>
              </w:rPr>
              <w:t>公司</w:t>
            </w:r>
            <w:r>
              <w:rPr>
                <w:rFonts w:hAnsiTheme="minorEastAsia" w:eastAsiaTheme="minorEastAsia"/>
                <w:sz w:val="24"/>
                <w:szCs w:val="24"/>
              </w:rPr>
              <w:t>钢质防火门、防盗门</w:t>
            </w:r>
            <w:r>
              <w:rPr>
                <w:rFonts w:hint="eastAsia" w:hAnsiTheme="minorEastAsia" w:eastAsiaTheme="minorEastAsia"/>
                <w:sz w:val="24"/>
                <w:szCs w:val="24"/>
                <w:lang w:val="en-US" w:eastAsia="zh-CN"/>
              </w:rPr>
              <w:t xml:space="preserve">按国家、行业标准、客户及法律法规要求执行，不存在设计和开发，因此Q8.3不适用，故删减此条款，不影响公司确保产品和服务的能力和责任，对增强顾客满意不会产生影响。 </w:t>
            </w:r>
          </w:p>
        </w:tc>
        <w:tc>
          <w:tcPr>
            <w:tcW w:w="1585" w:type="dxa"/>
          </w:tcPr>
          <w:p>
            <w:pPr>
              <w:spacing w:line="360" w:lineRule="auto"/>
              <w:rPr>
                <w:rFonts w:eastAsiaTheme="minorEastAsia"/>
                <w:sz w:val="24"/>
                <w:szCs w:val="24"/>
              </w:rPr>
            </w:pPr>
            <w:r>
              <w:rPr>
                <w:rFonts w:hint="eastAsia" w:eastAsiaTheme="minorEastAsia"/>
                <w:sz w:val="24"/>
                <w:szCs w:val="24"/>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1242" w:type="dxa"/>
          </w:tcPr>
          <w:p>
            <w:pPr>
              <w:spacing w:line="360" w:lineRule="auto"/>
              <w:rPr>
                <w:rFonts w:hint="default" w:hAnsiTheme="minorEastAsia" w:eastAsiaTheme="minorEastAsia"/>
                <w:color w:val="000000"/>
                <w:sz w:val="24"/>
                <w:szCs w:val="24"/>
                <w:lang w:val="en-US" w:eastAsia="zh-CN"/>
              </w:rPr>
            </w:pPr>
            <w:r>
              <w:rPr>
                <w:rFonts w:hint="eastAsia" w:hAnsiTheme="minorEastAsia" w:eastAsiaTheme="minorEastAsia"/>
                <w:color w:val="000000"/>
                <w:sz w:val="24"/>
                <w:szCs w:val="24"/>
                <w:lang w:val="en-US" w:eastAsia="zh-CN"/>
              </w:rPr>
              <w:t>生产和服</w:t>
            </w:r>
            <w:r>
              <w:rPr>
                <w:rFonts w:hint="eastAsia" w:hAnsiTheme="minorEastAsia" w:eastAsiaTheme="minorEastAsia"/>
                <w:color w:val="000000"/>
                <w:sz w:val="24"/>
                <w:szCs w:val="24"/>
                <w:highlight w:val="none"/>
                <w:lang w:val="en-US" w:eastAsia="zh-CN"/>
              </w:rPr>
              <w:t>务提供的控制</w:t>
            </w:r>
          </w:p>
        </w:tc>
        <w:tc>
          <w:tcPr>
            <w:tcW w:w="1276" w:type="dxa"/>
          </w:tcPr>
          <w:p>
            <w:pPr>
              <w:spacing w:line="360" w:lineRule="auto"/>
              <w:rPr>
                <w:rFonts w:hint="default" w:eastAsiaTheme="minorEastAsia"/>
                <w:color w:val="000000"/>
                <w:sz w:val="24"/>
                <w:szCs w:val="24"/>
                <w:lang w:val="en-US" w:eastAsia="zh-CN"/>
              </w:rPr>
            </w:pPr>
            <w:r>
              <w:rPr>
                <w:rFonts w:hint="eastAsia" w:eastAsiaTheme="minorEastAsia"/>
                <w:color w:val="000000"/>
                <w:sz w:val="24"/>
                <w:szCs w:val="24"/>
                <w:lang w:val="en-US" w:eastAsia="zh-CN"/>
              </w:rPr>
              <w:t>Q8.5.1</w:t>
            </w:r>
          </w:p>
        </w:tc>
        <w:tc>
          <w:tcPr>
            <w:tcW w:w="10606" w:type="dxa"/>
          </w:tcPr>
          <w:p>
            <w:pPr>
              <w:spacing w:line="360" w:lineRule="auto"/>
              <w:ind w:firstLine="480" w:firstLineChars="200"/>
              <w:rPr>
                <w:rFonts w:hint="eastAsia" w:hAnsiTheme="minorEastAsia" w:eastAsiaTheme="minorEastAsia"/>
                <w:sz w:val="24"/>
                <w:szCs w:val="24"/>
                <w:lang w:val="en-US" w:eastAsia="zh-CN"/>
              </w:rPr>
            </w:pPr>
            <w:r>
              <w:rPr>
                <w:rFonts w:hint="eastAsia" w:hAnsiTheme="minorEastAsia" w:eastAsiaTheme="minorEastAsia"/>
                <w:sz w:val="24"/>
                <w:szCs w:val="24"/>
                <w:lang w:val="en-US" w:eastAsia="zh-CN"/>
              </w:rPr>
              <w:t>公司制定并执行《销售管理程序》， 进行客户沟通、业务洽谈，参加投标、报价，商务谈判和合同签订，销售内勤根据合同交货期拟定发货计划，督导备货情况，确认备货充足，销售部经理确认后方可出厂销售；</w:t>
            </w:r>
          </w:p>
          <w:p>
            <w:pPr>
              <w:spacing w:line="360" w:lineRule="auto"/>
              <w:ind w:firstLine="480" w:firstLineChars="200"/>
              <w:rPr>
                <w:rFonts w:hint="eastAsia" w:hAnsiTheme="minorEastAsia" w:eastAsiaTheme="minorEastAsia"/>
                <w:sz w:val="24"/>
                <w:szCs w:val="24"/>
                <w:lang w:val="en-US" w:eastAsia="zh-CN"/>
              </w:rPr>
            </w:pPr>
            <w:r>
              <w:rPr>
                <w:rFonts w:hint="eastAsia" w:hAnsiTheme="minorEastAsia" w:eastAsiaTheme="minorEastAsia"/>
                <w:sz w:val="24"/>
                <w:szCs w:val="24"/>
                <w:lang w:val="en-US" w:eastAsia="zh-CN"/>
              </w:rPr>
              <w:t>直接交付的产品，由销售部在采购合同中要求供应商直接发货给客户，由客户对产品进行检验</w:t>
            </w:r>
          </w:p>
          <w:p>
            <w:pPr>
              <w:spacing w:line="360" w:lineRule="auto"/>
              <w:ind w:firstLine="480" w:firstLineChars="200"/>
              <w:rPr>
                <w:rFonts w:hint="eastAsia" w:hAnsiTheme="minorEastAsia" w:eastAsiaTheme="minorEastAsia"/>
                <w:sz w:val="24"/>
                <w:szCs w:val="24"/>
                <w:lang w:val="en-US" w:eastAsia="zh-CN"/>
              </w:rPr>
            </w:pPr>
            <w:r>
              <w:rPr>
                <w:rFonts w:hint="eastAsia" w:hAnsiTheme="minorEastAsia" w:eastAsiaTheme="minorEastAsia"/>
                <w:sz w:val="24"/>
                <w:szCs w:val="24"/>
                <w:lang w:val="en-US" w:eastAsia="zh-CN"/>
              </w:rPr>
              <w:t>需要检验的产品，由销售部要求供应商送货到公司，销售部进行抽样质量验证；销售部检验合格，出具产品检验报告，销售部发货给客户</w:t>
            </w:r>
          </w:p>
          <w:p>
            <w:pPr>
              <w:spacing w:line="360" w:lineRule="auto"/>
              <w:ind w:firstLine="480" w:firstLineChars="200"/>
              <w:rPr>
                <w:rFonts w:hint="eastAsia" w:hAnsiTheme="minorEastAsia" w:eastAsiaTheme="minorEastAsia"/>
                <w:sz w:val="24"/>
                <w:szCs w:val="24"/>
                <w:lang w:val="en-US" w:eastAsia="zh-CN"/>
              </w:rPr>
            </w:pPr>
            <w:r>
              <w:rPr>
                <w:rFonts w:hint="eastAsia" w:hAnsiTheme="minorEastAsia" w:eastAsiaTheme="minorEastAsia"/>
                <w:sz w:val="24"/>
                <w:szCs w:val="24"/>
                <w:lang w:val="en-US" w:eastAsia="zh-CN"/>
              </w:rPr>
              <w:t xml:space="preserve"> 提供钢质防火门、防盗门销售记录，执行程序规定。 </w:t>
            </w:r>
          </w:p>
          <w:p>
            <w:pPr>
              <w:spacing w:line="360" w:lineRule="auto"/>
              <w:ind w:firstLine="480" w:firstLineChars="200"/>
              <w:rPr>
                <w:rFonts w:hint="eastAsia" w:hAnsiTheme="minorEastAsia" w:eastAsiaTheme="minorEastAsia"/>
                <w:sz w:val="24"/>
                <w:szCs w:val="24"/>
                <w:lang w:val="en-US" w:eastAsia="zh-CN"/>
              </w:rPr>
            </w:pPr>
            <w:r>
              <w:rPr>
                <w:rFonts w:hint="eastAsia" w:ascii="Times New Roman" w:cs="Times New Roman" w:hAnsiTheme="minorEastAsia" w:eastAsiaTheme="minorEastAsia"/>
                <w:b w:val="0"/>
                <w:bCs w:val="0"/>
                <w:kern w:val="2"/>
                <w:sz w:val="24"/>
                <w:szCs w:val="24"/>
                <w:lang w:val="en-US" w:eastAsia="zh-CN" w:bidi="ar-SA"/>
              </w:rPr>
              <w:t xml:space="preserve"> 抽查销售服务过程确认记录，基本满足控制要求</w:t>
            </w:r>
          </w:p>
          <w:p>
            <w:pPr>
              <w:spacing w:line="360" w:lineRule="auto"/>
              <w:ind w:firstLine="420" w:firstLineChars="200"/>
              <w:rPr>
                <w:rFonts w:hint="default"/>
                <w:lang w:val="en-US" w:eastAsia="zh-CN"/>
              </w:rPr>
            </w:pPr>
            <w:r>
              <w:rPr>
                <w:rFonts w:hint="default"/>
                <w:lang w:val="en-US" w:eastAsia="zh-CN"/>
              </w:rPr>
              <w:drawing>
                <wp:inline distT="0" distB="0" distL="114300" distR="114300">
                  <wp:extent cx="3378835" cy="3866515"/>
                  <wp:effectExtent l="0" t="0" r="12065" b="635"/>
                  <wp:docPr id="5" name="图片 5" descr="微信图片_2021080110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801103503"/>
                          <pic:cNvPicPr>
                            <a:picLocks noChangeAspect="1"/>
                          </pic:cNvPicPr>
                        </pic:nvPicPr>
                        <pic:blipFill>
                          <a:blip r:embed="rId10"/>
                          <a:stretch>
                            <a:fillRect/>
                          </a:stretch>
                        </pic:blipFill>
                        <pic:spPr>
                          <a:xfrm>
                            <a:off x="0" y="0"/>
                            <a:ext cx="3378835" cy="3866515"/>
                          </a:xfrm>
                          <a:prstGeom prst="rect">
                            <a:avLst/>
                          </a:prstGeom>
                        </pic:spPr>
                      </pic:pic>
                    </a:graphicData>
                  </a:graphic>
                </wp:inline>
              </w:drawing>
            </w:r>
          </w:p>
          <w:p>
            <w:pPr>
              <w:pStyle w:val="3"/>
              <w:rPr>
                <w:rFonts w:hint="default"/>
                <w:lang w:val="en-US" w:eastAsia="zh-CN"/>
              </w:rPr>
            </w:pPr>
          </w:p>
        </w:tc>
        <w:tc>
          <w:tcPr>
            <w:tcW w:w="1585" w:type="dxa"/>
          </w:tcPr>
          <w:p>
            <w:pPr>
              <w:spacing w:line="360" w:lineRule="auto"/>
              <w:rPr>
                <w:rFonts w:eastAsiaTheme="minorEastAsia"/>
                <w:sz w:val="24"/>
                <w:szCs w:val="24"/>
              </w:rPr>
            </w:pPr>
            <w:r>
              <w:rPr>
                <w:rFonts w:hint="eastAsia" w:eastAsiaTheme="minorEastAsia"/>
                <w:sz w:val="24"/>
                <w:szCs w:val="24"/>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1242" w:type="dxa"/>
          </w:tcPr>
          <w:p>
            <w:pPr>
              <w:spacing w:line="360" w:lineRule="auto"/>
              <w:rPr>
                <w:rFonts w:hint="default" w:hAnsiTheme="minorEastAsia" w:eastAsiaTheme="minorEastAsia"/>
                <w:color w:val="000000"/>
                <w:sz w:val="24"/>
                <w:szCs w:val="24"/>
                <w:lang w:val="en-US" w:eastAsia="zh-CN"/>
              </w:rPr>
            </w:pPr>
            <w:r>
              <w:rPr>
                <w:rFonts w:hint="eastAsia" w:hAnsiTheme="minorEastAsia" w:eastAsiaTheme="minorEastAsia"/>
                <w:color w:val="000000"/>
                <w:sz w:val="24"/>
                <w:szCs w:val="24"/>
                <w:lang w:val="en-US" w:eastAsia="zh-CN"/>
              </w:rPr>
              <w:t>标识和可追溯性</w:t>
            </w:r>
          </w:p>
        </w:tc>
        <w:tc>
          <w:tcPr>
            <w:tcW w:w="1276" w:type="dxa"/>
          </w:tcPr>
          <w:p>
            <w:pPr>
              <w:spacing w:line="360" w:lineRule="auto"/>
              <w:rPr>
                <w:rFonts w:hint="default" w:hAnsiTheme="minorEastAsia" w:eastAsiaTheme="minorEastAsia"/>
                <w:color w:val="000000"/>
                <w:sz w:val="24"/>
                <w:szCs w:val="24"/>
                <w:lang w:val="en-US"/>
              </w:rPr>
            </w:pPr>
            <w:r>
              <w:rPr>
                <w:rFonts w:hint="eastAsia" w:hAnsiTheme="minorEastAsia" w:eastAsiaTheme="minorEastAsia"/>
                <w:color w:val="000000"/>
                <w:sz w:val="24"/>
                <w:szCs w:val="24"/>
                <w:lang w:val="en-US" w:eastAsia="zh-CN"/>
              </w:rPr>
              <w:t>Q8.5.2</w:t>
            </w:r>
          </w:p>
        </w:tc>
        <w:tc>
          <w:tcPr>
            <w:tcW w:w="10606" w:type="dxa"/>
          </w:tcPr>
          <w:p>
            <w:pPr>
              <w:spacing w:beforeLines="30" w:afterLines="30" w:line="288" w:lineRule="auto"/>
              <w:ind w:firstLine="480" w:firstLineChars="200"/>
            </w:pPr>
            <w:r>
              <w:rPr>
                <w:rFonts w:hAnsiTheme="minorEastAsia" w:eastAsiaTheme="minorEastAsia"/>
                <w:sz w:val="24"/>
                <w:szCs w:val="24"/>
              </w:rPr>
              <w:t>产品标识主要通过划分区域、检验记录等进行标识，状态标识分为</w:t>
            </w:r>
            <w:r>
              <w:rPr>
                <w:rFonts w:hint="eastAsia" w:hAnsiTheme="minorEastAsia" w:eastAsiaTheme="minorEastAsia"/>
                <w:sz w:val="24"/>
                <w:szCs w:val="24"/>
                <w:lang w:val="en-US" w:eastAsia="zh-CN"/>
              </w:rPr>
              <w:t>合格</w:t>
            </w:r>
            <w:r>
              <w:rPr>
                <w:rFonts w:hAnsiTheme="minorEastAsia" w:eastAsiaTheme="minorEastAsia"/>
                <w:sz w:val="24"/>
                <w:szCs w:val="24"/>
              </w:rPr>
              <w:t>、不</w:t>
            </w:r>
            <w:r>
              <w:rPr>
                <w:rFonts w:hint="eastAsia" w:hAnsiTheme="minorEastAsia" w:eastAsiaTheme="minorEastAsia"/>
                <w:sz w:val="24"/>
                <w:szCs w:val="24"/>
                <w:lang w:val="en-US" w:eastAsia="zh-CN"/>
              </w:rPr>
              <w:t>合格</w:t>
            </w:r>
            <w:r>
              <w:rPr>
                <w:rFonts w:hAnsiTheme="minorEastAsia" w:eastAsiaTheme="minorEastAsia"/>
                <w:sz w:val="24"/>
                <w:szCs w:val="24"/>
              </w:rPr>
              <w:t>、待检等，生产加工过程中和产品监视和测量过程中有采取适当的方式对产品进行标识（含检验状态），标识有确保唯一性，当有追溯性要求时，可确保在必要时进行追溯。</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原材料依据不同的类型和防护要求进行防护运输，产品运输要求包装等。</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生产车间原材料分类分区放置在指定仓库、产品标识方法得当、未发现不同类型和状态产品发生混淆现象。标识和可追溯性基本符合标准要求。</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产品生产过程中有采取相应的措施进行防护</w:t>
            </w:r>
            <w:r>
              <w:rPr>
                <w:rFonts w:hint="eastAsia" w:hAnsiTheme="minorEastAsia" w:eastAsiaTheme="minorEastAsia"/>
                <w:sz w:val="24"/>
                <w:szCs w:val="24"/>
                <w:lang w:eastAsia="zh-CN"/>
              </w:rPr>
              <w:t>（</w:t>
            </w:r>
            <w:r>
              <w:rPr>
                <w:rFonts w:hint="eastAsia" w:hAnsiTheme="minorEastAsia" w:eastAsiaTheme="minorEastAsia"/>
                <w:sz w:val="24"/>
                <w:szCs w:val="24"/>
                <w:lang w:val="en-US" w:eastAsia="zh-CN"/>
              </w:rPr>
              <w:t>采取塑料薄膜缠绕</w:t>
            </w:r>
            <w:r>
              <w:rPr>
                <w:rFonts w:hint="eastAsia" w:hAnsiTheme="minorEastAsia" w:eastAsiaTheme="minorEastAsia"/>
                <w:sz w:val="24"/>
                <w:szCs w:val="24"/>
                <w:lang w:eastAsia="zh-CN"/>
              </w:rPr>
              <w:t>）</w:t>
            </w:r>
            <w:r>
              <w:rPr>
                <w:rFonts w:hAnsiTheme="minorEastAsia" w:eastAsiaTheme="minorEastAsia"/>
                <w:sz w:val="24"/>
                <w:szCs w:val="24"/>
              </w:rPr>
              <w:t>，以确保符合要求。防护包括标识、处置、污染控制、包装、储存、运输以及保护等。产品交工、包装及交付到预定地点期间，针对产品采取适当的防护措施，包括选择合适的搬运方法和设备（人工搬运车）、贮存场所，保持标识完整、清晰。</w:t>
            </w:r>
          </w:p>
          <w:p>
            <w:pPr>
              <w:spacing w:line="360" w:lineRule="auto"/>
              <w:ind w:firstLine="480" w:firstLineChars="200"/>
              <w:rPr>
                <w:rFonts w:hint="eastAsia" w:hAnsiTheme="minorEastAsia" w:eastAsiaTheme="minorEastAsia"/>
                <w:color w:val="000000"/>
                <w:sz w:val="24"/>
                <w:szCs w:val="24"/>
              </w:rPr>
            </w:pPr>
            <w:r>
              <w:rPr>
                <w:rFonts w:hAnsiTheme="minorEastAsia" w:eastAsiaTheme="minorEastAsia"/>
                <w:sz w:val="24"/>
                <w:szCs w:val="24"/>
              </w:rPr>
              <w:t>产品标识管理基本符合要求。</w:t>
            </w:r>
          </w:p>
        </w:tc>
        <w:tc>
          <w:tcPr>
            <w:tcW w:w="1585" w:type="dxa"/>
          </w:tcPr>
          <w:p>
            <w:pPr>
              <w:spacing w:line="360" w:lineRule="auto"/>
              <w:rPr>
                <w:rFonts w:eastAsiaTheme="minorEastAsia"/>
                <w:sz w:val="24"/>
                <w:szCs w:val="24"/>
              </w:rPr>
            </w:pPr>
            <w:r>
              <w:rPr>
                <w:rFonts w:hint="eastAsia" w:eastAsiaTheme="minorEastAsia"/>
                <w:sz w:val="24"/>
                <w:szCs w:val="24"/>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1242" w:type="dxa"/>
          </w:tcPr>
          <w:p>
            <w:pPr>
              <w:spacing w:line="360" w:lineRule="auto"/>
              <w:rPr>
                <w:rFonts w:hAnsiTheme="minorEastAsia" w:eastAsiaTheme="minorEastAsia"/>
                <w:color w:val="000000"/>
                <w:sz w:val="24"/>
                <w:szCs w:val="24"/>
              </w:rPr>
            </w:pPr>
            <w:r>
              <w:rPr>
                <w:rFonts w:hint="eastAsia" w:hAnsiTheme="minorEastAsia" w:eastAsiaTheme="minorEastAsia"/>
                <w:color w:val="000000"/>
                <w:sz w:val="24"/>
                <w:szCs w:val="24"/>
                <w:lang w:val="en-US" w:eastAsia="zh-CN"/>
              </w:rPr>
              <w:t>防护</w:t>
            </w:r>
          </w:p>
        </w:tc>
        <w:tc>
          <w:tcPr>
            <w:tcW w:w="1276" w:type="dxa"/>
          </w:tcPr>
          <w:p>
            <w:pPr>
              <w:spacing w:line="360" w:lineRule="auto"/>
              <w:rPr>
                <w:rFonts w:eastAsiaTheme="minorEastAsia"/>
                <w:color w:val="000000"/>
                <w:sz w:val="24"/>
                <w:szCs w:val="24"/>
              </w:rPr>
            </w:pPr>
            <w:r>
              <w:rPr>
                <w:rFonts w:hint="eastAsia" w:hAnsiTheme="minorEastAsia" w:eastAsiaTheme="minorEastAsia"/>
                <w:color w:val="000000"/>
                <w:sz w:val="24"/>
                <w:szCs w:val="24"/>
                <w:lang w:val="en-US" w:eastAsia="zh-CN"/>
              </w:rPr>
              <w:t>Q</w:t>
            </w:r>
            <w:r>
              <w:rPr>
                <w:rFonts w:hint="eastAsia" w:hAnsiTheme="minorEastAsia" w:eastAsiaTheme="minorEastAsia"/>
                <w:color w:val="000000"/>
                <w:sz w:val="24"/>
                <w:szCs w:val="24"/>
              </w:rPr>
              <w:t>8.5.4</w:t>
            </w:r>
          </w:p>
        </w:tc>
        <w:tc>
          <w:tcPr>
            <w:tcW w:w="10606" w:type="dxa"/>
          </w:tcPr>
          <w:p>
            <w:pPr>
              <w:spacing w:beforeLines="30" w:afterLines="30" w:line="288" w:lineRule="auto"/>
              <w:ind w:firstLine="480" w:firstLineChars="200"/>
              <w:rPr>
                <w:rFonts w:hAnsiTheme="minorEastAsia" w:eastAsiaTheme="minorEastAsia"/>
                <w:sz w:val="24"/>
                <w:szCs w:val="24"/>
              </w:rPr>
            </w:pPr>
            <w:r>
              <w:rPr>
                <w:rFonts w:hint="eastAsia" w:ascii="Times New Roman" w:cs="Times New Roman" w:hAnsiTheme="minorEastAsia" w:eastAsiaTheme="minorEastAsia"/>
                <w:b w:val="0"/>
                <w:bCs w:val="0"/>
                <w:kern w:val="2"/>
                <w:sz w:val="24"/>
                <w:szCs w:val="24"/>
                <w:lang w:val="en-US" w:eastAsia="zh-CN" w:bidi="ar-SA"/>
              </w:rPr>
              <w:t>产品出入库</w:t>
            </w:r>
            <w:r>
              <w:rPr>
                <w:rFonts w:hint="eastAsia" w:cs="Times New Roman" w:hAnsiTheme="minorEastAsia" w:eastAsiaTheme="minorEastAsia"/>
                <w:b w:val="0"/>
                <w:bCs w:val="0"/>
                <w:kern w:val="2"/>
                <w:sz w:val="24"/>
                <w:szCs w:val="24"/>
                <w:lang w:val="en-US" w:eastAsia="zh-CN" w:bidi="ar-SA"/>
              </w:rPr>
              <w:t>手续规范，</w:t>
            </w:r>
            <w:r>
              <w:rPr>
                <w:rFonts w:hAnsiTheme="minorEastAsia" w:eastAsiaTheme="minorEastAsia"/>
                <w:sz w:val="24"/>
                <w:szCs w:val="24"/>
              </w:rPr>
              <w:t>产品采取措施进行防护</w:t>
            </w:r>
            <w:r>
              <w:rPr>
                <w:rFonts w:hint="eastAsia" w:hAnsiTheme="minorEastAsia" w:eastAsiaTheme="minorEastAsia"/>
                <w:sz w:val="24"/>
                <w:szCs w:val="24"/>
                <w:lang w:val="en-US" w:eastAsia="zh-CN"/>
              </w:rPr>
              <w:t>采取塑料薄膜缠绕</w:t>
            </w:r>
            <w:r>
              <w:rPr>
                <w:rFonts w:hAnsiTheme="minorEastAsia" w:eastAsiaTheme="minorEastAsia"/>
                <w:sz w:val="24"/>
                <w:szCs w:val="24"/>
              </w:rPr>
              <w:t>，以确保符合要求。防护包括标识、处置、污染控制、包装、储存、运输以及保护等。产品交工、包装及交付到预定地点期间，针对产品采取适当的防护措施，包括选择合适的搬运方法和设备（人工搬运车）、贮存场所，保持标识完整、清晰。</w:t>
            </w:r>
          </w:p>
          <w:p>
            <w:pPr>
              <w:pStyle w:val="2"/>
              <w:rPr>
                <w:rFonts w:hint="default"/>
                <w:lang w:val="en-US" w:eastAsia="zh-CN"/>
              </w:rPr>
            </w:pPr>
            <w:r>
              <w:rPr>
                <w:rFonts w:hint="eastAsia" w:hAnsiTheme="minorEastAsia" w:eastAsiaTheme="minorEastAsia"/>
                <w:sz w:val="24"/>
                <w:szCs w:val="24"/>
                <w:lang w:val="en-US" w:eastAsia="zh-CN"/>
              </w:rPr>
              <w:t xml:space="preserve">    </w:t>
            </w:r>
            <w:r>
              <w:rPr>
                <w:rFonts w:hint="default"/>
                <w:lang w:val="en-US" w:eastAsia="zh-CN"/>
              </w:rPr>
              <w:drawing>
                <wp:inline distT="0" distB="0" distL="114300" distR="114300">
                  <wp:extent cx="6345555" cy="2670810"/>
                  <wp:effectExtent l="0" t="0" r="17145" b="15240"/>
                  <wp:docPr id="20" name="图片 20" descr="C:/Users/hb/AppData/Local/Temp/picturecompress_202108020912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hb/AppData/Local/Temp/picturecompress_20210802091251/output_1.jpgoutput_1"/>
                          <pic:cNvPicPr>
                            <a:picLocks noChangeAspect="1"/>
                          </pic:cNvPicPr>
                        </pic:nvPicPr>
                        <pic:blipFill>
                          <a:blip r:embed="rId11"/>
                          <a:stretch>
                            <a:fillRect/>
                          </a:stretch>
                        </pic:blipFill>
                        <pic:spPr>
                          <a:xfrm>
                            <a:off x="0" y="0"/>
                            <a:ext cx="6345555" cy="2670810"/>
                          </a:xfrm>
                          <a:prstGeom prst="rect">
                            <a:avLst/>
                          </a:prstGeom>
                        </pic:spPr>
                      </pic:pic>
                    </a:graphicData>
                  </a:graphic>
                </wp:inline>
              </w:drawing>
            </w:r>
          </w:p>
          <w:p>
            <w:pPr>
              <w:pStyle w:val="3"/>
              <w:ind w:left="0" w:leftChars="0" w:firstLine="0" w:firstLineChars="0"/>
              <w:rPr>
                <w:rFonts w:hint="default"/>
                <w:lang w:val="en-US" w:eastAsia="zh-CN"/>
              </w:rPr>
            </w:pPr>
          </w:p>
          <w:p>
            <w:pPr>
              <w:pStyle w:val="3"/>
              <w:ind w:left="0" w:leftChars="0" w:firstLine="0" w:firstLineChars="0"/>
              <w:rPr>
                <w:rFonts w:hint="default"/>
                <w:lang w:val="en-US" w:eastAsia="zh-CN"/>
              </w:rPr>
            </w:pPr>
            <w:r>
              <w:rPr>
                <w:rFonts w:hint="default"/>
                <w:lang w:val="en-US" w:eastAsia="zh-CN"/>
              </w:rPr>
              <w:drawing>
                <wp:inline distT="0" distB="0" distL="114300" distR="114300">
                  <wp:extent cx="6551295" cy="2240280"/>
                  <wp:effectExtent l="0" t="0" r="1905" b="7620"/>
                  <wp:docPr id="21" name="图片 21" descr="C:/Users/hb/AppData/Local/Temp/picturecompress_2021080209131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hb/AppData/Local/Temp/picturecompress_20210802091311/output_1.jpgoutput_1"/>
                          <pic:cNvPicPr>
                            <a:picLocks noChangeAspect="1"/>
                          </pic:cNvPicPr>
                        </pic:nvPicPr>
                        <pic:blipFill>
                          <a:blip r:embed="rId12"/>
                          <a:stretch>
                            <a:fillRect/>
                          </a:stretch>
                        </pic:blipFill>
                        <pic:spPr>
                          <a:xfrm>
                            <a:off x="0" y="0"/>
                            <a:ext cx="6551295" cy="2240280"/>
                          </a:xfrm>
                          <a:prstGeom prst="rect">
                            <a:avLst/>
                          </a:prstGeom>
                        </pic:spPr>
                      </pic:pic>
                    </a:graphicData>
                  </a:graphic>
                </wp:inline>
              </w:drawing>
            </w:r>
          </w:p>
          <w:p>
            <w:pPr>
              <w:pStyle w:val="3"/>
              <w:ind w:left="0" w:leftChars="0" w:firstLine="0" w:firstLineChars="0"/>
              <w:rPr>
                <w:rFonts w:hint="default"/>
                <w:lang w:val="en-US" w:eastAsia="zh-CN"/>
              </w:rPr>
            </w:pPr>
            <w:r>
              <w:rPr>
                <w:rFonts w:hint="default"/>
                <w:lang w:val="en-US" w:eastAsia="zh-CN"/>
              </w:rPr>
              <w:drawing>
                <wp:inline distT="0" distB="0" distL="114300" distR="114300">
                  <wp:extent cx="6551295" cy="2890520"/>
                  <wp:effectExtent l="0" t="0" r="1905" b="5080"/>
                  <wp:docPr id="22" name="图片 22" descr="C:/Users/hb/AppData/Local/Temp/picturecompress_2021080209133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hb/AppData/Local/Temp/picturecompress_20210802091331/output_1.jpgoutput_1"/>
                          <pic:cNvPicPr>
                            <a:picLocks noChangeAspect="1"/>
                          </pic:cNvPicPr>
                        </pic:nvPicPr>
                        <pic:blipFill>
                          <a:blip r:embed="rId13"/>
                          <a:stretch>
                            <a:fillRect/>
                          </a:stretch>
                        </pic:blipFill>
                        <pic:spPr>
                          <a:xfrm>
                            <a:off x="0" y="0"/>
                            <a:ext cx="6551295" cy="2890520"/>
                          </a:xfrm>
                          <a:prstGeom prst="rect">
                            <a:avLst/>
                          </a:prstGeom>
                        </pic:spPr>
                      </pic:pic>
                    </a:graphicData>
                  </a:graphic>
                </wp:inline>
              </w:drawing>
            </w:r>
          </w:p>
          <w:p>
            <w:pPr>
              <w:pStyle w:val="3"/>
              <w:rPr>
                <w:rFonts w:hint="default" w:hAnsiTheme="minorEastAsia" w:eastAsiaTheme="minorEastAsia"/>
                <w:sz w:val="24"/>
                <w:szCs w:val="24"/>
                <w:lang w:val="en-US" w:eastAsia="zh-CN"/>
              </w:rPr>
            </w:pPr>
          </w:p>
          <w:p>
            <w:pPr>
              <w:spacing w:line="360" w:lineRule="auto"/>
              <w:ind w:firstLine="480" w:firstLineChars="200"/>
              <w:rPr>
                <w:rFonts w:hint="eastAsia" w:hAnsiTheme="minorEastAsia" w:eastAsiaTheme="minorEastAsia"/>
                <w:color w:val="000000"/>
                <w:sz w:val="24"/>
                <w:szCs w:val="24"/>
              </w:rPr>
            </w:pPr>
            <w:r>
              <w:rPr>
                <w:rFonts w:hAnsiTheme="minorEastAsia" w:eastAsiaTheme="minorEastAsia"/>
                <w:sz w:val="24"/>
                <w:szCs w:val="24"/>
              </w:rPr>
              <w:t>产品防护管理基本符合要求。</w:t>
            </w:r>
          </w:p>
        </w:tc>
        <w:tc>
          <w:tcPr>
            <w:tcW w:w="1585" w:type="dxa"/>
          </w:tcPr>
          <w:p>
            <w:pPr>
              <w:spacing w:line="360" w:lineRule="auto"/>
              <w:rPr>
                <w:rFonts w:hint="eastAsia" w:eastAsiaTheme="minorEastAsia"/>
                <w:sz w:val="24"/>
                <w:szCs w:val="24"/>
                <w:lang w:eastAsia="zh-CN"/>
              </w:rPr>
            </w:pPr>
            <w:r>
              <w:rPr>
                <w:rFonts w:hint="eastAsia" w:eastAsiaTheme="minorEastAsia"/>
                <w:sz w:val="24"/>
                <w:szCs w:val="24"/>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1242" w:type="dxa"/>
          </w:tcPr>
          <w:p>
            <w:pPr>
              <w:spacing w:line="360" w:lineRule="auto"/>
              <w:rPr>
                <w:rFonts w:eastAsiaTheme="minorEastAsia"/>
                <w:b/>
                <w:color w:val="000000"/>
                <w:sz w:val="24"/>
                <w:szCs w:val="24"/>
              </w:rPr>
            </w:pPr>
            <w:r>
              <w:rPr>
                <w:rFonts w:hAnsiTheme="minorEastAsia" w:eastAsiaTheme="minorEastAsia"/>
                <w:color w:val="000000"/>
                <w:sz w:val="24"/>
                <w:szCs w:val="24"/>
              </w:rPr>
              <w:t>交付后活动</w:t>
            </w:r>
          </w:p>
        </w:tc>
        <w:tc>
          <w:tcPr>
            <w:tcW w:w="1276" w:type="dxa"/>
          </w:tcPr>
          <w:p>
            <w:pPr>
              <w:spacing w:line="360" w:lineRule="auto"/>
              <w:rPr>
                <w:rFonts w:eastAsiaTheme="minorEastAsia"/>
                <w:b/>
                <w:color w:val="000000"/>
                <w:sz w:val="24"/>
                <w:szCs w:val="24"/>
              </w:rPr>
            </w:pPr>
            <w:r>
              <w:rPr>
                <w:rFonts w:eastAsiaTheme="minorEastAsia"/>
                <w:color w:val="000000"/>
                <w:sz w:val="24"/>
                <w:szCs w:val="24"/>
              </w:rPr>
              <w:t>Q8.5.5</w:t>
            </w:r>
          </w:p>
        </w:tc>
        <w:tc>
          <w:tcPr>
            <w:tcW w:w="10606" w:type="dxa"/>
          </w:tcPr>
          <w:p>
            <w:pPr>
              <w:spacing w:line="360" w:lineRule="auto"/>
              <w:ind w:firstLine="480" w:firstLineChars="200"/>
              <w:rPr>
                <w:rFonts w:hAnsiTheme="minorEastAsia" w:eastAsiaTheme="minorEastAsia"/>
                <w:color w:val="000000"/>
                <w:sz w:val="24"/>
                <w:szCs w:val="24"/>
              </w:rPr>
            </w:pPr>
            <w:r>
              <w:rPr>
                <w:rFonts w:hint="eastAsia" w:hAnsiTheme="minorEastAsia" w:eastAsiaTheme="minorEastAsia"/>
                <w:color w:val="000000"/>
                <w:sz w:val="24"/>
                <w:szCs w:val="24"/>
              </w:rPr>
              <w:t>与部门负责人沟通了解到组织主要通过与客户签订合同的形式对交付后的活动进行规定。合同通常包括：法律法规要求，交付后不</w:t>
            </w:r>
            <w:r>
              <w:rPr>
                <w:rFonts w:hint="eastAsia" w:hAnsiTheme="minorEastAsia" w:eastAsiaTheme="minorEastAsia"/>
                <w:color w:val="000000"/>
                <w:sz w:val="24"/>
                <w:szCs w:val="24"/>
                <w:lang w:val="en-US" w:eastAsia="zh-CN"/>
              </w:rPr>
              <w:t>合格</w:t>
            </w:r>
            <w:r>
              <w:rPr>
                <w:rFonts w:hint="eastAsia" w:hAnsiTheme="minorEastAsia" w:eastAsiaTheme="minorEastAsia"/>
                <w:color w:val="000000"/>
                <w:sz w:val="24"/>
                <w:szCs w:val="24"/>
              </w:rPr>
              <w:t>的处理，产品的用途，顾客的要求等。如客户在使用过程中出现问题，先通过电话进行解决，如远程无法解决，派专人到客户现场实地协商解决。</w:t>
            </w:r>
          </w:p>
          <w:p>
            <w:pPr>
              <w:spacing w:line="360" w:lineRule="auto"/>
              <w:ind w:firstLine="480" w:firstLineChars="200"/>
              <w:rPr>
                <w:rFonts w:eastAsiaTheme="minorEastAsia"/>
                <w:color w:val="000000"/>
                <w:sz w:val="24"/>
                <w:szCs w:val="24"/>
              </w:rPr>
            </w:pPr>
            <w:r>
              <w:rPr>
                <w:rFonts w:hint="eastAsia" w:hAnsiTheme="minorEastAsia" w:eastAsiaTheme="minorEastAsia"/>
                <w:color w:val="000000"/>
                <w:sz w:val="24"/>
                <w:szCs w:val="24"/>
              </w:rPr>
              <w:t>基本满足要求。</w:t>
            </w:r>
          </w:p>
        </w:tc>
        <w:tc>
          <w:tcPr>
            <w:tcW w:w="1585" w:type="dxa"/>
          </w:tcPr>
          <w:p>
            <w:pPr>
              <w:spacing w:line="360" w:lineRule="auto"/>
              <w:rPr>
                <w:rFonts w:hint="eastAsia" w:eastAsiaTheme="minorEastAsia"/>
                <w:sz w:val="24"/>
                <w:szCs w:val="24"/>
                <w:highlight w:val="yellow"/>
                <w:lang w:eastAsia="zh-CN"/>
              </w:rPr>
            </w:pPr>
            <w:r>
              <w:rPr>
                <w:rFonts w:hint="eastAsia" w:eastAsiaTheme="minorEastAsia"/>
                <w:sz w:val="24"/>
                <w:szCs w:val="24"/>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1242" w:type="dxa"/>
            <w:vAlign w:val="center"/>
          </w:tcPr>
          <w:p>
            <w:pPr>
              <w:spacing w:line="360" w:lineRule="auto"/>
              <w:rPr>
                <w:rFonts w:hint="default" w:hAnsiTheme="minorEastAsia" w:eastAsiaTheme="minorEastAsia"/>
                <w:sz w:val="24"/>
                <w:szCs w:val="24"/>
                <w:lang w:val="en-US" w:eastAsia="zh-CN"/>
              </w:rPr>
            </w:pPr>
            <w:r>
              <w:rPr>
                <w:rFonts w:hint="eastAsia" w:hAnsiTheme="minorEastAsia" w:eastAsiaTheme="minorEastAsia"/>
                <w:sz w:val="24"/>
                <w:szCs w:val="24"/>
                <w:lang w:val="en-US" w:eastAsia="zh-CN"/>
              </w:rPr>
              <w:t>更改的控制</w:t>
            </w:r>
          </w:p>
        </w:tc>
        <w:tc>
          <w:tcPr>
            <w:tcW w:w="1276" w:type="dxa"/>
          </w:tcPr>
          <w:p>
            <w:pPr>
              <w:spacing w:line="360" w:lineRule="auto"/>
              <w:rPr>
                <w:rFonts w:hint="eastAsia" w:eastAsiaTheme="minorEastAsia"/>
                <w:sz w:val="24"/>
                <w:szCs w:val="24"/>
                <w:lang w:val="en-US" w:eastAsia="zh-CN"/>
              </w:rPr>
            </w:pPr>
            <w:r>
              <w:rPr>
                <w:rFonts w:eastAsiaTheme="minorEastAsia"/>
                <w:color w:val="000000"/>
                <w:sz w:val="24"/>
                <w:szCs w:val="24"/>
              </w:rPr>
              <w:t>Q8.5.</w:t>
            </w:r>
            <w:r>
              <w:rPr>
                <w:rFonts w:hint="eastAsia" w:eastAsiaTheme="minorEastAsia"/>
                <w:color w:val="000000"/>
                <w:sz w:val="24"/>
                <w:szCs w:val="24"/>
                <w:lang w:val="en-US" w:eastAsia="zh-CN"/>
              </w:rPr>
              <w:t>6</w:t>
            </w:r>
          </w:p>
        </w:tc>
        <w:tc>
          <w:tcPr>
            <w:tcW w:w="10606" w:type="dxa"/>
          </w:tcPr>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对生产服务提供的更改进行必要的评审和控制，以确保稳定的符合要求。</w:t>
            </w:r>
          </w:p>
          <w:p>
            <w:pPr>
              <w:spacing w:beforeLines="30" w:afterLines="30" w:line="288" w:lineRule="auto"/>
              <w:ind w:firstLine="480" w:firstLineChars="200"/>
              <w:rPr>
                <w:rFonts w:eastAsiaTheme="minorEastAsia"/>
                <w:sz w:val="24"/>
                <w:szCs w:val="24"/>
              </w:rPr>
            </w:pPr>
            <w:r>
              <w:rPr>
                <w:rFonts w:hAnsiTheme="minorEastAsia" w:eastAsiaTheme="minorEastAsia"/>
                <w:sz w:val="24"/>
                <w:szCs w:val="24"/>
              </w:rPr>
              <w:t>组织保留形成文件的信息，包括有关更改评审结果、授权进行更改的人员以及根据评审所采取的必要措施。</w:t>
            </w:r>
          </w:p>
          <w:p>
            <w:pPr>
              <w:spacing w:line="360" w:lineRule="auto"/>
              <w:ind w:firstLine="480" w:firstLineChars="200"/>
              <w:rPr>
                <w:rFonts w:hAnsiTheme="minorEastAsia" w:eastAsiaTheme="minorEastAsia"/>
                <w:sz w:val="24"/>
                <w:szCs w:val="24"/>
              </w:rPr>
            </w:pPr>
            <w:r>
              <w:rPr>
                <w:rFonts w:hAnsiTheme="minorEastAsia" w:eastAsiaTheme="minorEastAsia"/>
                <w:sz w:val="24"/>
                <w:szCs w:val="24"/>
              </w:rPr>
              <w:t>经询问，目前生产的变更。</w:t>
            </w:r>
          </w:p>
        </w:tc>
        <w:tc>
          <w:tcPr>
            <w:tcW w:w="1585" w:type="dxa"/>
          </w:tcPr>
          <w:p>
            <w:pPr>
              <w:spacing w:line="360" w:lineRule="auto"/>
              <w:rPr>
                <w:rFonts w:eastAsiaTheme="minorEastAsia"/>
                <w:sz w:val="24"/>
                <w:szCs w:val="24"/>
              </w:rPr>
            </w:pPr>
            <w:r>
              <w:rPr>
                <w:rFonts w:hint="eastAsia" w:eastAsiaTheme="minorEastAsia"/>
                <w:sz w:val="24"/>
                <w:szCs w:val="24"/>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1242" w:type="dxa"/>
            <w:vAlign w:val="center"/>
          </w:tcPr>
          <w:p>
            <w:pPr>
              <w:spacing w:line="360" w:lineRule="auto"/>
              <w:rPr>
                <w:rFonts w:hAnsiTheme="minorEastAsia" w:eastAsiaTheme="minorEastAsia"/>
                <w:sz w:val="24"/>
                <w:szCs w:val="24"/>
              </w:rPr>
            </w:pPr>
            <w:r>
              <w:rPr>
                <w:rFonts w:hint="eastAsia" w:ascii="宋体" w:hAnsi="宋体" w:cs="Arial"/>
                <w:sz w:val="21"/>
                <w:szCs w:val="21"/>
              </w:rPr>
              <w:t>产品和服务的放行</w:t>
            </w:r>
          </w:p>
        </w:tc>
        <w:tc>
          <w:tcPr>
            <w:tcW w:w="1276" w:type="dxa"/>
          </w:tcPr>
          <w:p>
            <w:pPr>
              <w:spacing w:line="360" w:lineRule="auto"/>
              <w:rPr>
                <w:rFonts w:eastAsiaTheme="minorEastAsia"/>
                <w:sz w:val="24"/>
                <w:szCs w:val="24"/>
              </w:rPr>
            </w:pPr>
            <w:r>
              <w:rPr>
                <w:rFonts w:hint="eastAsia" w:eastAsiaTheme="minorEastAsia"/>
                <w:color w:val="000000"/>
                <w:sz w:val="24"/>
                <w:szCs w:val="24"/>
                <w:lang w:val="en-US" w:eastAsia="zh-CN"/>
              </w:rPr>
              <w:t>Q</w:t>
            </w:r>
            <w:r>
              <w:rPr>
                <w:rFonts w:hint="eastAsia" w:eastAsiaTheme="minorEastAsia"/>
                <w:color w:val="000000"/>
                <w:sz w:val="24"/>
                <w:szCs w:val="24"/>
              </w:rPr>
              <w:t>8.6</w:t>
            </w:r>
          </w:p>
        </w:tc>
        <w:tc>
          <w:tcPr>
            <w:tcW w:w="10606" w:type="dxa"/>
          </w:tcPr>
          <w:p>
            <w:pPr>
              <w:spacing w:beforeLines="30" w:afterLines="30" w:line="288" w:lineRule="auto"/>
              <w:ind w:firstLine="480" w:firstLineChars="200"/>
              <w:rPr>
                <w:rFonts w:hint="eastAsia" w:hAnsiTheme="minorEastAsia" w:eastAsiaTheme="minorEastAsia"/>
                <w:sz w:val="24"/>
                <w:szCs w:val="24"/>
                <w:highlight w:val="yellow"/>
                <w:lang w:val="en-US" w:eastAsia="zh-CN"/>
              </w:rPr>
            </w:pPr>
            <w:r>
              <w:rPr>
                <w:rFonts w:hint="eastAsia" w:hAnsiTheme="minorEastAsia" w:eastAsiaTheme="minorEastAsia"/>
                <w:sz w:val="24"/>
                <w:szCs w:val="24"/>
                <w:lang w:val="en-US" w:eastAsia="zh-CN"/>
              </w:rPr>
              <w:t>对采购或自制成品门质量进行检验验证或验证报告进行质量控制，防火门到公司的质量抽检，防盗门进行质量验证，交付时顾客进行质量确认，无异常接收产品；</w:t>
            </w:r>
          </w:p>
          <w:p>
            <w:pPr>
              <w:spacing w:beforeLines="30" w:afterLines="30" w:line="288" w:lineRule="auto"/>
              <w:ind w:firstLine="480" w:firstLineChars="200"/>
              <w:rPr>
                <w:rFonts w:hint="eastAsia" w:hAnsiTheme="minorEastAsia" w:eastAsiaTheme="minorEastAsia"/>
                <w:sz w:val="24"/>
                <w:szCs w:val="24"/>
                <w:highlight w:val="none"/>
                <w:lang w:val="en-US" w:eastAsia="zh-CN"/>
              </w:rPr>
            </w:pPr>
            <w:r>
              <w:rPr>
                <w:rFonts w:hint="eastAsia" w:hAnsiTheme="minorEastAsia" w:eastAsiaTheme="minorEastAsia"/>
                <w:sz w:val="24"/>
                <w:szCs w:val="24"/>
                <w:highlight w:val="none"/>
                <w:lang w:val="en-US" w:eastAsia="zh-CN"/>
              </w:rPr>
              <w:t>抽查防火门的型式试验报告和防盗门的检验报告，满足产品质量标准要求。</w:t>
            </w:r>
          </w:p>
          <w:p>
            <w:pPr>
              <w:pStyle w:val="2"/>
              <w:rPr>
                <w:rFonts w:hint="default"/>
                <w:lang w:val="en-US" w:eastAsia="zh-CN"/>
              </w:rPr>
            </w:pPr>
            <w:r>
              <w:drawing>
                <wp:inline distT="0" distB="0" distL="114300" distR="114300">
                  <wp:extent cx="2167255" cy="3416935"/>
                  <wp:effectExtent l="0" t="0" r="4445" b="1206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4"/>
                          <a:stretch>
                            <a:fillRect/>
                          </a:stretch>
                        </pic:blipFill>
                        <pic:spPr>
                          <a:xfrm>
                            <a:off x="0" y="0"/>
                            <a:ext cx="2167255" cy="3416935"/>
                          </a:xfrm>
                          <a:prstGeom prst="rect">
                            <a:avLst/>
                          </a:prstGeom>
                          <a:noFill/>
                          <a:ln>
                            <a:noFill/>
                          </a:ln>
                        </pic:spPr>
                      </pic:pic>
                    </a:graphicData>
                  </a:graphic>
                </wp:inline>
              </w:drawing>
            </w:r>
            <w:r>
              <w:drawing>
                <wp:inline distT="0" distB="0" distL="114300" distR="114300">
                  <wp:extent cx="2051050" cy="3423920"/>
                  <wp:effectExtent l="0" t="0" r="6350" b="508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5"/>
                          <a:stretch>
                            <a:fillRect/>
                          </a:stretch>
                        </pic:blipFill>
                        <pic:spPr>
                          <a:xfrm>
                            <a:off x="0" y="0"/>
                            <a:ext cx="2051050" cy="3423920"/>
                          </a:xfrm>
                          <a:prstGeom prst="rect">
                            <a:avLst/>
                          </a:prstGeom>
                          <a:noFill/>
                          <a:ln>
                            <a:noFill/>
                          </a:ln>
                        </pic:spPr>
                      </pic:pic>
                    </a:graphicData>
                  </a:graphic>
                </wp:inline>
              </w:drawing>
            </w:r>
            <w:r>
              <w:drawing>
                <wp:inline distT="0" distB="0" distL="114300" distR="114300">
                  <wp:extent cx="2158365" cy="3400425"/>
                  <wp:effectExtent l="0" t="0" r="13335" b="952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6"/>
                          <a:stretch>
                            <a:fillRect/>
                          </a:stretch>
                        </pic:blipFill>
                        <pic:spPr>
                          <a:xfrm>
                            <a:off x="0" y="0"/>
                            <a:ext cx="2158365" cy="3400425"/>
                          </a:xfrm>
                          <a:prstGeom prst="rect">
                            <a:avLst/>
                          </a:prstGeom>
                          <a:noFill/>
                          <a:ln>
                            <a:noFill/>
                          </a:ln>
                        </pic:spPr>
                      </pic:pic>
                    </a:graphicData>
                  </a:graphic>
                </wp:inline>
              </w:drawing>
            </w:r>
          </w:p>
          <w:p>
            <w:pPr>
              <w:pStyle w:val="3"/>
              <w:rPr>
                <w:rFonts w:hint="eastAsia"/>
                <w:lang w:val="en-US" w:eastAsia="zh-CN"/>
              </w:rPr>
            </w:pPr>
          </w:p>
          <w:p>
            <w:pPr>
              <w:pStyle w:val="2"/>
              <w:rPr>
                <w:rFonts w:hint="eastAsia"/>
                <w:lang w:val="en-US" w:eastAsia="zh-CN"/>
              </w:rPr>
            </w:pPr>
            <w:r>
              <w:rPr>
                <w:rFonts w:hint="eastAsia"/>
                <w:lang w:val="en-US" w:eastAsia="zh-CN"/>
              </w:rPr>
              <w:t xml:space="preserve">  </w:t>
            </w:r>
            <w:r>
              <w:rPr>
                <w:rFonts w:hint="default"/>
                <w:lang w:val="en-US" w:eastAsia="zh-CN"/>
              </w:rPr>
              <w:drawing>
                <wp:inline distT="0" distB="0" distL="114300" distR="114300">
                  <wp:extent cx="2066290" cy="3912235"/>
                  <wp:effectExtent l="0" t="0" r="10160" b="12065"/>
                  <wp:docPr id="12" name="图片 12" descr="C:/Users/hb/AppData/Local/Temp/picturecompress_2021080208500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hb/AppData/Local/Temp/picturecompress_20210802085005/output_1.jpgoutput_1"/>
                          <pic:cNvPicPr>
                            <a:picLocks noChangeAspect="1"/>
                          </pic:cNvPicPr>
                        </pic:nvPicPr>
                        <pic:blipFill>
                          <a:blip r:embed="rId17"/>
                          <a:stretch>
                            <a:fillRect/>
                          </a:stretch>
                        </pic:blipFill>
                        <pic:spPr>
                          <a:xfrm>
                            <a:off x="0" y="0"/>
                            <a:ext cx="2066290" cy="3912235"/>
                          </a:xfrm>
                          <a:prstGeom prst="rect">
                            <a:avLst/>
                          </a:prstGeom>
                        </pic:spPr>
                      </pic:pic>
                    </a:graphicData>
                  </a:graphic>
                </wp:inline>
              </w:drawing>
            </w:r>
            <w:r>
              <w:rPr>
                <w:rFonts w:hint="default"/>
                <w:lang w:val="en-US" w:eastAsia="zh-CN"/>
              </w:rPr>
              <w:drawing>
                <wp:inline distT="0" distB="0" distL="114300" distR="114300">
                  <wp:extent cx="2159635" cy="3919220"/>
                  <wp:effectExtent l="0" t="0" r="12065" b="5080"/>
                  <wp:docPr id="13" name="图片 13" descr="C:/Users/hb/AppData/Local/Temp/picturecompress_202108020850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hb/AppData/Local/Temp/picturecompress_20210802085020/output_1.jpgoutput_1"/>
                          <pic:cNvPicPr>
                            <a:picLocks noChangeAspect="1"/>
                          </pic:cNvPicPr>
                        </pic:nvPicPr>
                        <pic:blipFill>
                          <a:blip r:embed="rId18"/>
                          <a:stretch>
                            <a:fillRect/>
                          </a:stretch>
                        </pic:blipFill>
                        <pic:spPr>
                          <a:xfrm>
                            <a:off x="0" y="0"/>
                            <a:ext cx="2159635" cy="3919220"/>
                          </a:xfrm>
                          <a:prstGeom prst="rect">
                            <a:avLst/>
                          </a:prstGeom>
                        </pic:spPr>
                      </pic:pic>
                    </a:graphicData>
                  </a:graphic>
                </wp:inline>
              </w:drawing>
            </w:r>
            <w:r>
              <w:rPr>
                <w:rFonts w:hint="default"/>
                <w:lang w:val="en-US" w:eastAsia="zh-CN"/>
              </w:rPr>
              <w:drawing>
                <wp:inline distT="0" distB="0" distL="114300" distR="114300">
                  <wp:extent cx="2017395" cy="3905250"/>
                  <wp:effectExtent l="0" t="0" r="1905" b="0"/>
                  <wp:docPr id="14" name="图片 14" descr="C:/Users/hb/AppData/Local/Temp/picturecompress_2021080208511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hb/AppData/Local/Temp/picturecompress_20210802085112/output_1.jpgoutput_1"/>
                          <pic:cNvPicPr>
                            <a:picLocks noChangeAspect="1"/>
                          </pic:cNvPicPr>
                        </pic:nvPicPr>
                        <pic:blipFill>
                          <a:blip r:embed="rId19"/>
                          <a:stretch>
                            <a:fillRect/>
                          </a:stretch>
                        </pic:blipFill>
                        <pic:spPr>
                          <a:xfrm>
                            <a:off x="0" y="0"/>
                            <a:ext cx="2017395" cy="3905250"/>
                          </a:xfrm>
                          <a:prstGeom prst="rect">
                            <a:avLst/>
                          </a:prstGeom>
                        </pic:spPr>
                      </pic:pic>
                    </a:graphicData>
                  </a:graphic>
                </wp:inline>
              </w:drawing>
            </w:r>
          </w:p>
          <w:p>
            <w:pPr>
              <w:spacing w:line="360" w:lineRule="auto"/>
              <w:ind w:firstLine="420" w:firstLineChars="200"/>
              <w:jc w:val="left"/>
              <w:rPr>
                <w:rFonts w:hint="default"/>
                <w:lang w:val="en-US" w:eastAsia="zh-CN"/>
              </w:rPr>
            </w:pPr>
            <w:r>
              <w:rPr>
                <w:rFonts w:hint="eastAsia"/>
                <w:lang w:val="en-US" w:eastAsia="zh-CN"/>
              </w:rPr>
              <w:t>企业对成品的放行都有相应的规定，抽查产品放行记录基本满足要求。</w:t>
            </w:r>
            <w:r>
              <w:rPr>
                <w:rFonts w:hint="default"/>
                <w:lang w:val="en-US" w:eastAsia="zh-CN"/>
              </w:rPr>
              <w:drawing>
                <wp:inline distT="0" distB="0" distL="114300" distR="114300">
                  <wp:extent cx="2955290" cy="2677795"/>
                  <wp:effectExtent l="0" t="0" r="3810" b="1905"/>
                  <wp:docPr id="16" name="图片 16" descr="C:/Users/hb/AppData/Local/Temp/picturecompress_2021080209084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hb/AppData/Local/Temp/picturecompress_20210802090845/output_1.jpgoutput_1"/>
                          <pic:cNvPicPr>
                            <a:picLocks noChangeAspect="1"/>
                          </pic:cNvPicPr>
                        </pic:nvPicPr>
                        <pic:blipFill>
                          <a:blip r:embed="rId20"/>
                          <a:stretch>
                            <a:fillRect/>
                          </a:stretch>
                        </pic:blipFill>
                        <pic:spPr>
                          <a:xfrm>
                            <a:off x="0" y="0"/>
                            <a:ext cx="2955290" cy="2677795"/>
                          </a:xfrm>
                          <a:prstGeom prst="rect">
                            <a:avLst/>
                          </a:prstGeom>
                        </pic:spPr>
                      </pic:pic>
                    </a:graphicData>
                  </a:graphic>
                </wp:inline>
              </w:drawing>
            </w:r>
            <w:r>
              <w:rPr>
                <w:rFonts w:hint="default"/>
                <w:lang w:val="en-US" w:eastAsia="zh-CN"/>
              </w:rPr>
              <w:drawing>
                <wp:inline distT="0" distB="0" distL="114300" distR="114300">
                  <wp:extent cx="2850515" cy="2651125"/>
                  <wp:effectExtent l="0" t="0" r="6985" b="3175"/>
                  <wp:docPr id="17" name="图片 17" descr="C:/Users/hb/AppData/Local/Temp/picturecompress_202108020908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hb/AppData/Local/Temp/picturecompress_20210802090859/output_1.jpgoutput_1"/>
                          <pic:cNvPicPr>
                            <a:picLocks noChangeAspect="1"/>
                          </pic:cNvPicPr>
                        </pic:nvPicPr>
                        <pic:blipFill>
                          <a:blip r:embed="rId21"/>
                          <a:stretch>
                            <a:fillRect/>
                          </a:stretch>
                        </pic:blipFill>
                        <pic:spPr>
                          <a:xfrm>
                            <a:off x="0" y="0"/>
                            <a:ext cx="2850515" cy="2651125"/>
                          </a:xfrm>
                          <a:prstGeom prst="rect">
                            <a:avLst/>
                          </a:prstGeom>
                        </pic:spPr>
                      </pic:pic>
                    </a:graphicData>
                  </a:graphic>
                </wp:inline>
              </w:drawing>
            </w:r>
          </w:p>
          <w:p>
            <w:pPr>
              <w:pStyle w:val="2"/>
              <w:rPr>
                <w:rFonts w:hint="default"/>
                <w:lang w:val="en-US" w:eastAsia="zh-CN"/>
              </w:rPr>
            </w:pPr>
            <w:r>
              <w:rPr>
                <w:rFonts w:hint="default"/>
                <w:lang w:val="en-US" w:eastAsia="zh-CN"/>
              </w:rPr>
              <w:drawing>
                <wp:inline distT="0" distB="0" distL="114300" distR="114300">
                  <wp:extent cx="3054350" cy="2331720"/>
                  <wp:effectExtent l="0" t="0" r="6350" b="5080"/>
                  <wp:docPr id="18" name="图片 18" descr="C:/Users/hb/AppData/Local/Temp/picturecompress_2021080209093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hb/AppData/Local/Temp/picturecompress_20210802090930/output_1.jpgoutput_1"/>
                          <pic:cNvPicPr>
                            <a:picLocks noChangeAspect="1"/>
                          </pic:cNvPicPr>
                        </pic:nvPicPr>
                        <pic:blipFill>
                          <a:blip r:embed="rId22"/>
                          <a:stretch>
                            <a:fillRect/>
                          </a:stretch>
                        </pic:blipFill>
                        <pic:spPr>
                          <a:xfrm>
                            <a:off x="0" y="0"/>
                            <a:ext cx="3054350" cy="2331720"/>
                          </a:xfrm>
                          <a:prstGeom prst="rect">
                            <a:avLst/>
                          </a:prstGeom>
                        </pic:spPr>
                      </pic:pic>
                    </a:graphicData>
                  </a:graphic>
                </wp:inline>
              </w:drawing>
            </w:r>
            <w:r>
              <w:rPr>
                <w:rFonts w:hint="default"/>
                <w:lang w:val="en-US" w:eastAsia="zh-CN"/>
              </w:rPr>
              <w:drawing>
                <wp:inline distT="0" distB="0" distL="114300" distR="114300">
                  <wp:extent cx="2935605" cy="2298700"/>
                  <wp:effectExtent l="0" t="0" r="10795" b="0"/>
                  <wp:docPr id="19" name="图片 19" descr="C:/Users/hb/AppData/Local/Temp/picturecompress_202108020909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hb/AppData/Local/Temp/picturecompress_20210802090941/output_1.jpgoutput_1"/>
                          <pic:cNvPicPr>
                            <a:picLocks noChangeAspect="1"/>
                          </pic:cNvPicPr>
                        </pic:nvPicPr>
                        <pic:blipFill>
                          <a:blip r:embed="rId23"/>
                          <a:stretch>
                            <a:fillRect/>
                          </a:stretch>
                        </pic:blipFill>
                        <pic:spPr>
                          <a:xfrm>
                            <a:off x="0" y="0"/>
                            <a:ext cx="2935605" cy="2298700"/>
                          </a:xfrm>
                          <a:prstGeom prst="rect">
                            <a:avLst/>
                          </a:prstGeom>
                        </pic:spPr>
                      </pic:pic>
                    </a:graphicData>
                  </a:graphic>
                </wp:inline>
              </w:drawing>
            </w:r>
          </w:p>
          <w:p>
            <w:pPr>
              <w:pStyle w:val="3"/>
            </w:pPr>
            <w:r>
              <w:drawing>
                <wp:inline distT="0" distB="0" distL="114300" distR="114300">
                  <wp:extent cx="5779770" cy="3853180"/>
                  <wp:effectExtent l="0" t="0" r="11430" b="1397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4"/>
                          <a:stretch>
                            <a:fillRect/>
                          </a:stretch>
                        </pic:blipFill>
                        <pic:spPr>
                          <a:xfrm>
                            <a:off x="0" y="0"/>
                            <a:ext cx="5779770" cy="3853180"/>
                          </a:xfrm>
                          <a:prstGeom prst="rect">
                            <a:avLst/>
                          </a:prstGeom>
                          <a:noFill/>
                          <a:ln>
                            <a:noFill/>
                          </a:ln>
                        </pic:spPr>
                      </pic:pic>
                    </a:graphicData>
                  </a:graphic>
                </wp:inline>
              </w:drawing>
            </w:r>
          </w:p>
          <w:p>
            <w:pPr>
              <w:pStyle w:val="3"/>
              <w:rPr>
                <w:rFonts w:hint="default"/>
                <w:lang w:val="en-US" w:eastAsia="zh-CN"/>
              </w:rPr>
            </w:pPr>
            <w:r>
              <w:drawing>
                <wp:inline distT="0" distB="0" distL="114300" distR="114300">
                  <wp:extent cx="5777865" cy="2980055"/>
                  <wp:effectExtent l="0" t="0" r="13335" b="1079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5"/>
                          <a:stretch>
                            <a:fillRect/>
                          </a:stretch>
                        </pic:blipFill>
                        <pic:spPr>
                          <a:xfrm>
                            <a:off x="0" y="0"/>
                            <a:ext cx="5777865" cy="2980055"/>
                          </a:xfrm>
                          <a:prstGeom prst="rect">
                            <a:avLst/>
                          </a:prstGeom>
                          <a:noFill/>
                          <a:ln>
                            <a:noFill/>
                          </a:ln>
                        </pic:spPr>
                      </pic:pic>
                    </a:graphicData>
                  </a:graphic>
                </wp:inline>
              </w:drawing>
            </w:r>
          </w:p>
          <w:p>
            <w:pPr>
              <w:pStyle w:val="3"/>
              <w:rPr>
                <w:rFonts w:hint="default"/>
                <w:lang w:val="en-US" w:eastAsia="zh-CN"/>
              </w:rPr>
            </w:pPr>
          </w:p>
        </w:tc>
        <w:tc>
          <w:tcPr>
            <w:tcW w:w="1585" w:type="dxa"/>
          </w:tcPr>
          <w:p>
            <w:pPr>
              <w:spacing w:line="360" w:lineRule="auto"/>
              <w:rPr>
                <w:rFonts w:eastAsiaTheme="minorEastAsia"/>
                <w:sz w:val="24"/>
                <w:szCs w:val="24"/>
              </w:rPr>
            </w:pPr>
            <w:r>
              <w:rPr>
                <w:rFonts w:hint="eastAsia" w:eastAsiaTheme="minorEastAsia"/>
                <w:sz w:val="24"/>
                <w:szCs w:val="24"/>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7" w:hRule="atLeast"/>
        </w:trPr>
        <w:tc>
          <w:tcPr>
            <w:tcW w:w="1242" w:type="dxa"/>
            <w:vAlign w:val="center"/>
          </w:tcPr>
          <w:p>
            <w:pPr>
              <w:spacing w:line="360" w:lineRule="auto"/>
              <w:rPr>
                <w:rFonts w:hAnsiTheme="minorEastAsia" w:eastAsiaTheme="minorEastAsia"/>
                <w:sz w:val="24"/>
                <w:szCs w:val="24"/>
              </w:rPr>
            </w:pPr>
            <w:r>
              <w:rPr>
                <w:rFonts w:hint="eastAsia" w:ascii="宋体" w:hAnsi="宋体" w:cs="Arial"/>
                <w:sz w:val="21"/>
                <w:szCs w:val="21"/>
              </w:rPr>
              <w:t>不</w:t>
            </w:r>
            <w:r>
              <w:rPr>
                <w:rFonts w:hint="eastAsia" w:ascii="宋体" w:hAnsi="宋体" w:cs="Arial"/>
                <w:sz w:val="21"/>
                <w:szCs w:val="21"/>
                <w:lang w:val="en-US" w:eastAsia="zh-CN"/>
              </w:rPr>
              <w:t>合格</w:t>
            </w:r>
            <w:r>
              <w:rPr>
                <w:rFonts w:hint="eastAsia" w:ascii="宋体" w:hAnsi="宋体" w:cs="Arial"/>
                <w:sz w:val="21"/>
                <w:szCs w:val="21"/>
              </w:rPr>
              <w:t>输出的控制</w:t>
            </w:r>
          </w:p>
        </w:tc>
        <w:tc>
          <w:tcPr>
            <w:tcW w:w="1276" w:type="dxa"/>
          </w:tcPr>
          <w:p>
            <w:pPr>
              <w:spacing w:line="360" w:lineRule="auto"/>
              <w:rPr>
                <w:rFonts w:hint="eastAsia" w:eastAsiaTheme="minorEastAsia"/>
                <w:sz w:val="24"/>
                <w:szCs w:val="24"/>
                <w:lang w:val="en-US" w:eastAsia="zh-CN"/>
              </w:rPr>
            </w:pPr>
            <w:r>
              <w:rPr>
                <w:rFonts w:eastAsiaTheme="minorEastAsia"/>
                <w:color w:val="000000"/>
                <w:sz w:val="24"/>
                <w:szCs w:val="24"/>
              </w:rPr>
              <w:t>Q8.</w:t>
            </w:r>
            <w:r>
              <w:rPr>
                <w:rFonts w:hint="eastAsia" w:eastAsiaTheme="minorEastAsia"/>
                <w:color w:val="000000"/>
                <w:sz w:val="24"/>
                <w:szCs w:val="24"/>
                <w:lang w:val="en-US" w:eastAsia="zh-CN"/>
              </w:rPr>
              <w:t>7</w:t>
            </w:r>
          </w:p>
        </w:tc>
        <w:tc>
          <w:tcPr>
            <w:tcW w:w="10606" w:type="dxa"/>
          </w:tcPr>
          <w:p>
            <w:pPr>
              <w:spacing w:line="360" w:lineRule="auto"/>
              <w:ind w:firstLine="420" w:firstLineChars="200"/>
              <w:jc w:val="left"/>
              <w:rPr>
                <w:rFonts w:hint="eastAsia" w:ascii="宋体" w:hAnsi="宋体" w:cs="宋体"/>
                <w:sz w:val="21"/>
                <w:szCs w:val="21"/>
                <w:lang w:eastAsia="zh-CN"/>
              </w:rPr>
            </w:pPr>
            <w:r>
              <w:rPr>
                <w:rFonts w:hint="eastAsia" w:ascii="宋体" w:hAnsi="宋体" w:eastAsia="宋体" w:cs="宋体"/>
                <w:sz w:val="21"/>
                <w:szCs w:val="21"/>
              </w:rPr>
              <w:t>提供</w:t>
            </w:r>
            <w:r>
              <w:rPr>
                <w:rFonts w:hint="eastAsia" w:ascii="宋体" w:hAnsi="宋体" w:eastAsia="宋体" w:cs="宋体"/>
                <w:sz w:val="21"/>
                <w:szCs w:val="21"/>
                <w:lang w:eastAsia="zh-CN"/>
              </w:rPr>
              <w:t>了</w:t>
            </w:r>
            <w:r>
              <w:rPr>
                <w:rFonts w:hint="eastAsia" w:ascii="宋体" w:hAnsi="宋体" w:eastAsia="宋体" w:cs="宋体"/>
                <w:sz w:val="21"/>
                <w:szCs w:val="21"/>
              </w:rPr>
              <w:t>《</w:t>
            </w:r>
            <w:r>
              <w:rPr>
                <w:rFonts w:hint="eastAsia" w:ascii="宋体" w:hAnsi="宋体" w:eastAsia="宋体" w:cs="宋体"/>
                <w:sz w:val="21"/>
                <w:szCs w:val="21"/>
                <w:lang w:eastAsia="zh-CN"/>
              </w:rPr>
              <w:t>不</w:t>
            </w:r>
            <w:r>
              <w:rPr>
                <w:rFonts w:hint="eastAsia" w:ascii="宋体" w:hAnsi="宋体" w:cs="宋体"/>
                <w:sz w:val="21"/>
                <w:szCs w:val="21"/>
                <w:lang w:val="en-US" w:eastAsia="zh-CN"/>
              </w:rPr>
              <w:t>合格</w:t>
            </w:r>
            <w:r>
              <w:rPr>
                <w:rFonts w:hint="eastAsia" w:ascii="宋体" w:hAnsi="宋体" w:eastAsia="宋体" w:cs="宋体"/>
                <w:sz w:val="21"/>
                <w:szCs w:val="21"/>
                <w:lang w:eastAsia="zh-CN"/>
              </w:rPr>
              <w:t>品</w:t>
            </w:r>
            <w:r>
              <w:rPr>
                <w:rFonts w:hint="eastAsia" w:ascii="宋体" w:hAnsi="宋体" w:cs="宋体"/>
                <w:sz w:val="21"/>
                <w:szCs w:val="21"/>
                <w:lang w:val="en-US" w:eastAsia="zh-CN"/>
              </w:rPr>
              <w:t>管理</w:t>
            </w:r>
            <w:r>
              <w:rPr>
                <w:rFonts w:hint="eastAsia" w:ascii="宋体" w:hAnsi="宋体" w:eastAsia="宋体" w:cs="宋体"/>
                <w:sz w:val="21"/>
                <w:szCs w:val="21"/>
              </w:rPr>
              <w:t>程序》，</w:t>
            </w:r>
            <w:r>
              <w:rPr>
                <w:rFonts w:hint="eastAsia" w:ascii="宋体" w:hAnsi="宋体" w:cs="宋体"/>
                <w:sz w:val="21"/>
                <w:szCs w:val="21"/>
                <w:lang w:val="en-US" w:eastAsia="zh-CN"/>
              </w:rPr>
              <w:t>生产、采购</w:t>
            </w:r>
            <w:r>
              <w:rPr>
                <w:rFonts w:hint="eastAsia" w:ascii="宋体" w:hAnsi="宋体" w:eastAsia="宋体" w:cs="宋体"/>
                <w:sz w:val="21"/>
                <w:szCs w:val="21"/>
                <w:lang w:eastAsia="zh-CN"/>
              </w:rPr>
              <w:t>过程中如有不</w:t>
            </w:r>
            <w:r>
              <w:rPr>
                <w:rFonts w:hint="eastAsia" w:ascii="宋体" w:hAnsi="宋体" w:cs="宋体"/>
                <w:sz w:val="21"/>
                <w:szCs w:val="21"/>
                <w:lang w:val="en-US" w:eastAsia="zh-CN"/>
              </w:rPr>
              <w:t>合格</w:t>
            </w:r>
            <w:r>
              <w:rPr>
                <w:rFonts w:hint="eastAsia" w:ascii="宋体" w:hAnsi="宋体" w:eastAsia="宋体" w:cs="宋体"/>
                <w:sz w:val="21"/>
                <w:szCs w:val="21"/>
                <w:lang w:eastAsia="zh-CN"/>
              </w:rPr>
              <w:t>产品</w:t>
            </w:r>
            <w:r>
              <w:rPr>
                <w:rFonts w:hint="eastAsia" w:ascii="宋体" w:hAnsi="宋体" w:eastAsia="宋体" w:cs="宋体"/>
                <w:sz w:val="21"/>
                <w:szCs w:val="21"/>
              </w:rPr>
              <w:t>，</w:t>
            </w:r>
            <w:r>
              <w:rPr>
                <w:rFonts w:hint="eastAsia" w:ascii="宋体" w:hAnsi="宋体" w:cs="宋体"/>
                <w:sz w:val="21"/>
                <w:szCs w:val="21"/>
                <w:lang w:val="en-US" w:eastAsia="zh-CN"/>
              </w:rPr>
              <w:t>由技术质检负责人</w:t>
            </w:r>
            <w:r>
              <w:rPr>
                <w:rFonts w:hint="eastAsia" w:ascii="宋体" w:hAnsi="宋体" w:eastAsia="宋体" w:cs="宋体"/>
                <w:sz w:val="21"/>
                <w:szCs w:val="21"/>
              </w:rPr>
              <w:t>填写《不</w:t>
            </w:r>
            <w:r>
              <w:rPr>
                <w:rFonts w:hint="eastAsia" w:ascii="宋体" w:hAnsi="宋体" w:cs="宋体"/>
                <w:sz w:val="21"/>
                <w:szCs w:val="21"/>
                <w:lang w:val="en-US" w:eastAsia="zh-CN"/>
              </w:rPr>
              <w:t>合格</w:t>
            </w:r>
            <w:r>
              <w:rPr>
                <w:rFonts w:hint="eastAsia" w:ascii="宋体" w:hAnsi="宋体" w:eastAsia="宋体" w:cs="宋体"/>
                <w:sz w:val="21"/>
                <w:szCs w:val="21"/>
              </w:rPr>
              <w:t>品评审处置</w:t>
            </w:r>
            <w:r>
              <w:rPr>
                <w:rFonts w:hint="eastAsia" w:ascii="宋体" w:hAnsi="宋体" w:cs="宋体"/>
                <w:sz w:val="21"/>
                <w:szCs w:val="21"/>
                <w:lang w:val="en-US" w:eastAsia="zh-CN"/>
              </w:rPr>
              <w:t>单</w:t>
            </w:r>
            <w:r>
              <w:rPr>
                <w:rFonts w:hint="eastAsia" w:ascii="宋体" w:hAnsi="宋体" w:eastAsia="宋体" w:cs="宋体"/>
                <w:sz w:val="21"/>
                <w:szCs w:val="21"/>
              </w:rPr>
              <w:t>》，提出处理意见，报主管领导审批后由负责部门执行。</w:t>
            </w:r>
            <w:r>
              <w:rPr>
                <w:rFonts w:hint="eastAsia" w:ascii="宋体" w:hAnsi="宋体" w:cs="宋体"/>
                <w:sz w:val="21"/>
                <w:szCs w:val="21"/>
                <w:lang w:eastAsia="zh-CN"/>
              </w:rPr>
              <w:t>同时根据《</w:t>
            </w:r>
            <w:r>
              <w:rPr>
                <w:rFonts w:hint="eastAsia" w:ascii="宋体" w:hAnsi="宋体" w:cs="宋体"/>
                <w:sz w:val="21"/>
                <w:szCs w:val="21"/>
                <w:lang w:val="en-US" w:eastAsia="zh-CN"/>
              </w:rPr>
              <w:t>不符合、纠正预防管理</w:t>
            </w:r>
            <w:r>
              <w:rPr>
                <w:rFonts w:hint="eastAsia" w:ascii="宋体" w:hAnsi="宋体" w:cs="宋体"/>
                <w:sz w:val="21"/>
                <w:szCs w:val="21"/>
                <w:lang w:eastAsia="zh-CN"/>
              </w:rPr>
              <w:t>程序》采取纠正措</w:t>
            </w:r>
          </w:p>
          <w:p>
            <w:pPr>
              <w:spacing w:line="360" w:lineRule="auto"/>
              <w:jc w:val="left"/>
              <w:rPr>
                <w:rFonts w:hint="eastAsia" w:ascii="宋体" w:hAnsi="宋体" w:cs="宋体"/>
                <w:sz w:val="21"/>
                <w:szCs w:val="21"/>
                <w:lang w:eastAsia="zh-CN"/>
              </w:rPr>
            </w:pPr>
            <w:r>
              <w:rPr>
                <w:rFonts w:hint="eastAsia" w:ascii="宋体" w:hAnsi="宋体" w:cs="宋体"/>
                <w:sz w:val="21"/>
                <w:szCs w:val="21"/>
                <w:lang w:eastAsia="zh-CN"/>
              </w:rPr>
              <w:t>施，以防止再次放生。</w:t>
            </w:r>
          </w:p>
          <w:p>
            <w:pPr>
              <w:spacing w:line="360" w:lineRule="auto"/>
              <w:ind w:firstLine="480" w:firstLineChars="200"/>
              <w:jc w:val="left"/>
              <w:rPr>
                <w:rFonts w:hint="eastAsia" w:hAnsiTheme="minorEastAsia" w:eastAsiaTheme="minorEastAsia"/>
                <w:sz w:val="24"/>
                <w:szCs w:val="24"/>
                <w:lang w:eastAsia="zh-CN"/>
              </w:rPr>
            </w:pPr>
            <w:r>
              <w:rPr>
                <w:rFonts w:hAnsiTheme="minorEastAsia" w:eastAsiaTheme="minorEastAsia"/>
                <w:sz w:val="24"/>
                <w:szCs w:val="24"/>
              </w:rPr>
              <w:drawing>
                <wp:inline distT="0" distB="0" distL="114300" distR="114300">
                  <wp:extent cx="3216275" cy="3265805"/>
                  <wp:effectExtent l="0" t="0" r="3175" b="1079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26"/>
                          <a:stretch>
                            <a:fillRect/>
                          </a:stretch>
                        </pic:blipFill>
                        <pic:spPr>
                          <a:xfrm>
                            <a:off x="0" y="0"/>
                            <a:ext cx="3216275" cy="3265805"/>
                          </a:xfrm>
                          <a:prstGeom prst="rect">
                            <a:avLst/>
                          </a:prstGeom>
                        </pic:spPr>
                      </pic:pic>
                    </a:graphicData>
                  </a:graphic>
                </wp:inline>
              </w:drawing>
            </w:r>
          </w:p>
        </w:tc>
        <w:tc>
          <w:tcPr>
            <w:tcW w:w="1585" w:type="dxa"/>
          </w:tcPr>
          <w:p>
            <w:pPr>
              <w:spacing w:line="360" w:lineRule="auto"/>
              <w:rPr>
                <w:rFonts w:eastAsiaTheme="minorEastAsia"/>
                <w:sz w:val="24"/>
                <w:szCs w:val="24"/>
              </w:rPr>
            </w:pPr>
            <w:r>
              <w:rPr>
                <w:rFonts w:hint="eastAsia" w:eastAsiaTheme="minorEastAsia"/>
                <w:sz w:val="24"/>
                <w:szCs w:val="24"/>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1242" w:type="dxa"/>
            <w:vAlign w:val="center"/>
          </w:tcPr>
          <w:p>
            <w:pPr>
              <w:spacing w:line="360" w:lineRule="auto"/>
              <w:rPr>
                <w:rFonts w:eastAsiaTheme="minorEastAsia"/>
                <w:sz w:val="24"/>
                <w:szCs w:val="24"/>
              </w:rPr>
            </w:pPr>
            <w:r>
              <w:rPr>
                <w:rFonts w:hAnsiTheme="minorEastAsia" w:eastAsiaTheme="minorEastAsia"/>
                <w:sz w:val="24"/>
                <w:szCs w:val="24"/>
              </w:rPr>
              <w:t>客户满意</w:t>
            </w:r>
          </w:p>
        </w:tc>
        <w:tc>
          <w:tcPr>
            <w:tcW w:w="1276" w:type="dxa"/>
          </w:tcPr>
          <w:p>
            <w:pPr>
              <w:spacing w:line="360" w:lineRule="auto"/>
              <w:rPr>
                <w:rFonts w:eastAsiaTheme="minorEastAsia"/>
                <w:sz w:val="24"/>
                <w:szCs w:val="24"/>
              </w:rPr>
            </w:pPr>
            <w:r>
              <w:rPr>
                <w:rFonts w:eastAsiaTheme="minorEastAsia"/>
                <w:sz w:val="24"/>
                <w:szCs w:val="24"/>
              </w:rPr>
              <w:t>Q9.1.2</w:t>
            </w:r>
          </w:p>
        </w:tc>
        <w:tc>
          <w:tcPr>
            <w:tcW w:w="10606" w:type="dxa"/>
          </w:tcPr>
          <w:p>
            <w:pPr>
              <w:tabs>
                <w:tab w:val="left" w:pos="6597"/>
              </w:tabs>
              <w:spacing w:line="360" w:lineRule="auto"/>
              <w:ind w:firstLine="480" w:firstLineChars="200"/>
              <w:rPr>
                <w:rFonts w:eastAsiaTheme="minorEastAsia"/>
                <w:sz w:val="24"/>
                <w:szCs w:val="24"/>
              </w:rPr>
            </w:pPr>
            <w:r>
              <w:rPr>
                <w:rFonts w:hAnsiTheme="minorEastAsia" w:eastAsiaTheme="minorEastAsia"/>
                <w:sz w:val="24"/>
                <w:szCs w:val="24"/>
              </w:rPr>
              <w:t>公司编制《顾客满意度控制程序》，通过拜访、电话、电邮、问卷等形式，收集顾客反馈信息，监视顾客满意程度，评价体系的有效性，寻求体系改进的机会。</w:t>
            </w:r>
          </w:p>
          <w:p>
            <w:pPr>
              <w:spacing w:line="360" w:lineRule="auto"/>
              <w:ind w:firstLine="480" w:firstLineChars="200"/>
              <w:rPr>
                <w:rFonts w:eastAsiaTheme="minorEastAsia"/>
                <w:sz w:val="24"/>
                <w:szCs w:val="24"/>
              </w:rPr>
            </w:pPr>
            <w:r>
              <w:rPr>
                <w:rFonts w:hAnsiTheme="minorEastAsia" w:eastAsiaTheme="minorEastAsia"/>
                <w:sz w:val="24"/>
                <w:szCs w:val="24"/>
              </w:rPr>
              <w:t>提供如客户：</w:t>
            </w:r>
            <w:r>
              <w:rPr>
                <w:rFonts w:hint="eastAsia" w:ascii="宋体" w:hAnsi="宋体" w:eastAsiaTheme="minorEastAsia"/>
                <w:sz w:val="24"/>
                <w:lang w:val="en-US" w:eastAsia="zh-CN"/>
              </w:rPr>
              <w:t>晋江市中环家店</w:t>
            </w:r>
            <w:r>
              <w:rPr>
                <w:rFonts w:hAnsiTheme="minorEastAsia" w:eastAsiaTheme="minorEastAsia"/>
                <w:sz w:val="24"/>
                <w:szCs w:val="24"/>
              </w:rPr>
              <w:t>、</w:t>
            </w:r>
            <w:r>
              <w:rPr>
                <w:rFonts w:hint="eastAsia" w:ascii="宋体" w:hAnsi="宋体" w:eastAsiaTheme="minorEastAsia"/>
                <w:sz w:val="24"/>
                <w:lang w:val="en-US" w:eastAsia="zh-CN"/>
              </w:rPr>
              <w:t>鼎凯龙（福建）印刷科技有限公司</w:t>
            </w:r>
            <w:r>
              <w:rPr>
                <w:rFonts w:hint="eastAsia" w:ascii="宋体" w:hAnsi="宋体"/>
                <w:sz w:val="24"/>
                <w:szCs w:val="24"/>
              </w:rPr>
              <w:t>、</w:t>
            </w:r>
            <w:r>
              <w:rPr>
                <w:rFonts w:hint="eastAsia" w:ascii="宋体" w:hAnsi="宋体"/>
                <w:sz w:val="24"/>
                <w:lang w:val="en-US" w:eastAsia="zh-CN"/>
              </w:rPr>
              <w:t>泉州市骆哥体育用品有限公司</w:t>
            </w:r>
            <w:r>
              <w:rPr>
                <w:rFonts w:hAnsiTheme="minorEastAsia" w:eastAsiaTheme="minorEastAsia"/>
                <w:sz w:val="24"/>
                <w:szCs w:val="24"/>
              </w:rPr>
              <w:t>等</w:t>
            </w:r>
            <w:r>
              <w:rPr>
                <w:rFonts w:hint="eastAsia" w:hAnsiTheme="minorEastAsia" w:eastAsiaTheme="minorEastAsia"/>
                <w:sz w:val="24"/>
                <w:szCs w:val="24"/>
                <w:lang w:val="en-US" w:eastAsia="zh-CN"/>
              </w:rPr>
              <w:t>4</w:t>
            </w:r>
            <w:r>
              <w:rPr>
                <w:rFonts w:hAnsiTheme="minorEastAsia" w:eastAsiaTheme="minorEastAsia"/>
                <w:sz w:val="24"/>
                <w:szCs w:val="24"/>
              </w:rPr>
              <w:t>家顾客的《顾客满意度调查记录表》，调查包含：质量、交货期、服务、价格等指标，满意程度分为很满意</w:t>
            </w:r>
            <w:r>
              <w:rPr>
                <w:rFonts w:eastAsiaTheme="minorEastAsia"/>
                <w:sz w:val="24"/>
                <w:szCs w:val="24"/>
              </w:rPr>
              <w:t>---</w:t>
            </w:r>
            <w:r>
              <w:rPr>
                <w:rFonts w:hAnsiTheme="minorEastAsia" w:eastAsiaTheme="minorEastAsia"/>
                <w:sz w:val="24"/>
                <w:szCs w:val="24"/>
              </w:rPr>
              <w:t>不满意等四个档次。从提供的调查表来看，客户对组织评价均为</w:t>
            </w:r>
            <w:r>
              <w:rPr>
                <w:rFonts w:eastAsiaTheme="minorEastAsia"/>
                <w:sz w:val="24"/>
                <w:szCs w:val="24"/>
              </w:rPr>
              <w:t>“</w:t>
            </w:r>
            <w:r>
              <w:rPr>
                <w:rFonts w:hAnsiTheme="minorEastAsia" w:eastAsiaTheme="minorEastAsia"/>
                <w:sz w:val="24"/>
                <w:szCs w:val="24"/>
              </w:rPr>
              <w:t>很满意</w:t>
            </w:r>
            <w:r>
              <w:rPr>
                <w:rFonts w:eastAsiaTheme="minorEastAsia"/>
                <w:sz w:val="24"/>
                <w:szCs w:val="24"/>
              </w:rPr>
              <w:t>”</w:t>
            </w:r>
            <w:r>
              <w:rPr>
                <w:rFonts w:hAnsiTheme="minorEastAsia" w:eastAsiaTheme="minorEastAsia"/>
                <w:sz w:val="24"/>
                <w:szCs w:val="24"/>
              </w:rPr>
              <w:t>、</w:t>
            </w:r>
            <w:r>
              <w:rPr>
                <w:rFonts w:eastAsiaTheme="minorEastAsia"/>
                <w:sz w:val="24"/>
                <w:szCs w:val="24"/>
              </w:rPr>
              <w:t>“</w:t>
            </w:r>
            <w:r>
              <w:rPr>
                <w:rFonts w:hAnsiTheme="minorEastAsia" w:eastAsiaTheme="minorEastAsia"/>
                <w:sz w:val="24"/>
                <w:szCs w:val="24"/>
              </w:rPr>
              <w:t>满意</w:t>
            </w:r>
            <w:r>
              <w:rPr>
                <w:rFonts w:eastAsiaTheme="minorEastAsia"/>
                <w:sz w:val="24"/>
                <w:szCs w:val="24"/>
              </w:rPr>
              <w:t>”</w:t>
            </w:r>
            <w:r>
              <w:rPr>
                <w:rFonts w:hAnsiTheme="minorEastAsia" w:eastAsiaTheme="minorEastAsia"/>
                <w:sz w:val="24"/>
                <w:szCs w:val="24"/>
              </w:rPr>
              <w:t>。</w:t>
            </w:r>
          </w:p>
          <w:p>
            <w:pPr>
              <w:spacing w:line="360" w:lineRule="auto"/>
              <w:ind w:firstLine="480" w:firstLineChars="200"/>
              <w:rPr>
                <w:rFonts w:eastAsiaTheme="minorEastAsia"/>
                <w:sz w:val="24"/>
                <w:szCs w:val="24"/>
              </w:rPr>
            </w:pPr>
            <w:r>
              <w:rPr>
                <w:rFonts w:hAnsiTheme="minorEastAsia" w:eastAsiaTheme="minorEastAsia"/>
                <w:sz w:val="24"/>
                <w:szCs w:val="24"/>
              </w:rPr>
              <w:t>查见</w:t>
            </w:r>
            <w:r>
              <w:rPr>
                <w:rFonts w:eastAsiaTheme="minorEastAsia"/>
                <w:sz w:val="24"/>
                <w:szCs w:val="24"/>
              </w:rPr>
              <w:t>20</w:t>
            </w:r>
            <w:r>
              <w:rPr>
                <w:rFonts w:hint="eastAsia" w:eastAsiaTheme="minorEastAsia"/>
                <w:sz w:val="24"/>
                <w:szCs w:val="24"/>
              </w:rPr>
              <w:t>21.</w:t>
            </w:r>
            <w:r>
              <w:rPr>
                <w:rFonts w:hint="eastAsia" w:eastAsiaTheme="minorEastAsia"/>
                <w:sz w:val="24"/>
                <w:szCs w:val="24"/>
                <w:lang w:val="en-US" w:eastAsia="zh-CN"/>
              </w:rPr>
              <w:t>5</w:t>
            </w:r>
            <w:r>
              <w:rPr>
                <w:rFonts w:hint="eastAsia" w:eastAsiaTheme="minorEastAsia"/>
                <w:sz w:val="24"/>
                <w:szCs w:val="24"/>
              </w:rPr>
              <w:t>.</w:t>
            </w:r>
            <w:r>
              <w:rPr>
                <w:rFonts w:hint="eastAsia" w:eastAsiaTheme="minorEastAsia"/>
                <w:sz w:val="24"/>
                <w:szCs w:val="24"/>
                <w:lang w:val="en-US" w:eastAsia="zh-CN"/>
              </w:rPr>
              <w:t>12</w:t>
            </w:r>
            <w:r>
              <w:rPr>
                <w:rFonts w:hAnsiTheme="minorEastAsia" w:eastAsiaTheme="minorEastAsia"/>
                <w:sz w:val="24"/>
                <w:szCs w:val="24"/>
              </w:rPr>
              <w:t>日的《顾客满意度调查分析》，对顾客满意度指标完成情况、顾客建议改进方向等予以分析汇总，经评价测算客户满意度得分</w:t>
            </w:r>
            <w:r>
              <w:rPr>
                <w:rFonts w:eastAsiaTheme="minorEastAsia"/>
                <w:sz w:val="24"/>
                <w:szCs w:val="24"/>
              </w:rPr>
              <w:t>9</w:t>
            </w:r>
            <w:r>
              <w:rPr>
                <w:rFonts w:hint="eastAsia" w:eastAsiaTheme="minorEastAsia"/>
                <w:sz w:val="24"/>
                <w:szCs w:val="24"/>
                <w:lang w:val="en-US" w:eastAsia="zh-CN"/>
              </w:rPr>
              <w:t>6</w:t>
            </w:r>
            <w:r>
              <w:rPr>
                <w:rFonts w:hAnsiTheme="minorEastAsia" w:eastAsiaTheme="minorEastAsia"/>
                <w:sz w:val="24"/>
                <w:szCs w:val="24"/>
              </w:rPr>
              <w:t>分。</w:t>
            </w:r>
          </w:p>
          <w:p>
            <w:pPr>
              <w:spacing w:line="360" w:lineRule="auto"/>
              <w:ind w:firstLine="480" w:firstLineChars="200"/>
              <w:rPr>
                <w:rFonts w:eastAsiaTheme="minorEastAsia"/>
                <w:sz w:val="24"/>
                <w:szCs w:val="24"/>
              </w:rPr>
            </w:pPr>
            <w:r>
              <w:rPr>
                <w:rFonts w:hAnsiTheme="minorEastAsia" w:eastAsiaTheme="minorEastAsia"/>
                <w:sz w:val="24"/>
                <w:szCs w:val="24"/>
              </w:rPr>
              <w:t>企业对顾客满意度的调查、分析利用进行了策划并实施，基本符合标准条款的要求。</w:t>
            </w:r>
          </w:p>
        </w:tc>
        <w:tc>
          <w:tcPr>
            <w:tcW w:w="1585" w:type="dxa"/>
          </w:tcPr>
          <w:p>
            <w:pPr>
              <w:spacing w:line="360" w:lineRule="auto"/>
              <w:rPr>
                <w:rFonts w:hint="eastAsia" w:eastAsiaTheme="minorEastAsia"/>
                <w:sz w:val="24"/>
                <w:szCs w:val="24"/>
                <w:highlight w:val="yellow"/>
                <w:lang w:eastAsia="zh-CN"/>
              </w:rPr>
            </w:pPr>
            <w:r>
              <w:rPr>
                <w:rFonts w:hint="eastAsia" w:eastAsiaTheme="minorEastAsia"/>
                <w:sz w:val="24"/>
                <w:szCs w:val="24"/>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1242" w:type="dxa"/>
            <w:vAlign w:val="center"/>
          </w:tcPr>
          <w:p>
            <w:pPr>
              <w:tabs>
                <w:tab w:val="left" w:pos="6597"/>
              </w:tabs>
              <w:spacing w:line="360" w:lineRule="auto"/>
              <w:rPr>
                <w:rFonts w:eastAsiaTheme="minorEastAsia"/>
                <w:sz w:val="24"/>
                <w:szCs w:val="24"/>
              </w:rPr>
            </w:pPr>
            <w:r>
              <w:rPr>
                <w:rFonts w:hAnsiTheme="minorEastAsia" w:eastAsiaTheme="minorEastAsia"/>
                <w:sz w:val="24"/>
                <w:szCs w:val="24"/>
              </w:rPr>
              <w:t>环境因素</w:t>
            </w:r>
            <w:r>
              <w:rPr>
                <w:rFonts w:eastAsiaTheme="minorEastAsia"/>
                <w:sz w:val="24"/>
                <w:szCs w:val="24"/>
              </w:rPr>
              <w:t>/</w:t>
            </w:r>
            <w:r>
              <w:rPr>
                <w:rFonts w:hAnsiTheme="minorEastAsia" w:eastAsiaTheme="minorEastAsia"/>
                <w:sz w:val="24"/>
                <w:szCs w:val="24"/>
              </w:rPr>
              <w:t>危险源辨识与评价</w:t>
            </w:r>
          </w:p>
        </w:tc>
        <w:tc>
          <w:tcPr>
            <w:tcW w:w="1276" w:type="dxa"/>
          </w:tcPr>
          <w:p>
            <w:pPr>
              <w:tabs>
                <w:tab w:val="left" w:pos="6597"/>
              </w:tabs>
              <w:spacing w:line="360" w:lineRule="auto"/>
              <w:rPr>
                <w:rFonts w:eastAsiaTheme="minorEastAsia"/>
                <w:sz w:val="24"/>
                <w:szCs w:val="24"/>
              </w:rPr>
            </w:pPr>
            <w:r>
              <w:rPr>
                <w:rFonts w:eastAsiaTheme="minorEastAsia"/>
                <w:sz w:val="24"/>
                <w:szCs w:val="24"/>
              </w:rPr>
              <w:t>E</w:t>
            </w:r>
            <w:r>
              <w:rPr>
                <w:rFonts w:hint="eastAsia" w:eastAsiaTheme="minorEastAsia"/>
                <w:sz w:val="24"/>
                <w:szCs w:val="24"/>
                <w:lang w:val="en-US" w:eastAsia="zh-CN"/>
              </w:rPr>
              <w:t>O</w:t>
            </w:r>
            <w:r>
              <w:rPr>
                <w:rFonts w:eastAsiaTheme="minorEastAsia"/>
                <w:sz w:val="24"/>
                <w:szCs w:val="24"/>
              </w:rPr>
              <w:t>6.1.2</w:t>
            </w:r>
          </w:p>
          <w:p>
            <w:pPr>
              <w:tabs>
                <w:tab w:val="left" w:pos="6597"/>
              </w:tabs>
              <w:spacing w:line="360" w:lineRule="auto"/>
              <w:rPr>
                <w:rFonts w:eastAsiaTheme="minorEastAsia"/>
                <w:sz w:val="24"/>
                <w:szCs w:val="24"/>
              </w:rPr>
            </w:pPr>
          </w:p>
        </w:tc>
        <w:tc>
          <w:tcPr>
            <w:tcW w:w="10606" w:type="dxa"/>
          </w:tcPr>
          <w:p>
            <w:pPr>
              <w:tabs>
                <w:tab w:val="left" w:pos="6597"/>
              </w:tabs>
              <w:spacing w:line="360" w:lineRule="auto"/>
              <w:ind w:firstLine="480" w:firstLineChars="200"/>
              <w:rPr>
                <w:rFonts w:hAnsiTheme="minorEastAsia" w:eastAsiaTheme="minorEastAsia"/>
                <w:sz w:val="24"/>
                <w:szCs w:val="24"/>
              </w:rPr>
            </w:pPr>
            <w:r>
              <w:rPr>
                <w:rFonts w:hint="eastAsia" w:hAnsiTheme="minorEastAsia" w:eastAsiaTheme="minorEastAsia"/>
                <w:sz w:val="24"/>
                <w:szCs w:val="24"/>
              </w:rPr>
              <w:t>查有：《环境因素和危险源识别评价与控制程序》,销售部按照办公过程和采购服务过程、销售服务过程对环境因素、危险源进行了辨识，辨识时考虑了三种时态：过去、现在和将来，和三种状态：正常、异常和紧急。</w:t>
            </w:r>
          </w:p>
          <w:p>
            <w:pPr>
              <w:tabs>
                <w:tab w:val="left" w:pos="6597"/>
              </w:tabs>
              <w:spacing w:line="360" w:lineRule="auto"/>
              <w:ind w:firstLine="480" w:firstLineChars="200"/>
              <w:rPr>
                <w:rFonts w:hAnsiTheme="minorEastAsia" w:eastAsiaTheme="minorEastAsia"/>
                <w:sz w:val="24"/>
                <w:szCs w:val="24"/>
              </w:rPr>
            </w:pPr>
            <w:r>
              <w:rPr>
                <w:rFonts w:hint="eastAsia" w:hAnsiTheme="minorEastAsia" w:eastAsiaTheme="minorEastAsia"/>
                <w:sz w:val="24"/>
                <w:szCs w:val="24"/>
              </w:rPr>
              <w:t>查销售部的“环境因素识别评价汇总表”，识别了本部门在办公、采购、销售、相关方等各有关过程的环境因素，包括日光灯更换、电脑使用用电消耗、办公纸张、采购、销售活动宣传材料的处置、车辆尾气排放、废包装物排放等环境因素，识别时能考虑产品生命周期观点。</w:t>
            </w:r>
          </w:p>
          <w:p>
            <w:pPr>
              <w:tabs>
                <w:tab w:val="left" w:pos="6597"/>
              </w:tabs>
              <w:spacing w:line="360" w:lineRule="auto"/>
              <w:ind w:firstLine="480" w:firstLineChars="200"/>
              <w:rPr>
                <w:rFonts w:hAnsiTheme="minorEastAsia" w:eastAsiaTheme="minorEastAsia"/>
                <w:sz w:val="24"/>
                <w:szCs w:val="24"/>
              </w:rPr>
            </w:pPr>
            <w:r>
              <w:rPr>
                <w:rFonts w:hint="eastAsia" w:hAnsiTheme="minorEastAsia" w:eastAsiaTheme="minorEastAsia"/>
                <w:sz w:val="24"/>
                <w:szCs w:val="24"/>
              </w:rPr>
              <w:t>查《重要环境因素清单》，涉及销售部有2项重要环境因素，包括：潜在火灾、固体废弃物的排放。</w:t>
            </w:r>
          </w:p>
          <w:p>
            <w:pPr>
              <w:tabs>
                <w:tab w:val="left" w:pos="6597"/>
              </w:tabs>
              <w:spacing w:line="360" w:lineRule="auto"/>
              <w:ind w:firstLine="480" w:firstLineChars="200"/>
              <w:rPr>
                <w:rFonts w:hAnsiTheme="minorEastAsia" w:eastAsiaTheme="minorEastAsia"/>
                <w:sz w:val="24"/>
                <w:szCs w:val="24"/>
              </w:rPr>
            </w:pPr>
            <w:r>
              <w:rPr>
                <w:rFonts w:hint="eastAsia" w:hAnsiTheme="minorEastAsia" w:eastAsiaTheme="minorEastAsia"/>
                <w:sz w:val="24"/>
                <w:szCs w:val="24"/>
              </w:rPr>
              <w:t>控制措施：固废分类存放、垃圾等由</w:t>
            </w:r>
            <w:r>
              <w:rPr>
                <w:rFonts w:hint="eastAsia" w:hAnsiTheme="minorEastAsia" w:eastAsiaTheme="minorEastAsia"/>
                <w:sz w:val="24"/>
                <w:szCs w:val="24"/>
                <w:lang w:eastAsia="zh-CN"/>
              </w:rPr>
              <w:t>行政部</w:t>
            </w:r>
            <w:r>
              <w:rPr>
                <w:rFonts w:hint="eastAsia" w:hAnsiTheme="minorEastAsia" w:eastAsiaTheme="minorEastAsia"/>
                <w:sz w:val="24"/>
                <w:szCs w:val="24"/>
              </w:rPr>
              <w:t>负责按规定处置，包装物分类卖掉，日常检查、培训教育，配备有消防器材、制定应急预案等措施。</w:t>
            </w:r>
          </w:p>
          <w:p>
            <w:pPr>
              <w:tabs>
                <w:tab w:val="left" w:pos="6597"/>
              </w:tabs>
              <w:spacing w:line="360" w:lineRule="auto"/>
              <w:ind w:firstLine="480" w:firstLineChars="200"/>
              <w:rPr>
                <w:rFonts w:hAnsiTheme="minorEastAsia" w:eastAsiaTheme="minorEastAsia"/>
                <w:sz w:val="24"/>
                <w:szCs w:val="24"/>
              </w:rPr>
            </w:pPr>
            <w:r>
              <w:rPr>
                <w:rFonts w:hint="eastAsia" w:hAnsiTheme="minorEastAsia" w:eastAsiaTheme="minorEastAsia"/>
                <w:sz w:val="24"/>
                <w:szCs w:val="24"/>
              </w:rPr>
              <w:t>查销售部的“危险源识别及风险评价表”，识别了办公电线破损裸露、电器漏电触电、电脑显示屏的辐射、电器超负荷、疲劳或情绪不稳情况下驾驶等危险源。</w:t>
            </w:r>
          </w:p>
          <w:p>
            <w:pPr>
              <w:tabs>
                <w:tab w:val="left" w:pos="6597"/>
              </w:tabs>
              <w:spacing w:line="360" w:lineRule="auto"/>
              <w:ind w:firstLine="480" w:firstLineChars="200"/>
              <w:rPr>
                <w:rFonts w:hAnsiTheme="minorEastAsia" w:eastAsiaTheme="minorEastAsia"/>
                <w:sz w:val="24"/>
                <w:szCs w:val="24"/>
              </w:rPr>
            </w:pPr>
            <w:r>
              <w:rPr>
                <w:rFonts w:hint="eastAsia" w:hAnsiTheme="minorEastAsia" w:eastAsiaTheme="minorEastAsia"/>
                <w:sz w:val="24"/>
                <w:szCs w:val="24"/>
              </w:rPr>
              <w:t>控制措施：危险源控制执行管理方案、配备消防器材、个体防护、日常检查、培训教育、应急预案等运行控制措施。</w:t>
            </w:r>
          </w:p>
          <w:p>
            <w:pPr>
              <w:tabs>
                <w:tab w:val="left" w:pos="6597"/>
              </w:tabs>
              <w:spacing w:line="360" w:lineRule="auto"/>
              <w:ind w:firstLine="480" w:firstLineChars="200"/>
              <w:rPr>
                <w:rFonts w:hAnsiTheme="minorEastAsia" w:eastAsiaTheme="minorEastAsia"/>
                <w:sz w:val="24"/>
                <w:szCs w:val="24"/>
              </w:rPr>
            </w:pPr>
            <w:r>
              <w:rPr>
                <w:rFonts w:hint="eastAsia" w:hAnsiTheme="minorEastAsia" w:eastAsiaTheme="minorEastAsia"/>
                <w:sz w:val="24"/>
                <w:szCs w:val="24"/>
              </w:rPr>
              <w:t>部门识别和评价基本充分，符合规定要求。</w:t>
            </w:r>
          </w:p>
        </w:tc>
        <w:tc>
          <w:tcPr>
            <w:tcW w:w="1585" w:type="dxa"/>
          </w:tcPr>
          <w:p>
            <w:pPr>
              <w:spacing w:line="360" w:lineRule="auto"/>
              <w:rPr>
                <w:rFonts w:eastAsiaTheme="minorEastAsia"/>
                <w:sz w:val="24"/>
                <w:szCs w:val="24"/>
                <w:highlight w:val="yellow"/>
              </w:rPr>
            </w:pPr>
            <w:r>
              <w:rPr>
                <w:rFonts w:hint="eastAsia" w:eastAsiaTheme="minorEastAsia"/>
                <w:sz w:val="24"/>
                <w:szCs w:val="24"/>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42" w:type="dxa"/>
            <w:vAlign w:val="center"/>
          </w:tcPr>
          <w:p>
            <w:pPr>
              <w:tabs>
                <w:tab w:val="left" w:pos="6597"/>
              </w:tabs>
              <w:spacing w:line="360" w:lineRule="auto"/>
              <w:rPr>
                <w:rFonts w:eastAsiaTheme="minorEastAsia"/>
                <w:sz w:val="24"/>
                <w:szCs w:val="24"/>
              </w:rPr>
            </w:pPr>
            <w:r>
              <w:rPr>
                <w:rFonts w:hAnsiTheme="minorEastAsia" w:eastAsiaTheme="minorEastAsia"/>
                <w:sz w:val="24"/>
                <w:szCs w:val="24"/>
              </w:rPr>
              <w:t>运行策划和控制</w:t>
            </w:r>
          </w:p>
        </w:tc>
        <w:tc>
          <w:tcPr>
            <w:tcW w:w="1276" w:type="dxa"/>
          </w:tcPr>
          <w:p>
            <w:pPr>
              <w:tabs>
                <w:tab w:val="left" w:pos="6597"/>
              </w:tabs>
              <w:spacing w:line="360" w:lineRule="auto"/>
              <w:rPr>
                <w:rFonts w:eastAsiaTheme="minorEastAsia"/>
                <w:sz w:val="24"/>
                <w:szCs w:val="24"/>
              </w:rPr>
            </w:pPr>
            <w:r>
              <w:rPr>
                <w:rFonts w:eastAsiaTheme="minorEastAsia"/>
                <w:sz w:val="24"/>
                <w:szCs w:val="24"/>
              </w:rPr>
              <w:t>E</w:t>
            </w:r>
            <w:r>
              <w:rPr>
                <w:rFonts w:hint="eastAsia" w:eastAsiaTheme="minorEastAsia"/>
                <w:sz w:val="24"/>
                <w:szCs w:val="24"/>
                <w:lang w:val="en-US" w:eastAsia="zh-CN"/>
              </w:rPr>
              <w:t>O</w:t>
            </w:r>
            <w:r>
              <w:rPr>
                <w:rFonts w:eastAsiaTheme="minorEastAsia"/>
                <w:sz w:val="24"/>
                <w:szCs w:val="24"/>
              </w:rPr>
              <w:t>8.1</w:t>
            </w:r>
          </w:p>
          <w:p>
            <w:pPr>
              <w:tabs>
                <w:tab w:val="left" w:pos="6597"/>
              </w:tabs>
              <w:spacing w:line="360" w:lineRule="auto"/>
              <w:rPr>
                <w:rFonts w:eastAsiaTheme="minorEastAsia"/>
                <w:sz w:val="24"/>
                <w:szCs w:val="24"/>
              </w:rPr>
            </w:pPr>
          </w:p>
        </w:tc>
        <w:tc>
          <w:tcPr>
            <w:tcW w:w="10606" w:type="dxa"/>
          </w:tcPr>
          <w:p>
            <w:pPr>
              <w:tabs>
                <w:tab w:val="left" w:pos="6597"/>
              </w:tabs>
              <w:spacing w:line="360" w:lineRule="auto"/>
              <w:ind w:firstLine="480" w:firstLineChars="200"/>
              <w:rPr>
                <w:rFonts w:eastAsiaTheme="minorEastAsia"/>
                <w:sz w:val="24"/>
                <w:szCs w:val="24"/>
              </w:rPr>
            </w:pPr>
            <w:r>
              <w:rPr>
                <w:rFonts w:eastAsiaTheme="minorEastAsia"/>
                <w:sz w:val="24"/>
                <w:szCs w:val="24"/>
              </w:rPr>
              <w:t>1.</w:t>
            </w:r>
            <w:r>
              <w:rPr>
                <w:rFonts w:hint="eastAsia" w:eastAsiaTheme="minorEastAsia"/>
                <w:sz w:val="24"/>
                <w:szCs w:val="24"/>
              </w:rPr>
              <w:t>编制并实施了运行控制程序、资源能源控制程序、废弃物控制程序、消防控制程序等环境、职业健康安全控制程序和管理制度。</w:t>
            </w:r>
            <w:r>
              <w:rPr>
                <w:rFonts w:hAnsiTheme="minorEastAsia" w:eastAsiaTheme="minorEastAsia"/>
                <w:sz w:val="24"/>
                <w:szCs w:val="24"/>
              </w:rPr>
              <w:t>编制并实施了环境、职业健康安全控制程序和管理制度。</w:t>
            </w:r>
          </w:p>
          <w:p>
            <w:pPr>
              <w:tabs>
                <w:tab w:val="left" w:pos="6597"/>
              </w:tabs>
              <w:spacing w:line="360" w:lineRule="auto"/>
              <w:ind w:firstLine="480" w:firstLineChars="200"/>
              <w:rPr>
                <w:rFonts w:eastAsiaTheme="minorEastAsia"/>
                <w:sz w:val="24"/>
                <w:szCs w:val="24"/>
              </w:rPr>
            </w:pPr>
            <w:r>
              <w:rPr>
                <w:rFonts w:hint="eastAsia" w:eastAsiaTheme="minorEastAsia"/>
                <w:sz w:val="24"/>
                <w:szCs w:val="24"/>
              </w:rPr>
              <w:t>2</w:t>
            </w:r>
            <w:r>
              <w:rPr>
                <w:rFonts w:eastAsiaTheme="minorEastAsia"/>
                <w:sz w:val="24"/>
                <w:szCs w:val="24"/>
              </w:rPr>
              <w:t>.</w:t>
            </w:r>
            <w:r>
              <w:rPr>
                <w:rFonts w:hAnsiTheme="minorEastAsia" w:eastAsiaTheme="minorEastAsia"/>
                <w:sz w:val="24"/>
                <w:szCs w:val="24"/>
              </w:rPr>
              <w:t>本部门办公中所使用的办公用品均由公司</w:t>
            </w:r>
            <w:r>
              <w:rPr>
                <w:rFonts w:hint="eastAsia" w:hAnsiTheme="minorEastAsia" w:eastAsiaTheme="minorEastAsia"/>
                <w:sz w:val="24"/>
                <w:szCs w:val="24"/>
                <w:lang w:eastAsia="zh-CN"/>
              </w:rPr>
              <w:t>行政部</w:t>
            </w:r>
            <w:r>
              <w:rPr>
                <w:rFonts w:hAnsiTheme="minorEastAsia" w:eastAsiaTheme="minorEastAsia"/>
                <w:sz w:val="24"/>
                <w:szCs w:val="24"/>
              </w:rPr>
              <w:t>负责统一打印、复印，产生的废弃物，由</w:t>
            </w:r>
            <w:r>
              <w:rPr>
                <w:rFonts w:hint="eastAsia" w:hAnsiTheme="minorEastAsia" w:eastAsiaTheme="minorEastAsia"/>
                <w:sz w:val="24"/>
                <w:szCs w:val="24"/>
                <w:lang w:eastAsia="zh-CN"/>
              </w:rPr>
              <w:t>行政部</w:t>
            </w:r>
            <w:r>
              <w:rPr>
                <w:rFonts w:hAnsiTheme="minorEastAsia" w:eastAsiaTheme="minorEastAsia"/>
                <w:sz w:val="24"/>
                <w:szCs w:val="24"/>
              </w:rPr>
              <w:t>统一处理。</w:t>
            </w:r>
          </w:p>
          <w:p>
            <w:pPr>
              <w:tabs>
                <w:tab w:val="left" w:pos="6597"/>
              </w:tabs>
              <w:spacing w:line="360" w:lineRule="auto"/>
              <w:ind w:firstLine="480" w:firstLineChars="200"/>
              <w:rPr>
                <w:rFonts w:eastAsiaTheme="minorEastAsia"/>
                <w:sz w:val="24"/>
                <w:szCs w:val="24"/>
              </w:rPr>
            </w:pPr>
            <w:r>
              <w:rPr>
                <w:rFonts w:hint="eastAsia" w:eastAsiaTheme="minorEastAsia"/>
                <w:sz w:val="24"/>
                <w:szCs w:val="24"/>
              </w:rPr>
              <w:t>3</w:t>
            </w:r>
            <w:r>
              <w:rPr>
                <w:rFonts w:eastAsiaTheme="minorEastAsia"/>
                <w:sz w:val="24"/>
                <w:szCs w:val="24"/>
              </w:rPr>
              <w:t>.</w:t>
            </w:r>
            <w:r>
              <w:rPr>
                <w:rFonts w:hAnsiTheme="minorEastAsia" w:eastAsiaTheme="minorEastAsia"/>
                <w:sz w:val="24"/>
                <w:szCs w:val="24"/>
              </w:rPr>
              <w:t>对可回收的固体废弃物，一部分由厂家回收，厂家不回收的公司统一回收再利用，不可回收的废弃物由公司</w:t>
            </w:r>
            <w:r>
              <w:rPr>
                <w:rFonts w:hint="eastAsia" w:hAnsiTheme="minorEastAsia" w:eastAsiaTheme="minorEastAsia"/>
                <w:sz w:val="24"/>
                <w:szCs w:val="24"/>
                <w:lang w:eastAsia="zh-CN"/>
              </w:rPr>
              <w:t>行政部</w:t>
            </w:r>
            <w:r>
              <w:rPr>
                <w:rFonts w:hAnsiTheme="minorEastAsia" w:eastAsiaTheme="minorEastAsia"/>
                <w:sz w:val="24"/>
                <w:szCs w:val="24"/>
              </w:rPr>
              <w:t>统一处理，部门不单独处理。</w:t>
            </w:r>
          </w:p>
          <w:p>
            <w:pPr>
              <w:tabs>
                <w:tab w:val="left" w:pos="6597"/>
              </w:tabs>
              <w:spacing w:line="360" w:lineRule="auto"/>
              <w:ind w:firstLine="480" w:firstLineChars="200"/>
              <w:rPr>
                <w:rFonts w:hAnsiTheme="minorEastAsia" w:eastAsiaTheme="minorEastAsia"/>
                <w:sz w:val="24"/>
                <w:szCs w:val="24"/>
              </w:rPr>
            </w:pPr>
            <w:r>
              <w:rPr>
                <w:rFonts w:hint="eastAsia" w:eastAsiaTheme="minorEastAsia"/>
                <w:sz w:val="24"/>
                <w:szCs w:val="24"/>
              </w:rPr>
              <w:t>4</w:t>
            </w:r>
            <w:r>
              <w:rPr>
                <w:rFonts w:eastAsiaTheme="minorEastAsia"/>
                <w:sz w:val="24"/>
                <w:szCs w:val="24"/>
              </w:rPr>
              <w:t>.</w:t>
            </w:r>
            <w:r>
              <w:rPr>
                <w:rFonts w:hAnsiTheme="minorEastAsia" w:eastAsiaTheme="minorEastAsia"/>
                <w:sz w:val="24"/>
                <w:szCs w:val="24"/>
              </w:rPr>
              <w:t>销售部内主要是电的使用，电器有漏电保护器，经常对电路、电源进行检查，没有露电现象发生，查环境安全记录，提供了《</w:t>
            </w:r>
            <w:r>
              <w:rPr>
                <w:rFonts w:hint="eastAsia" w:hAnsiTheme="minorEastAsia" w:eastAsiaTheme="minorEastAsia"/>
                <w:sz w:val="24"/>
                <w:szCs w:val="24"/>
              </w:rPr>
              <w:t>环境安全运行检查记录</w:t>
            </w:r>
            <w:r>
              <w:rPr>
                <w:rFonts w:hAnsiTheme="minorEastAsia" w:eastAsiaTheme="minorEastAsia"/>
                <w:sz w:val="24"/>
                <w:szCs w:val="24"/>
              </w:rPr>
              <w:t>》，抽查</w:t>
            </w:r>
            <w:r>
              <w:rPr>
                <w:rFonts w:eastAsiaTheme="minorEastAsia"/>
                <w:sz w:val="24"/>
                <w:szCs w:val="24"/>
              </w:rPr>
              <w:t>20</w:t>
            </w:r>
            <w:r>
              <w:rPr>
                <w:rFonts w:hint="eastAsia" w:eastAsiaTheme="minorEastAsia"/>
                <w:sz w:val="24"/>
                <w:szCs w:val="24"/>
              </w:rPr>
              <w:t>21</w:t>
            </w:r>
            <w:r>
              <w:rPr>
                <w:rFonts w:eastAsiaTheme="minorEastAsia"/>
                <w:sz w:val="24"/>
                <w:szCs w:val="24"/>
              </w:rPr>
              <w:t>.</w:t>
            </w:r>
            <w:r>
              <w:rPr>
                <w:rFonts w:hint="eastAsia" w:eastAsiaTheme="minorEastAsia"/>
                <w:sz w:val="24"/>
                <w:szCs w:val="24"/>
                <w:lang w:val="en-US" w:eastAsia="zh-CN"/>
              </w:rPr>
              <w:t>2</w:t>
            </w:r>
            <w:r>
              <w:rPr>
                <w:rFonts w:hAnsiTheme="minorEastAsia" w:eastAsiaTheme="minorEastAsia"/>
                <w:sz w:val="24"/>
                <w:szCs w:val="24"/>
              </w:rPr>
              <w:t>月</w:t>
            </w:r>
            <w:r>
              <w:rPr>
                <w:rFonts w:eastAsiaTheme="minorEastAsia"/>
                <w:sz w:val="24"/>
                <w:szCs w:val="24"/>
              </w:rPr>
              <w:t>---202</w:t>
            </w:r>
            <w:r>
              <w:rPr>
                <w:rFonts w:hint="eastAsia" w:eastAsiaTheme="minorEastAsia"/>
                <w:sz w:val="24"/>
                <w:szCs w:val="24"/>
              </w:rPr>
              <w:t>1</w:t>
            </w:r>
            <w:r>
              <w:rPr>
                <w:rFonts w:eastAsiaTheme="minorEastAsia"/>
                <w:sz w:val="24"/>
                <w:szCs w:val="24"/>
              </w:rPr>
              <w:t>.</w:t>
            </w:r>
            <w:r>
              <w:rPr>
                <w:rFonts w:hint="eastAsia" w:eastAsiaTheme="minorEastAsia"/>
                <w:sz w:val="24"/>
                <w:szCs w:val="24"/>
              </w:rPr>
              <w:t>6</w:t>
            </w:r>
            <w:r>
              <w:rPr>
                <w:rFonts w:hAnsiTheme="minorEastAsia" w:eastAsiaTheme="minorEastAsia"/>
                <w:sz w:val="24"/>
                <w:szCs w:val="24"/>
              </w:rPr>
              <w:t>月份检查结果正常，检查人</w:t>
            </w:r>
            <w:r>
              <w:rPr>
                <w:rFonts w:hint="eastAsia" w:hAnsiTheme="minorEastAsia" w:eastAsiaTheme="minorEastAsia"/>
                <w:sz w:val="24"/>
                <w:szCs w:val="24"/>
                <w:lang w:val="en-US" w:eastAsia="zh-CN"/>
              </w:rPr>
              <w:t>陈春华</w:t>
            </w:r>
            <w:r>
              <w:rPr>
                <w:rFonts w:hAnsiTheme="minorEastAsia" w:eastAsiaTheme="minorEastAsia"/>
                <w:sz w:val="24"/>
                <w:szCs w:val="24"/>
              </w:rPr>
              <w:t>。</w:t>
            </w:r>
          </w:p>
          <w:p>
            <w:pPr>
              <w:tabs>
                <w:tab w:val="left" w:pos="6597"/>
              </w:tabs>
              <w:spacing w:line="360" w:lineRule="auto"/>
              <w:ind w:firstLine="480" w:firstLineChars="200"/>
              <w:rPr>
                <w:rFonts w:eastAsiaTheme="minorEastAsia"/>
                <w:sz w:val="24"/>
                <w:szCs w:val="24"/>
              </w:rPr>
            </w:pPr>
            <w:r>
              <w:rPr>
                <w:rFonts w:hint="eastAsia" w:eastAsiaTheme="minorEastAsia"/>
                <w:sz w:val="24"/>
                <w:szCs w:val="24"/>
              </w:rPr>
              <w:t>5</w:t>
            </w:r>
            <w:r>
              <w:rPr>
                <w:rFonts w:eastAsiaTheme="minorEastAsia"/>
                <w:sz w:val="24"/>
                <w:szCs w:val="24"/>
              </w:rPr>
              <w:t>.</w:t>
            </w:r>
            <w:r>
              <w:rPr>
                <w:rFonts w:hAnsiTheme="minorEastAsia" w:eastAsiaTheme="minorEastAsia"/>
                <w:sz w:val="24"/>
                <w:szCs w:val="24"/>
              </w:rPr>
              <w:t>在产品运输时，要求司机必须有驾驶证，车辆需经年检</w:t>
            </w:r>
            <w:r>
              <w:rPr>
                <w:rFonts w:hint="eastAsia" w:hAnsiTheme="minorEastAsia" w:eastAsiaTheme="minorEastAsia"/>
                <w:sz w:val="24"/>
                <w:szCs w:val="24"/>
                <w:lang w:eastAsia="zh-CN"/>
              </w:rPr>
              <w:t>OK</w:t>
            </w:r>
            <w:r>
              <w:rPr>
                <w:rFonts w:hAnsiTheme="minorEastAsia" w:eastAsiaTheme="minorEastAsia"/>
                <w:sz w:val="24"/>
                <w:szCs w:val="24"/>
              </w:rPr>
              <w:t>，车况良好，禁止疲劳驾驶，控制车速。</w:t>
            </w:r>
          </w:p>
          <w:p>
            <w:pPr>
              <w:tabs>
                <w:tab w:val="left" w:pos="6597"/>
              </w:tabs>
              <w:spacing w:line="360" w:lineRule="auto"/>
              <w:ind w:firstLine="480" w:firstLineChars="200"/>
              <w:rPr>
                <w:rFonts w:eastAsiaTheme="minorEastAsia"/>
                <w:sz w:val="24"/>
                <w:szCs w:val="24"/>
              </w:rPr>
            </w:pPr>
            <w:r>
              <w:rPr>
                <w:rFonts w:hint="eastAsia" w:eastAsiaTheme="minorEastAsia"/>
                <w:sz w:val="24"/>
                <w:szCs w:val="24"/>
              </w:rPr>
              <w:t>6</w:t>
            </w:r>
            <w:r>
              <w:rPr>
                <w:rFonts w:eastAsiaTheme="minorEastAsia"/>
                <w:sz w:val="24"/>
                <w:szCs w:val="24"/>
              </w:rPr>
              <w:t>.</w:t>
            </w:r>
            <w:r>
              <w:rPr>
                <w:rFonts w:hAnsiTheme="minorEastAsia" w:eastAsiaTheme="minorEastAsia"/>
                <w:sz w:val="24"/>
                <w:szCs w:val="24"/>
              </w:rPr>
              <w:t>在产品装车时，要求装运人员必须穿戴劳动防护用品，合理使用搬运工具。</w:t>
            </w:r>
          </w:p>
          <w:p>
            <w:pPr>
              <w:tabs>
                <w:tab w:val="left" w:pos="6597"/>
              </w:tabs>
              <w:spacing w:line="360" w:lineRule="auto"/>
              <w:ind w:firstLine="480" w:firstLineChars="200"/>
              <w:rPr>
                <w:rFonts w:eastAsiaTheme="minorEastAsia"/>
                <w:sz w:val="24"/>
                <w:szCs w:val="24"/>
              </w:rPr>
            </w:pPr>
            <w:r>
              <w:rPr>
                <w:rFonts w:hint="eastAsia" w:eastAsiaTheme="minorEastAsia"/>
                <w:sz w:val="24"/>
                <w:szCs w:val="24"/>
              </w:rPr>
              <w:t>7</w:t>
            </w:r>
            <w:r>
              <w:rPr>
                <w:rFonts w:eastAsiaTheme="minorEastAsia"/>
                <w:sz w:val="24"/>
                <w:szCs w:val="24"/>
              </w:rPr>
              <w:t>.</w:t>
            </w:r>
            <w:r>
              <w:rPr>
                <w:rFonts w:hAnsiTheme="minorEastAsia" w:eastAsiaTheme="minorEastAsia"/>
                <w:sz w:val="24"/>
                <w:szCs w:val="24"/>
              </w:rPr>
              <w:t>对外招投标和业务洽谈时明确承诺公司产品环保、节能、无毒无害。</w:t>
            </w:r>
          </w:p>
          <w:p>
            <w:pPr>
              <w:tabs>
                <w:tab w:val="left" w:pos="6597"/>
              </w:tabs>
              <w:spacing w:line="360" w:lineRule="auto"/>
              <w:ind w:firstLine="480" w:firstLineChars="200"/>
              <w:rPr>
                <w:rFonts w:eastAsiaTheme="minorEastAsia"/>
                <w:sz w:val="24"/>
                <w:szCs w:val="24"/>
              </w:rPr>
            </w:pPr>
            <w:r>
              <w:rPr>
                <w:rFonts w:hAnsiTheme="minorEastAsia" w:eastAsiaTheme="minorEastAsia"/>
                <w:sz w:val="24"/>
                <w:szCs w:val="24"/>
              </w:rPr>
              <w:t>部门运行控制基本符合要求。</w:t>
            </w:r>
          </w:p>
        </w:tc>
        <w:tc>
          <w:tcPr>
            <w:tcW w:w="1585" w:type="dxa"/>
          </w:tcPr>
          <w:p>
            <w:pPr>
              <w:spacing w:line="360" w:lineRule="auto"/>
              <w:rPr>
                <w:rFonts w:eastAsiaTheme="minorEastAsia"/>
                <w:sz w:val="24"/>
                <w:szCs w:val="24"/>
                <w:highlight w:val="yellow"/>
              </w:rPr>
            </w:pPr>
            <w:r>
              <w:rPr>
                <w:rFonts w:hint="eastAsia" w:eastAsiaTheme="minorEastAsia"/>
                <w:sz w:val="24"/>
                <w:szCs w:val="24"/>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242" w:type="dxa"/>
            <w:vAlign w:val="center"/>
          </w:tcPr>
          <w:p>
            <w:pPr>
              <w:tabs>
                <w:tab w:val="left" w:pos="6597"/>
              </w:tabs>
              <w:spacing w:line="360" w:lineRule="auto"/>
              <w:rPr>
                <w:rFonts w:eastAsiaTheme="minorEastAsia"/>
                <w:sz w:val="24"/>
                <w:szCs w:val="24"/>
              </w:rPr>
            </w:pPr>
            <w:r>
              <w:rPr>
                <w:rFonts w:hint="eastAsia" w:ascii="宋体" w:hAnsi="宋体" w:cs="Arial"/>
                <w:sz w:val="21"/>
                <w:szCs w:val="21"/>
              </w:rPr>
              <w:t>不符合/事件和纠正措施</w:t>
            </w:r>
          </w:p>
        </w:tc>
        <w:tc>
          <w:tcPr>
            <w:tcW w:w="1276" w:type="dxa"/>
          </w:tcPr>
          <w:p>
            <w:pPr>
              <w:tabs>
                <w:tab w:val="left" w:pos="6597"/>
              </w:tabs>
              <w:spacing w:line="360" w:lineRule="auto"/>
              <w:rPr>
                <w:rFonts w:eastAsiaTheme="minorEastAsia"/>
                <w:sz w:val="24"/>
                <w:szCs w:val="24"/>
              </w:rPr>
            </w:pPr>
            <w:r>
              <w:rPr>
                <w:rFonts w:hint="eastAsia" w:eastAsiaTheme="minorEastAsia"/>
                <w:sz w:val="24"/>
                <w:szCs w:val="24"/>
                <w:lang w:val="en-US" w:eastAsia="zh-CN"/>
              </w:rPr>
              <w:t xml:space="preserve">QEO </w:t>
            </w:r>
            <w:r>
              <w:rPr>
                <w:rFonts w:hint="eastAsia" w:eastAsiaTheme="minorEastAsia"/>
                <w:sz w:val="24"/>
                <w:szCs w:val="24"/>
              </w:rPr>
              <w:t>10.2</w:t>
            </w:r>
          </w:p>
        </w:tc>
        <w:tc>
          <w:tcPr>
            <w:tcW w:w="10606" w:type="dxa"/>
          </w:tcPr>
          <w:p>
            <w:pPr>
              <w:spacing w:line="360" w:lineRule="auto"/>
              <w:ind w:firstLine="480" w:firstLineChars="200"/>
              <w:rPr>
                <w:rFonts w:eastAsiaTheme="minorEastAsia"/>
                <w:sz w:val="24"/>
                <w:szCs w:val="24"/>
              </w:rPr>
            </w:pPr>
            <w:r>
              <w:rPr>
                <w:rFonts w:hAnsiTheme="minorEastAsia" w:eastAsiaTheme="minorEastAsia"/>
                <w:sz w:val="24"/>
                <w:szCs w:val="24"/>
              </w:rPr>
              <w:t>保持实施《不符合、纠正和预防措施控制程序》、《事故调查处理控制程序》，对纠正预防措施识别、评审、验证，事故事件报告、调查、处理等作了规定，其内容符合组织实际及标准要求。</w:t>
            </w:r>
            <w:r>
              <w:rPr>
                <w:rFonts w:eastAsiaTheme="minorEastAsia"/>
                <w:sz w:val="24"/>
                <w:szCs w:val="24"/>
              </w:rPr>
              <w:t xml:space="preserve"> </w:t>
            </w:r>
          </w:p>
          <w:p>
            <w:pPr>
              <w:spacing w:line="360" w:lineRule="auto"/>
              <w:ind w:firstLine="480" w:firstLineChars="200"/>
              <w:rPr>
                <w:rFonts w:eastAsiaTheme="minorEastAsia"/>
                <w:sz w:val="24"/>
                <w:szCs w:val="24"/>
              </w:rPr>
            </w:pPr>
            <w:r>
              <w:rPr>
                <w:rFonts w:hAnsiTheme="minorEastAsia" w:eastAsiaTheme="minorEastAsia"/>
                <w:sz w:val="24"/>
                <w:szCs w:val="24"/>
              </w:rPr>
              <w:t>对内审中提出不</w:t>
            </w:r>
            <w:r>
              <w:rPr>
                <w:rFonts w:hint="eastAsia" w:hAnsiTheme="minorEastAsia" w:eastAsiaTheme="minorEastAsia"/>
                <w:sz w:val="24"/>
                <w:szCs w:val="24"/>
                <w:lang w:val="en-US" w:eastAsia="zh-CN"/>
              </w:rPr>
              <w:t>合格</w:t>
            </w:r>
            <w:r>
              <w:rPr>
                <w:rFonts w:hAnsiTheme="minorEastAsia" w:eastAsiaTheme="minorEastAsia"/>
                <w:sz w:val="24"/>
                <w:szCs w:val="24"/>
              </w:rPr>
              <w:t>项进行了原因分析</w:t>
            </w:r>
            <w:r>
              <w:rPr>
                <w:rFonts w:eastAsiaTheme="minorEastAsia"/>
                <w:sz w:val="24"/>
                <w:szCs w:val="24"/>
              </w:rPr>
              <w:t>,</w:t>
            </w:r>
            <w:r>
              <w:rPr>
                <w:rFonts w:hAnsiTheme="minorEastAsia" w:eastAsiaTheme="minorEastAsia"/>
                <w:sz w:val="24"/>
                <w:szCs w:val="24"/>
              </w:rPr>
              <w:t>并制定、实施了纠正措施，并由内审员对所采取的纠正措施进行了验证，纠正措施有效，管理评审中发现的薄弱环节，分析了原因，采取了纠正措施（参见内审和管理评审审核记录）。</w:t>
            </w:r>
          </w:p>
          <w:p>
            <w:pPr>
              <w:spacing w:line="360" w:lineRule="auto"/>
              <w:ind w:firstLine="480" w:firstLineChars="200"/>
              <w:rPr>
                <w:rFonts w:eastAsiaTheme="minorEastAsia"/>
                <w:sz w:val="24"/>
                <w:szCs w:val="24"/>
              </w:rPr>
            </w:pPr>
            <w:r>
              <w:rPr>
                <w:rFonts w:hAnsiTheme="minorEastAsia" w:eastAsiaTheme="minorEastAsia"/>
                <w:sz w:val="24"/>
                <w:szCs w:val="24"/>
              </w:rPr>
              <w:t>体系运行以来公司按照体系的要求，通过运行控制、加强培训，以及开展管理评审活动等方式采取预防措施，防止不符合</w:t>
            </w:r>
            <w:r>
              <w:rPr>
                <w:rFonts w:eastAsiaTheme="minorEastAsia"/>
                <w:sz w:val="24"/>
                <w:szCs w:val="24"/>
              </w:rPr>
              <w:t>/</w:t>
            </w:r>
            <w:r>
              <w:rPr>
                <w:rFonts w:hAnsiTheme="minorEastAsia" w:eastAsiaTheme="minorEastAsia"/>
                <w:sz w:val="24"/>
                <w:szCs w:val="24"/>
              </w:rPr>
              <w:t>不</w:t>
            </w:r>
            <w:r>
              <w:rPr>
                <w:rFonts w:hint="eastAsia" w:hAnsiTheme="minorEastAsia" w:eastAsiaTheme="minorEastAsia"/>
                <w:sz w:val="24"/>
                <w:szCs w:val="24"/>
                <w:lang w:val="en-US" w:eastAsia="zh-CN"/>
              </w:rPr>
              <w:t>合格</w:t>
            </w:r>
            <w:r>
              <w:rPr>
                <w:rFonts w:hAnsiTheme="minorEastAsia" w:eastAsiaTheme="minorEastAsia"/>
                <w:sz w:val="24"/>
                <w:szCs w:val="24"/>
              </w:rPr>
              <w:t>的发生，不符合得到了有效控制，人员质量、环保、安全意识有了明显提高，没有发现潜在的不符合，没有发生重大质量事故和投诉处罚，没有发生</w:t>
            </w:r>
            <w:r>
              <w:rPr>
                <w:rFonts w:hint="eastAsia" w:hAnsiTheme="minorEastAsia" w:eastAsiaTheme="minorEastAsia"/>
                <w:sz w:val="24"/>
                <w:szCs w:val="24"/>
                <w:lang w:val="en-US" w:eastAsia="zh-CN"/>
              </w:rPr>
              <w:t>质量、</w:t>
            </w:r>
            <w:r>
              <w:rPr>
                <w:rFonts w:hAnsiTheme="minorEastAsia" w:eastAsiaTheme="minorEastAsia"/>
                <w:sz w:val="24"/>
                <w:szCs w:val="24"/>
              </w:rPr>
              <w:t>环境、职业健康安全事件和投诉处罚。</w:t>
            </w:r>
          </w:p>
          <w:p>
            <w:pPr>
              <w:tabs>
                <w:tab w:val="left" w:pos="6597"/>
              </w:tabs>
              <w:spacing w:line="360" w:lineRule="auto"/>
              <w:ind w:firstLine="480" w:firstLineChars="200"/>
              <w:rPr>
                <w:rFonts w:hint="eastAsia" w:hAnsiTheme="minorEastAsia" w:eastAsiaTheme="minorEastAsia"/>
                <w:sz w:val="24"/>
                <w:szCs w:val="24"/>
              </w:rPr>
            </w:pPr>
            <w:r>
              <w:rPr>
                <w:rFonts w:hAnsiTheme="minorEastAsia" w:eastAsiaTheme="minorEastAsia"/>
                <w:sz w:val="24"/>
                <w:szCs w:val="24"/>
              </w:rPr>
              <w:t>企业不</w:t>
            </w:r>
            <w:r>
              <w:rPr>
                <w:rFonts w:hint="eastAsia" w:hAnsiTheme="minorEastAsia" w:eastAsiaTheme="minorEastAsia"/>
                <w:sz w:val="24"/>
                <w:szCs w:val="24"/>
                <w:lang w:val="en-US" w:eastAsia="zh-CN"/>
              </w:rPr>
              <w:t>合格</w:t>
            </w:r>
            <w:r>
              <w:rPr>
                <w:rFonts w:hAnsiTheme="minorEastAsia" w:eastAsiaTheme="minorEastAsia"/>
                <w:sz w:val="24"/>
                <w:szCs w:val="24"/>
              </w:rPr>
              <w:t>和纠正措施的管理符合标准规定要求。</w:t>
            </w:r>
          </w:p>
        </w:tc>
        <w:tc>
          <w:tcPr>
            <w:tcW w:w="1585" w:type="dxa"/>
          </w:tcPr>
          <w:p>
            <w:pPr>
              <w:spacing w:line="360" w:lineRule="auto"/>
              <w:rPr>
                <w:rFonts w:eastAsiaTheme="minorEastAsia"/>
                <w:sz w:val="24"/>
                <w:szCs w:val="24"/>
                <w:highlight w:val="yellow"/>
              </w:rPr>
            </w:pPr>
            <w:r>
              <w:rPr>
                <w:rFonts w:hint="eastAsia" w:eastAsiaTheme="minorEastAsia"/>
                <w:sz w:val="24"/>
                <w:szCs w:val="24"/>
                <w:lang w:val="en-US" w:eastAsia="zh-CN"/>
              </w:rPr>
              <w:t>OK</w:t>
            </w:r>
          </w:p>
        </w:tc>
      </w:tr>
    </w:tbl>
    <w:p>
      <w:pPr>
        <w:jc w:val="left"/>
        <w:rPr>
          <w:rFonts w:eastAsiaTheme="minorEastAsia"/>
        </w:rPr>
      </w:pPr>
      <w:r>
        <w:rPr>
          <w:rFonts w:hAnsiTheme="minorEastAsia" w:eastAsiaTheme="minorEastAsia"/>
        </w:rPr>
        <w:t>说明：不符合标注</w:t>
      </w:r>
      <w:r>
        <w:rPr>
          <w:rFonts w:eastAsiaTheme="minorEastAsia"/>
        </w:rPr>
        <w:t>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10</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9"/>
      <w:pBdr>
        <w:bottom w:val="none" w:color="auto" w:sz="0" w:space="1"/>
      </w:pBdr>
      <w:spacing w:line="320" w:lineRule="exact"/>
      <w:jc w:val="left"/>
    </w:pPr>
    <w:r>
      <w:pict>
        <v:shape id="_x0000_s3073" o:spid="_x0000_s3073" o:spt="202" type="#_x0000_t202" style="position:absolute;left:0pt;margin-left:554.75pt;margin-top:2.2pt;height:20.2pt;width:172pt;z-index:251660288;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ISC-B-I-31管理体系审核记录表(03版)</w:t>
                </w:r>
              </w:p>
            </w:txbxContent>
          </v:textbox>
        </v:shape>
      </w:pict>
    </w:r>
    <w:r>
      <w:rPr>
        <w:rStyle w:val="18"/>
        <w:rFonts w:hint="default"/>
        <w:w w:val="90"/>
      </w:rPr>
      <w:t>Beijing International Standard united Certification Co.,Ltd.</w:t>
    </w:r>
  </w:p>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38DC"/>
    <w:rsid w:val="00004817"/>
    <w:rsid w:val="00005351"/>
    <w:rsid w:val="000146B2"/>
    <w:rsid w:val="00014A12"/>
    <w:rsid w:val="000214B6"/>
    <w:rsid w:val="00023EF2"/>
    <w:rsid w:val="00024498"/>
    <w:rsid w:val="0002531E"/>
    <w:rsid w:val="000277D0"/>
    <w:rsid w:val="0003138C"/>
    <w:rsid w:val="000313D2"/>
    <w:rsid w:val="0003373A"/>
    <w:rsid w:val="00035EE6"/>
    <w:rsid w:val="00035FB9"/>
    <w:rsid w:val="00036BD9"/>
    <w:rsid w:val="00037127"/>
    <w:rsid w:val="00040DE3"/>
    <w:rsid w:val="000412F6"/>
    <w:rsid w:val="0005199E"/>
    <w:rsid w:val="00052202"/>
    <w:rsid w:val="00053C5B"/>
    <w:rsid w:val="00053F56"/>
    <w:rsid w:val="0005697E"/>
    <w:rsid w:val="000579CF"/>
    <w:rsid w:val="00060270"/>
    <w:rsid w:val="00061F6E"/>
    <w:rsid w:val="00074F39"/>
    <w:rsid w:val="00082216"/>
    <w:rsid w:val="00082398"/>
    <w:rsid w:val="000849D2"/>
    <w:rsid w:val="00084DAD"/>
    <w:rsid w:val="000870FB"/>
    <w:rsid w:val="00094791"/>
    <w:rsid w:val="000A067A"/>
    <w:rsid w:val="000A30F9"/>
    <w:rsid w:val="000A5E44"/>
    <w:rsid w:val="000B1394"/>
    <w:rsid w:val="000B2F9B"/>
    <w:rsid w:val="000B40BD"/>
    <w:rsid w:val="000B69C3"/>
    <w:rsid w:val="000B6EAD"/>
    <w:rsid w:val="000C123B"/>
    <w:rsid w:val="000C23FE"/>
    <w:rsid w:val="000C2D5B"/>
    <w:rsid w:val="000C4283"/>
    <w:rsid w:val="000D4F09"/>
    <w:rsid w:val="000D5401"/>
    <w:rsid w:val="000D697A"/>
    <w:rsid w:val="000D7C2E"/>
    <w:rsid w:val="000E2B69"/>
    <w:rsid w:val="000E355F"/>
    <w:rsid w:val="000E37AB"/>
    <w:rsid w:val="000E4402"/>
    <w:rsid w:val="000E6907"/>
    <w:rsid w:val="000E7EF7"/>
    <w:rsid w:val="000F35F1"/>
    <w:rsid w:val="000F7D53"/>
    <w:rsid w:val="000F7DB7"/>
    <w:rsid w:val="001022F1"/>
    <w:rsid w:val="001037D5"/>
    <w:rsid w:val="001068A0"/>
    <w:rsid w:val="00106F20"/>
    <w:rsid w:val="0011084D"/>
    <w:rsid w:val="00110CD0"/>
    <w:rsid w:val="00110E50"/>
    <w:rsid w:val="0011531E"/>
    <w:rsid w:val="0012058E"/>
    <w:rsid w:val="00123A35"/>
    <w:rsid w:val="00126D95"/>
    <w:rsid w:val="00132572"/>
    <w:rsid w:val="00135F92"/>
    <w:rsid w:val="001365B4"/>
    <w:rsid w:val="00136867"/>
    <w:rsid w:val="00140DDF"/>
    <w:rsid w:val="00145688"/>
    <w:rsid w:val="001456CB"/>
    <w:rsid w:val="00147EDB"/>
    <w:rsid w:val="001677C1"/>
    <w:rsid w:val="00170B6A"/>
    <w:rsid w:val="00174C08"/>
    <w:rsid w:val="00176B5D"/>
    <w:rsid w:val="001825AD"/>
    <w:rsid w:val="00185DBE"/>
    <w:rsid w:val="00187C5A"/>
    <w:rsid w:val="001900D3"/>
    <w:rsid w:val="001918ED"/>
    <w:rsid w:val="00192A7F"/>
    <w:rsid w:val="00194789"/>
    <w:rsid w:val="00194D96"/>
    <w:rsid w:val="00194E5B"/>
    <w:rsid w:val="00196076"/>
    <w:rsid w:val="001972C0"/>
    <w:rsid w:val="001A19A1"/>
    <w:rsid w:val="001A2D7F"/>
    <w:rsid w:val="001A3DF8"/>
    <w:rsid w:val="001A572D"/>
    <w:rsid w:val="001B1B11"/>
    <w:rsid w:val="001B324E"/>
    <w:rsid w:val="001B3CB3"/>
    <w:rsid w:val="001B6887"/>
    <w:rsid w:val="001B6E5E"/>
    <w:rsid w:val="001B700E"/>
    <w:rsid w:val="001C0776"/>
    <w:rsid w:val="001C2BC9"/>
    <w:rsid w:val="001C39CB"/>
    <w:rsid w:val="001C3F50"/>
    <w:rsid w:val="001C51A9"/>
    <w:rsid w:val="001C7693"/>
    <w:rsid w:val="001D1D7C"/>
    <w:rsid w:val="001D4AD8"/>
    <w:rsid w:val="001D54FF"/>
    <w:rsid w:val="001D5787"/>
    <w:rsid w:val="001E1974"/>
    <w:rsid w:val="001E72C1"/>
    <w:rsid w:val="001F032F"/>
    <w:rsid w:val="001F2539"/>
    <w:rsid w:val="001F71E8"/>
    <w:rsid w:val="00201F4A"/>
    <w:rsid w:val="00202BC2"/>
    <w:rsid w:val="0021168C"/>
    <w:rsid w:val="00214113"/>
    <w:rsid w:val="00215081"/>
    <w:rsid w:val="00215C24"/>
    <w:rsid w:val="00222532"/>
    <w:rsid w:val="00223BE5"/>
    <w:rsid w:val="00234C94"/>
    <w:rsid w:val="002358ED"/>
    <w:rsid w:val="00235ED5"/>
    <w:rsid w:val="00237445"/>
    <w:rsid w:val="00244ED6"/>
    <w:rsid w:val="00245047"/>
    <w:rsid w:val="0024737A"/>
    <w:rsid w:val="00252B36"/>
    <w:rsid w:val="002555AC"/>
    <w:rsid w:val="00255ADF"/>
    <w:rsid w:val="002651A6"/>
    <w:rsid w:val="002715B5"/>
    <w:rsid w:val="00273CE2"/>
    <w:rsid w:val="002760CB"/>
    <w:rsid w:val="0027659A"/>
    <w:rsid w:val="002769EB"/>
    <w:rsid w:val="0029464B"/>
    <w:rsid w:val="002973F0"/>
    <w:rsid w:val="002975C1"/>
    <w:rsid w:val="002A0E6E"/>
    <w:rsid w:val="002A33CC"/>
    <w:rsid w:val="002B1808"/>
    <w:rsid w:val="002C1ACE"/>
    <w:rsid w:val="002C3E0D"/>
    <w:rsid w:val="002D17C3"/>
    <w:rsid w:val="002D41FB"/>
    <w:rsid w:val="002D6A21"/>
    <w:rsid w:val="002E0587"/>
    <w:rsid w:val="002E1E1D"/>
    <w:rsid w:val="002E37FC"/>
    <w:rsid w:val="002E6597"/>
    <w:rsid w:val="002F030C"/>
    <w:rsid w:val="002F1DCE"/>
    <w:rsid w:val="002F51CA"/>
    <w:rsid w:val="003002BB"/>
    <w:rsid w:val="003120F5"/>
    <w:rsid w:val="00313F8D"/>
    <w:rsid w:val="00316FF8"/>
    <w:rsid w:val="00317401"/>
    <w:rsid w:val="00317FAF"/>
    <w:rsid w:val="0032112D"/>
    <w:rsid w:val="00325BFD"/>
    <w:rsid w:val="003264F9"/>
    <w:rsid w:val="00326FC1"/>
    <w:rsid w:val="00327EB6"/>
    <w:rsid w:val="00330DBC"/>
    <w:rsid w:val="00331931"/>
    <w:rsid w:val="00337922"/>
    <w:rsid w:val="003379A5"/>
    <w:rsid w:val="00340867"/>
    <w:rsid w:val="00341CA5"/>
    <w:rsid w:val="00342857"/>
    <w:rsid w:val="003504E8"/>
    <w:rsid w:val="003507AC"/>
    <w:rsid w:val="00351CD4"/>
    <w:rsid w:val="003608CB"/>
    <w:rsid w:val="003627B6"/>
    <w:rsid w:val="003675FE"/>
    <w:rsid w:val="003708D5"/>
    <w:rsid w:val="0037587D"/>
    <w:rsid w:val="0038061A"/>
    <w:rsid w:val="0038063B"/>
    <w:rsid w:val="00380837"/>
    <w:rsid w:val="00382EDD"/>
    <w:rsid w:val="003836CA"/>
    <w:rsid w:val="003848AC"/>
    <w:rsid w:val="00386171"/>
    <w:rsid w:val="00386A98"/>
    <w:rsid w:val="00392D5A"/>
    <w:rsid w:val="003A1E9C"/>
    <w:rsid w:val="003A3803"/>
    <w:rsid w:val="003A57BB"/>
    <w:rsid w:val="003A5B31"/>
    <w:rsid w:val="003B4391"/>
    <w:rsid w:val="003B4C0E"/>
    <w:rsid w:val="003B4DB8"/>
    <w:rsid w:val="003B63F4"/>
    <w:rsid w:val="003B686D"/>
    <w:rsid w:val="003B6EB8"/>
    <w:rsid w:val="003C7699"/>
    <w:rsid w:val="003D1723"/>
    <w:rsid w:val="003D470D"/>
    <w:rsid w:val="003D6BE3"/>
    <w:rsid w:val="003E0907"/>
    <w:rsid w:val="003E0E52"/>
    <w:rsid w:val="003E2C93"/>
    <w:rsid w:val="003E449F"/>
    <w:rsid w:val="003F20A5"/>
    <w:rsid w:val="003F6B8B"/>
    <w:rsid w:val="0040035A"/>
    <w:rsid w:val="00400B96"/>
    <w:rsid w:val="00400C4E"/>
    <w:rsid w:val="00405D5F"/>
    <w:rsid w:val="00410914"/>
    <w:rsid w:val="00415AA3"/>
    <w:rsid w:val="00420650"/>
    <w:rsid w:val="00420C60"/>
    <w:rsid w:val="00422BE6"/>
    <w:rsid w:val="00430432"/>
    <w:rsid w:val="00432E49"/>
    <w:rsid w:val="00433759"/>
    <w:rsid w:val="0043494E"/>
    <w:rsid w:val="004414A5"/>
    <w:rsid w:val="00441B50"/>
    <w:rsid w:val="0044209C"/>
    <w:rsid w:val="004428CE"/>
    <w:rsid w:val="00443454"/>
    <w:rsid w:val="00450792"/>
    <w:rsid w:val="00456697"/>
    <w:rsid w:val="004606D0"/>
    <w:rsid w:val="00463AD4"/>
    <w:rsid w:val="00463F22"/>
    <w:rsid w:val="00465FE1"/>
    <w:rsid w:val="00475491"/>
    <w:rsid w:val="004869FB"/>
    <w:rsid w:val="00487DDC"/>
    <w:rsid w:val="00491735"/>
    <w:rsid w:val="00493760"/>
    <w:rsid w:val="00494A46"/>
    <w:rsid w:val="00495E16"/>
    <w:rsid w:val="0049674B"/>
    <w:rsid w:val="00497CEF"/>
    <w:rsid w:val="004A1070"/>
    <w:rsid w:val="004A38FC"/>
    <w:rsid w:val="004A3C73"/>
    <w:rsid w:val="004A4739"/>
    <w:rsid w:val="004A7106"/>
    <w:rsid w:val="004B217F"/>
    <w:rsid w:val="004B3E7F"/>
    <w:rsid w:val="004B57AB"/>
    <w:rsid w:val="004B77C5"/>
    <w:rsid w:val="004C07FE"/>
    <w:rsid w:val="004C3A73"/>
    <w:rsid w:val="004C5731"/>
    <w:rsid w:val="004C5BFE"/>
    <w:rsid w:val="004C5C5A"/>
    <w:rsid w:val="004C78A9"/>
    <w:rsid w:val="004D3E4C"/>
    <w:rsid w:val="004D55E7"/>
    <w:rsid w:val="004D62EF"/>
    <w:rsid w:val="004D7A97"/>
    <w:rsid w:val="004E212C"/>
    <w:rsid w:val="004E5609"/>
    <w:rsid w:val="004E61BC"/>
    <w:rsid w:val="004E63AC"/>
    <w:rsid w:val="004F185D"/>
    <w:rsid w:val="004F4A4C"/>
    <w:rsid w:val="004F5EB2"/>
    <w:rsid w:val="00500565"/>
    <w:rsid w:val="00502C53"/>
    <w:rsid w:val="005052B3"/>
    <w:rsid w:val="005056ED"/>
    <w:rsid w:val="00505819"/>
    <w:rsid w:val="005064D2"/>
    <w:rsid w:val="00513779"/>
    <w:rsid w:val="00515C94"/>
    <w:rsid w:val="00516644"/>
    <w:rsid w:val="00516693"/>
    <w:rsid w:val="00517E4C"/>
    <w:rsid w:val="00520F6D"/>
    <w:rsid w:val="005213B7"/>
    <w:rsid w:val="00521CF0"/>
    <w:rsid w:val="00523D34"/>
    <w:rsid w:val="00527341"/>
    <w:rsid w:val="00531909"/>
    <w:rsid w:val="0053208B"/>
    <w:rsid w:val="0053404C"/>
    <w:rsid w:val="00534814"/>
    <w:rsid w:val="00535EB3"/>
    <w:rsid w:val="00536930"/>
    <w:rsid w:val="00541AE2"/>
    <w:rsid w:val="00546D5F"/>
    <w:rsid w:val="00552785"/>
    <w:rsid w:val="00552BDE"/>
    <w:rsid w:val="005571F6"/>
    <w:rsid w:val="005577AD"/>
    <w:rsid w:val="00560A2A"/>
    <w:rsid w:val="00564E53"/>
    <w:rsid w:val="005652DC"/>
    <w:rsid w:val="005675B7"/>
    <w:rsid w:val="005706CE"/>
    <w:rsid w:val="00576C70"/>
    <w:rsid w:val="00580B9E"/>
    <w:rsid w:val="00583277"/>
    <w:rsid w:val="00592C3E"/>
    <w:rsid w:val="005978E6"/>
    <w:rsid w:val="005A000F"/>
    <w:rsid w:val="005A5268"/>
    <w:rsid w:val="005B0F27"/>
    <w:rsid w:val="005B173D"/>
    <w:rsid w:val="005B6888"/>
    <w:rsid w:val="005D1D88"/>
    <w:rsid w:val="005D3677"/>
    <w:rsid w:val="005D59EB"/>
    <w:rsid w:val="005E20E9"/>
    <w:rsid w:val="005E277A"/>
    <w:rsid w:val="005F6C65"/>
    <w:rsid w:val="00600F02"/>
    <w:rsid w:val="00604098"/>
    <w:rsid w:val="0060444D"/>
    <w:rsid w:val="00604DB4"/>
    <w:rsid w:val="00611393"/>
    <w:rsid w:val="00615924"/>
    <w:rsid w:val="006223EE"/>
    <w:rsid w:val="00623B63"/>
    <w:rsid w:val="00624222"/>
    <w:rsid w:val="00624F35"/>
    <w:rsid w:val="006313D1"/>
    <w:rsid w:val="00631C0F"/>
    <w:rsid w:val="00633AC5"/>
    <w:rsid w:val="00633D1E"/>
    <w:rsid w:val="00640D09"/>
    <w:rsid w:val="00642776"/>
    <w:rsid w:val="00644FE2"/>
    <w:rsid w:val="00645FB8"/>
    <w:rsid w:val="00651986"/>
    <w:rsid w:val="00652264"/>
    <w:rsid w:val="006545E8"/>
    <w:rsid w:val="006629CC"/>
    <w:rsid w:val="00664736"/>
    <w:rsid w:val="00665980"/>
    <w:rsid w:val="006676DD"/>
    <w:rsid w:val="00671747"/>
    <w:rsid w:val="006727F9"/>
    <w:rsid w:val="0067640C"/>
    <w:rsid w:val="00681DFF"/>
    <w:rsid w:val="006836D9"/>
    <w:rsid w:val="00683914"/>
    <w:rsid w:val="006849AB"/>
    <w:rsid w:val="0068548D"/>
    <w:rsid w:val="00686182"/>
    <w:rsid w:val="00692812"/>
    <w:rsid w:val="00694433"/>
    <w:rsid w:val="006946B4"/>
    <w:rsid w:val="00695256"/>
    <w:rsid w:val="00695570"/>
    <w:rsid w:val="006969F1"/>
    <w:rsid w:val="00696AF1"/>
    <w:rsid w:val="006A102C"/>
    <w:rsid w:val="006A31E8"/>
    <w:rsid w:val="006A3B31"/>
    <w:rsid w:val="006A68F3"/>
    <w:rsid w:val="006A7352"/>
    <w:rsid w:val="006B182C"/>
    <w:rsid w:val="006B30C6"/>
    <w:rsid w:val="006B4127"/>
    <w:rsid w:val="006C058B"/>
    <w:rsid w:val="006C24BF"/>
    <w:rsid w:val="006C36AB"/>
    <w:rsid w:val="006C40B9"/>
    <w:rsid w:val="006C4656"/>
    <w:rsid w:val="006C4CFB"/>
    <w:rsid w:val="006D265F"/>
    <w:rsid w:val="006D4DF7"/>
    <w:rsid w:val="006D5BDA"/>
    <w:rsid w:val="006E01E0"/>
    <w:rsid w:val="006E678B"/>
    <w:rsid w:val="006E6FCF"/>
    <w:rsid w:val="006F2682"/>
    <w:rsid w:val="0070367F"/>
    <w:rsid w:val="00710655"/>
    <w:rsid w:val="00712F3C"/>
    <w:rsid w:val="007170AA"/>
    <w:rsid w:val="007175F5"/>
    <w:rsid w:val="0072638A"/>
    <w:rsid w:val="00726642"/>
    <w:rsid w:val="007305F5"/>
    <w:rsid w:val="00732B66"/>
    <w:rsid w:val="007378E4"/>
    <w:rsid w:val="00737C8F"/>
    <w:rsid w:val="007406DE"/>
    <w:rsid w:val="00743E79"/>
    <w:rsid w:val="00744BEA"/>
    <w:rsid w:val="00751532"/>
    <w:rsid w:val="00751C37"/>
    <w:rsid w:val="00753CB6"/>
    <w:rsid w:val="00754C46"/>
    <w:rsid w:val="0075769B"/>
    <w:rsid w:val="007618BC"/>
    <w:rsid w:val="00772340"/>
    <w:rsid w:val="00774D00"/>
    <w:rsid w:val="007757F3"/>
    <w:rsid w:val="007815DC"/>
    <w:rsid w:val="00782014"/>
    <w:rsid w:val="007839F5"/>
    <w:rsid w:val="00783C4A"/>
    <w:rsid w:val="00787C80"/>
    <w:rsid w:val="00790D5E"/>
    <w:rsid w:val="00790E09"/>
    <w:rsid w:val="00790FC6"/>
    <w:rsid w:val="00794D01"/>
    <w:rsid w:val="00795FA6"/>
    <w:rsid w:val="007A2C5A"/>
    <w:rsid w:val="007A47FB"/>
    <w:rsid w:val="007A61FD"/>
    <w:rsid w:val="007A6299"/>
    <w:rsid w:val="007B106B"/>
    <w:rsid w:val="007B275D"/>
    <w:rsid w:val="007C24A1"/>
    <w:rsid w:val="007C2EC8"/>
    <w:rsid w:val="007E03E9"/>
    <w:rsid w:val="007E6AEB"/>
    <w:rsid w:val="007E7C11"/>
    <w:rsid w:val="007F01EC"/>
    <w:rsid w:val="007F0EA0"/>
    <w:rsid w:val="007F1DD4"/>
    <w:rsid w:val="007F3AD5"/>
    <w:rsid w:val="007F6A62"/>
    <w:rsid w:val="007F7DF2"/>
    <w:rsid w:val="00803706"/>
    <w:rsid w:val="0080433F"/>
    <w:rsid w:val="0080780F"/>
    <w:rsid w:val="008079FA"/>
    <w:rsid w:val="00810D58"/>
    <w:rsid w:val="00812C6B"/>
    <w:rsid w:val="008154B0"/>
    <w:rsid w:val="00815AF5"/>
    <w:rsid w:val="008160E3"/>
    <w:rsid w:val="00827CD6"/>
    <w:rsid w:val="008343CB"/>
    <w:rsid w:val="00834F70"/>
    <w:rsid w:val="00835B31"/>
    <w:rsid w:val="00850591"/>
    <w:rsid w:val="00861584"/>
    <w:rsid w:val="0086249C"/>
    <w:rsid w:val="008638DE"/>
    <w:rsid w:val="00863B20"/>
    <w:rsid w:val="008646DE"/>
    <w:rsid w:val="00864902"/>
    <w:rsid w:val="00864BE7"/>
    <w:rsid w:val="00865200"/>
    <w:rsid w:val="00871695"/>
    <w:rsid w:val="00872888"/>
    <w:rsid w:val="00876716"/>
    <w:rsid w:val="0088174B"/>
    <w:rsid w:val="00881C64"/>
    <w:rsid w:val="00885631"/>
    <w:rsid w:val="00886006"/>
    <w:rsid w:val="00891C25"/>
    <w:rsid w:val="00894200"/>
    <w:rsid w:val="008973EE"/>
    <w:rsid w:val="008A0DA8"/>
    <w:rsid w:val="008A4AC0"/>
    <w:rsid w:val="008A7C7E"/>
    <w:rsid w:val="008B028C"/>
    <w:rsid w:val="008B21BA"/>
    <w:rsid w:val="008B4EE2"/>
    <w:rsid w:val="008B7990"/>
    <w:rsid w:val="008C199E"/>
    <w:rsid w:val="008C1CA5"/>
    <w:rsid w:val="008C53BD"/>
    <w:rsid w:val="008C6BF3"/>
    <w:rsid w:val="008D089D"/>
    <w:rsid w:val="008D23FA"/>
    <w:rsid w:val="008E0673"/>
    <w:rsid w:val="008E792C"/>
    <w:rsid w:val="008F0B04"/>
    <w:rsid w:val="008F3781"/>
    <w:rsid w:val="008F6DB9"/>
    <w:rsid w:val="008F7C55"/>
    <w:rsid w:val="00901BAF"/>
    <w:rsid w:val="0090402A"/>
    <w:rsid w:val="0091272B"/>
    <w:rsid w:val="00930694"/>
    <w:rsid w:val="00932193"/>
    <w:rsid w:val="009343EF"/>
    <w:rsid w:val="0093521F"/>
    <w:rsid w:val="0093786C"/>
    <w:rsid w:val="00945677"/>
    <w:rsid w:val="00951EAA"/>
    <w:rsid w:val="00953A79"/>
    <w:rsid w:val="0095571F"/>
    <w:rsid w:val="00955B84"/>
    <w:rsid w:val="0095689B"/>
    <w:rsid w:val="00956ECB"/>
    <w:rsid w:val="00962F78"/>
    <w:rsid w:val="00963A6C"/>
    <w:rsid w:val="00965A0E"/>
    <w:rsid w:val="0096609F"/>
    <w:rsid w:val="00971600"/>
    <w:rsid w:val="0097256F"/>
    <w:rsid w:val="00984342"/>
    <w:rsid w:val="00993632"/>
    <w:rsid w:val="00995C51"/>
    <w:rsid w:val="00996B0D"/>
    <w:rsid w:val="009973B4"/>
    <w:rsid w:val="009A1279"/>
    <w:rsid w:val="009A25C8"/>
    <w:rsid w:val="009A3FB8"/>
    <w:rsid w:val="009A4B5C"/>
    <w:rsid w:val="009A6F79"/>
    <w:rsid w:val="009B16F4"/>
    <w:rsid w:val="009B4D68"/>
    <w:rsid w:val="009B6785"/>
    <w:rsid w:val="009B6AB3"/>
    <w:rsid w:val="009B7EB8"/>
    <w:rsid w:val="009C131F"/>
    <w:rsid w:val="009D1075"/>
    <w:rsid w:val="009D1A3F"/>
    <w:rsid w:val="009D2F66"/>
    <w:rsid w:val="009D57CF"/>
    <w:rsid w:val="009D73FE"/>
    <w:rsid w:val="009E12E7"/>
    <w:rsid w:val="009E2238"/>
    <w:rsid w:val="009E30DA"/>
    <w:rsid w:val="009E3D68"/>
    <w:rsid w:val="009E3FDC"/>
    <w:rsid w:val="009E6193"/>
    <w:rsid w:val="009E7DD1"/>
    <w:rsid w:val="009F6386"/>
    <w:rsid w:val="009F7BFC"/>
    <w:rsid w:val="009F7EED"/>
    <w:rsid w:val="00A02750"/>
    <w:rsid w:val="00A0721A"/>
    <w:rsid w:val="00A106F7"/>
    <w:rsid w:val="00A138EC"/>
    <w:rsid w:val="00A33BB2"/>
    <w:rsid w:val="00A378F6"/>
    <w:rsid w:val="00A41F32"/>
    <w:rsid w:val="00A50B4B"/>
    <w:rsid w:val="00A51349"/>
    <w:rsid w:val="00A52946"/>
    <w:rsid w:val="00A57E86"/>
    <w:rsid w:val="00A61ED7"/>
    <w:rsid w:val="00A64722"/>
    <w:rsid w:val="00A71E7B"/>
    <w:rsid w:val="00A743CD"/>
    <w:rsid w:val="00A801DE"/>
    <w:rsid w:val="00A80C1F"/>
    <w:rsid w:val="00A81FD7"/>
    <w:rsid w:val="00A86BDD"/>
    <w:rsid w:val="00A90A22"/>
    <w:rsid w:val="00A93100"/>
    <w:rsid w:val="00A969B9"/>
    <w:rsid w:val="00A96A66"/>
    <w:rsid w:val="00A97734"/>
    <w:rsid w:val="00A97D5C"/>
    <w:rsid w:val="00AA1858"/>
    <w:rsid w:val="00AA2BD6"/>
    <w:rsid w:val="00AA3149"/>
    <w:rsid w:val="00AA5451"/>
    <w:rsid w:val="00AA6131"/>
    <w:rsid w:val="00AA6A45"/>
    <w:rsid w:val="00AA7528"/>
    <w:rsid w:val="00AA7F40"/>
    <w:rsid w:val="00AB41FC"/>
    <w:rsid w:val="00AB7D2F"/>
    <w:rsid w:val="00AC1D8B"/>
    <w:rsid w:val="00AC24B1"/>
    <w:rsid w:val="00AC260E"/>
    <w:rsid w:val="00AC290F"/>
    <w:rsid w:val="00AC2F04"/>
    <w:rsid w:val="00AD145D"/>
    <w:rsid w:val="00AD20E6"/>
    <w:rsid w:val="00AD48C6"/>
    <w:rsid w:val="00AD6F34"/>
    <w:rsid w:val="00AE020D"/>
    <w:rsid w:val="00AE0F91"/>
    <w:rsid w:val="00AF0AAB"/>
    <w:rsid w:val="00AF156F"/>
    <w:rsid w:val="00AF616B"/>
    <w:rsid w:val="00B034AD"/>
    <w:rsid w:val="00B0685B"/>
    <w:rsid w:val="00B06B5B"/>
    <w:rsid w:val="00B0721E"/>
    <w:rsid w:val="00B127C6"/>
    <w:rsid w:val="00B14B87"/>
    <w:rsid w:val="00B22D22"/>
    <w:rsid w:val="00B23030"/>
    <w:rsid w:val="00B237B9"/>
    <w:rsid w:val="00B23CAA"/>
    <w:rsid w:val="00B2489D"/>
    <w:rsid w:val="00B24ADB"/>
    <w:rsid w:val="00B258B5"/>
    <w:rsid w:val="00B410EE"/>
    <w:rsid w:val="00B427EC"/>
    <w:rsid w:val="00B45D2C"/>
    <w:rsid w:val="00B526B1"/>
    <w:rsid w:val="00B546C0"/>
    <w:rsid w:val="00B565BF"/>
    <w:rsid w:val="00B6762E"/>
    <w:rsid w:val="00B71EA0"/>
    <w:rsid w:val="00B729F6"/>
    <w:rsid w:val="00B73843"/>
    <w:rsid w:val="00B73B0E"/>
    <w:rsid w:val="00B73EA8"/>
    <w:rsid w:val="00B8202D"/>
    <w:rsid w:val="00B82639"/>
    <w:rsid w:val="00B91271"/>
    <w:rsid w:val="00B91605"/>
    <w:rsid w:val="00B929FD"/>
    <w:rsid w:val="00B95B99"/>
    <w:rsid w:val="00B95F69"/>
    <w:rsid w:val="00BA435D"/>
    <w:rsid w:val="00BA4DA7"/>
    <w:rsid w:val="00BA4EA8"/>
    <w:rsid w:val="00BA5B19"/>
    <w:rsid w:val="00BB0434"/>
    <w:rsid w:val="00BC0122"/>
    <w:rsid w:val="00BC2015"/>
    <w:rsid w:val="00BC71B0"/>
    <w:rsid w:val="00BC7ABB"/>
    <w:rsid w:val="00BD3E2B"/>
    <w:rsid w:val="00BD4E08"/>
    <w:rsid w:val="00BD6DBC"/>
    <w:rsid w:val="00BE00E9"/>
    <w:rsid w:val="00BE512D"/>
    <w:rsid w:val="00BF1D87"/>
    <w:rsid w:val="00BF370C"/>
    <w:rsid w:val="00BF597E"/>
    <w:rsid w:val="00C03098"/>
    <w:rsid w:val="00C10EF3"/>
    <w:rsid w:val="00C1285B"/>
    <w:rsid w:val="00C14685"/>
    <w:rsid w:val="00C31C73"/>
    <w:rsid w:val="00C31C8D"/>
    <w:rsid w:val="00C431C9"/>
    <w:rsid w:val="00C513CB"/>
    <w:rsid w:val="00C51A36"/>
    <w:rsid w:val="00C548BE"/>
    <w:rsid w:val="00C55228"/>
    <w:rsid w:val="00C619C1"/>
    <w:rsid w:val="00C62031"/>
    <w:rsid w:val="00C67E19"/>
    <w:rsid w:val="00C67E47"/>
    <w:rsid w:val="00C70C21"/>
    <w:rsid w:val="00C71E85"/>
    <w:rsid w:val="00C750BE"/>
    <w:rsid w:val="00C76A3E"/>
    <w:rsid w:val="00C773BA"/>
    <w:rsid w:val="00C80205"/>
    <w:rsid w:val="00C85E49"/>
    <w:rsid w:val="00C86F9B"/>
    <w:rsid w:val="00C87FEE"/>
    <w:rsid w:val="00C90930"/>
    <w:rsid w:val="00C920A9"/>
    <w:rsid w:val="00C92D8D"/>
    <w:rsid w:val="00C93340"/>
    <w:rsid w:val="00C9447D"/>
    <w:rsid w:val="00CB0154"/>
    <w:rsid w:val="00CB0D49"/>
    <w:rsid w:val="00CB127F"/>
    <w:rsid w:val="00CB1FBC"/>
    <w:rsid w:val="00CB260B"/>
    <w:rsid w:val="00CB3729"/>
    <w:rsid w:val="00CB43FE"/>
    <w:rsid w:val="00CB6D7C"/>
    <w:rsid w:val="00CC0969"/>
    <w:rsid w:val="00CC2A01"/>
    <w:rsid w:val="00CC3BF9"/>
    <w:rsid w:val="00CC3E21"/>
    <w:rsid w:val="00CC4D84"/>
    <w:rsid w:val="00CD394A"/>
    <w:rsid w:val="00CD68C2"/>
    <w:rsid w:val="00CD6C83"/>
    <w:rsid w:val="00CD6E0D"/>
    <w:rsid w:val="00CE0AA5"/>
    <w:rsid w:val="00CE2A9E"/>
    <w:rsid w:val="00CE2DBB"/>
    <w:rsid w:val="00CE315A"/>
    <w:rsid w:val="00CE4B8A"/>
    <w:rsid w:val="00CE7BE1"/>
    <w:rsid w:val="00CF147A"/>
    <w:rsid w:val="00CF1726"/>
    <w:rsid w:val="00CF5473"/>
    <w:rsid w:val="00CF6C5C"/>
    <w:rsid w:val="00D004F0"/>
    <w:rsid w:val="00D0368C"/>
    <w:rsid w:val="00D04E45"/>
    <w:rsid w:val="00D06F59"/>
    <w:rsid w:val="00D071AB"/>
    <w:rsid w:val="00D13453"/>
    <w:rsid w:val="00D14CD4"/>
    <w:rsid w:val="00D3392D"/>
    <w:rsid w:val="00D379ED"/>
    <w:rsid w:val="00D37D1B"/>
    <w:rsid w:val="00D41F5E"/>
    <w:rsid w:val="00D4235F"/>
    <w:rsid w:val="00D429D7"/>
    <w:rsid w:val="00D42D53"/>
    <w:rsid w:val="00D52EA0"/>
    <w:rsid w:val="00D548EE"/>
    <w:rsid w:val="00D55E69"/>
    <w:rsid w:val="00D562F6"/>
    <w:rsid w:val="00D57E68"/>
    <w:rsid w:val="00D624F9"/>
    <w:rsid w:val="00D74FBF"/>
    <w:rsid w:val="00D75463"/>
    <w:rsid w:val="00D75EFF"/>
    <w:rsid w:val="00D80770"/>
    <w:rsid w:val="00D83050"/>
    <w:rsid w:val="00D8388C"/>
    <w:rsid w:val="00D97182"/>
    <w:rsid w:val="00DA0DF0"/>
    <w:rsid w:val="00DA56FC"/>
    <w:rsid w:val="00DA657E"/>
    <w:rsid w:val="00DB2382"/>
    <w:rsid w:val="00DB5F30"/>
    <w:rsid w:val="00DB756E"/>
    <w:rsid w:val="00DC2968"/>
    <w:rsid w:val="00DC330A"/>
    <w:rsid w:val="00DC5402"/>
    <w:rsid w:val="00DD10DC"/>
    <w:rsid w:val="00DD1C8E"/>
    <w:rsid w:val="00DD1D21"/>
    <w:rsid w:val="00DD2816"/>
    <w:rsid w:val="00DD48B3"/>
    <w:rsid w:val="00DE0004"/>
    <w:rsid w:val="00DE146D"/>
    <w:rsid w:val="00DE2D80"/>
    <w:rsid w:val="00DE33EC"/>
    <w:rsid w:val="00DE6FCE"/>
    <w:rsid w:val="00DF27ED"/>
    <w:rsid w:val="00DF6570"/>
    <w:rsid w:val="00DF76DB"/>
    <w:rsid w:val="00DF7D02"/>
    <w:rsid w:val="00E01EE2"/>
    <w:rsid w:val="00E02CC9"/>
    <w:rsid w:val="00E03405"/>
    <w:rsid w:val="00E038E4"/>
    <w:rsid w:val="00E0521C"/>
    <w:rsid w:val="00E11CD7"/>
    <w:rsid w:val="00E13D9A"/>
    <w:rsid w:val="00E14BA9"/>
    <w:rsid w:val="00E17F68"/>
    <w:rsid w:val="00E221C3"/>
    <w:rsid w:val="00E32D13"/>
    <w:rsid w:val="00E33B3C"/>
    <w:rsid w:val="00E34F47"/>
    <w:rsid w:val="00E352EE"/>
    <w:rsid w:val="00E420B7"/>
    <w:rsid w:val="00E43822"/>
    <w:rsid w:val="00E54035"/>
    <w:rsid w:val="00E5717A"/>
    <w:rsid w:val="00E61DDE"/>
    <w:rsid w:val="00E62996"/>
    <w:rsid w:val="00E63714"/>
    <w:rsid w:val="00E64A51"/>
    <w:rsid w:val="00E64CB9"/>
    <w:rsid w:val="00E676F9"/>
    <w:rsid w:val="00E7279B"/>
    <w:rsid w:val="00E74608"/>
    <w:rsid w:val="00E84C02"/>
    <w:rsid w:val="00E90BBC"/>
    <w:rsid w:val="00E910C0"/>
    <w:rsid w:val="00E95637"/>
    <w:rsid w:val="00E97424"/>
    <w:rsid w:val="00EA04FF"/>
    <w:rsid w:val="00EA55F7"/>
    <w:rsid w:val="00EA5CF4"/>
    <w:rsid w:val="00EB0164"/>
    <w:rsid w:val="00EB5DF5"/>
    <w:rsid w:val="00EB65F7"/>
    <w:rsid w:val="00EB7607"/>
    <w:rsid w:val="00EC35B6"/>
    <w:rsid w:val="00EC3DBA"/>
    <w:rsid w:val="00EC42F5"/>
    <w:rsid w:val="00EC6620"/>
    <w:rsid w:val="00ED0F62"/>
    <w:rsid w:val="00ED77D9"/>
    <w:rsid w:val="00ED7F2E"/>
    <w:rsid w:val="00EE0241"/>
    <w:rsid w:val="00EE5011"/>
    <w:rsid w:val="00EE5CD9"/>
    <w:rsid w:val="00EE6713"/>
    <w:rsid w:val="00EE71F4"/>
    <w:rsid w:val="00EF29B6"/>
    <w:rsid w:val="00EF36E7"/>
    <w:rsid w:val="00F05FB7"/>
    <w:rsid w:val="00F06B25"/>
    <w:rsid w:val="00F06D09"/>
    <w:rsid w:val="00F11201"/>
    <w:rsid w:val="00F115BF"/>
    <w:rsid w:val="00F14D99"/>
    <w:rsid w:val="00F14FBF"/>
    <w:rsid w:val="00F2038C"/>
    <w:rsid w:val="00F21382"/>
    <w:rsid w:val="00F25AFF"/>
    <w:rsid w:val="00F314FC"/>
    <w:rsid w:val="00F31E8A"/>
    <w:rsid w:val="00F32CB9"/>
    <w:rsid w:val="00F33729"/>
    <w:rsid w:val="00F3372A"/>
    <w:rsid w:val="00F35CD7"/>
    <w:rsid w:val="00F3666E"/>
    <w:rsid w:val="00F41ED6"/>
    <w:rsid w:val="00F44D4E"/>
    <w:rsid w:val="00F45A29"/>
    <w:rsid w:val="00F46C3F"/>
    <w:rsid w:val="00F47508"/>
    <w:rsid w:val="00F47878"/>
    <w:rsid w:val="00F52928"/>
    <w:rsid w:val="00F55DB9"/>
    <w:rsid w:val="00F606E1"/>
    <w:rsid w:val="00F60CA3"/>
    <w:rsid w:val="00F6739D"/>
    <w:rsid w:val="00F83639"/>
    <w:rsid w:val="00F840C3"/>
    <w:rsid w:val="00F856F5"/>
    <w:rsid w:val="00F8598C"/>
    <w:rsid w:val="00F956F5"/>
    <w:rsid w:val="00F96737"/>
    <w:rsid w:val="00F97087"/>
    <w:rsid w:val="00FA0833"/>
    <w:rsid w:val="00FA2467"/>
    <w:rsid w:val="00FA25E4"/>
    <w:rsid w:val="00FA2988"/>
    <w:rsid w:val="00FA350D"/>
    <w:rsid w:val="00FA78A7"/>
    <w:rsid w:val="00FB03C3"/>
    <w:rsid w:val="00FB41F4"/>
    <w:rsid w:val="00FB5A65"/>
    <w:rsid w:val="00FB6C45"/>
    <w:rsid w:val="00FC01AB"/>
    <w:rsid w:val="00FC1D89"/>
    <w:rsid w:val="00FC4F9E"/>
    <w:rsid w:val="00FD2556"/>
    <w:rsid w:val="00FD2869"/>
    <w:rsid w:val="00FD3F5E"/>
    <w:rsid w:val="00FD5317"/>
    <w:rsid w:val="00FD5EE5"/>
    <w:rsid w:val="00FD72A6"/>
    <w:rsid w:val="00FE09C9"/>
    <w:rsid w:val="00FE1887"/>
    <w:rsid w:val="00FE3DB1"/>
    <w:rsid w:val="00FE4EA8"/>
    <w:rsid w:val="00FF4CA5"/>
    <w:rsid w:val="01A31EB8"/>
    <w:rsid w:val="01BE5E05"/>
    <w:rsid w:val="04B240C6"/>
    <w:rsid w:val="05CF61EC"/>
    <w:rsid w:val="060D00A0"/>
    <w:rsid w:val="06E771D0"/>
    <w:rsid w:val="07844611"/>
    <w:rsid w:val="09CC4E96"/>
    <w:rsid w:val="0A2E33AB"/>
    <w:rsid w:val="0B1D640E"/>
    <w:rsid w:val="0B8D2E5B"/>
    <w:rsid w:val="0BE656C5"/>
    <w:rsid w:val="0CB26739"/>
    <w:rsid w:val="0D1B01B1"/>
    <w:rsid w:val="0D713DD4"/>
    <w:rsid w:val="0E184469"/>
    <w:rsid w:val="0F4F27B7"/>
    <w:rsid w:val="108219C2"/>
    <w:rsid w:val="11C4358C"/>
    <w:rsid w:val="12B6303C"/>
    <w:rsid w:val="14783A99"/>
    <w:rsid w:val="155D675A"/>
    <w:rsid w:val="16115D02"/>
    <w:rsid w:val="176201B5"/>
    <w:rsid w:val="18783A5C"/>
    <w:rsid w:val="188238BD"/>
    <w:rsid w:val="1C7E6A05"/>
    <w:rsid w:val="1E174FC5"/>
    <w:rsid w:val="20550729"/>
    <w:rsid w:val="20F27DB6"/>
    <w:rsid w:val="21546562"/>
    <w:rsid w:val="21DB5136"/>
    <w:rsid w:val="22DE5AD0"/>
    <w:rsid w:val="24084C07"/>
    <w:rsid w:val="24244E74"/>
    <w:rsid w:val="27693C54"/>
    <w:rsid w:val="278008B9"/>
    <w:rsid w:val="27A574E4"/>
    <w:rsid w:val="27CC3C50"/>
    <w:rsid w:val="2A072696"/>
    <w:rsid w:val="2A743709"/>
    <w:rsid w:val="2C3167E7"/>
    <w:rsid w:val="2C38016B"/>
    <w:rsid w:val="2E7E70AA"/>
    <w:rsid w:val="301B0EB4"/>
    <w:rsid w:val="30BB0E8E"/>
    <w:rsid w:val="31840E6B"/>
    <w:rsid w:val="322E7B19"/>
    <w:rsid w:val="332659D0"/>
    <w:rsid w:val="3420215C"/>
    <w:rsid w:val="36EA0743"/>
    <w:rsid w:val="37F472EB"/>
    <w:rsid w:val="38231A48"/>
    <w:rsid w:val="38E62021"/>
    <w:rsid w:val="3A1A7073"/>
    <w:rsid w:val="3A5B31FB"/>
    <w:rsid w:val="3DC552B9"/>
    <w:rsid w:val="3FC1524D"/>
    <w:rsid w:val="41CE12CB"/>
    <w:rsid w:val="41D53996"/>
    <w:rsid w:val="43CB1130"/>
    <w:rsid w:val="44105482"/>
    <w:rsid w:val="44BF1D2B"/>
    <w:rsid w:val="4720022E"/>
    <w:rsid w:val="47232314"/>
    <w:rsid w:val="48A779FE"/>
    <w:rsid w:val="4B724D18"/>
    <w:rsid w:val="4B7E784A"/>
    <w:rsid w:val="4D2E0E66"/>
    <w:rsid w:val="4E1E23F5"/>
    <w:rsid w:val="4E935A81"/>
    <w:rsid w:val="4F5E4B82"/>
    <w:rsid w:val="4F673000"/>
    <w:rsid w:val="4F9056D0"/>
    <w:rsid w:val="50206B13"/>
    <w:rsid w:val="50FA20A7"/>
    <w:rsid w:val="53090D47"/>
    <w:rsid w:val="531B7EFA"/>
    <w:rsid w:val="54FA5177"/>
    <w:rsid w:val="55162359"/>
    <w:rsid w:val="58444FC7"/>
    <w:rsid w:val="5C210819"/>
    <w:rsid w:val="5C40317D"/>
    <w:rsid w:val="5CB23E5B"/>
    <w:rsid w:val="5EA12B9A"/>
    <w:rsid w:val="5EB35681"/>
    <w:rsid w:val="5FC91EC7"/>
    <w:rsid w:val="5FD4718E"/>
    <w:rsid w:val="61422CEA"/>
    <w:rsid w:val="638D714F"/>
    <w:rsid w:val="63B57A05"/>
    <w:rsid w:val="64CF2CE3"/>
    <w:rsid w:val="664A26A5"/>
    <w:rsid w:val="664C6741"/>
    <w:rsid w:val="664F0BA4"/>
    <w:rsid w:val="67F6581C"/>
    <w:rsid w:val="686C251E"/>
    <w:rsid w:val="69391D02"/>
    <w:rsid w:val="6A6F5BC8"/>
    <w:rsid w:val="6D824BAD"/>
    <w:rsid w:val="6E082C86"/>
    <w:rsid w:val="70371AE8"/>
    <w:rsid w:val="73100D49"/>
    <w:rsid w:val="79B9172A"/>
    <w:rsid w:val="7D030903"/>
    <w:rsid w:val="7E555C6E"/>
    <w:rsid w:val="7EB26B8B"/>
    <w:rsid w:val="7F82194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3"/>
    <w:link w:val="2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left="480"/>
      <w:textAlignment w:val="baseline"/>
    </w:pPr>
    <w:rPr>
      <w:kern w:val="0"/>
    </w:rPr>
  </w:style>
  <w:style w:type="paragraph" w:styleId="4">
    <w:name w:val="Body Text"/>
    <w:basedOn w:val="1"/>
    <w:link w:val="22"/>
    <w:unhideWhenUsed/>
    <w:qFormat/>
    <w:uiPriority w:val="99"/>
    <w:pPr>
      <w:spacing w:line="420" w:lineRule="exact"/>
    </w:pPr>
    <w:rPr>
      <w:sz w:val="24"/>
    </w:rPr>
  </w:style>
  <w:style w:type="paragraph" w:styleId="5">
    <w:name w:val="Body Text Indent"/>
    <w:basedOn w:val="1"/>
    <w:semiHidden/>
    <w:qFormat/>
    <w:uiPriority w:val="99"/>
    <w:pPr>
      <w:spacing w:after="120"/>
      <w:ind w:left="420" w:leftChars="200"/>
    </w:pPr>
  </w:style>
  <w:style w:type="paragraph" w:styleId="6">
    <w:name w:val="Plain Text"/>
    <w:basedOn w:val="1"/>
    <w:link w:val="24"/>
    <w:qFormat/>
    <w:uiPriority w:val="0"/>
    <w:rPr>
      <w:rFonts w:ascii="宋体" w:hAnsi="Courier New"/>
    </w:rPr>
  </w:style>
  <w:style w:type="paragraph" w:styleId="7">
    <w:name w:val="Balloon Text"/>
    <w:basedOn w:val="1"/>
    <w:link w:val="17"/>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itle"/>
    <w:basedOn w:val="1"/>
    <w:link w:val="25"/>
    <w:qFormat/>
    <w:uiPriority w:val="0"/>
    <w:pPr>
      <w:widowControl/>
      <w:jc w:val="center"/>
    </w:pPr>
    <w:rPr>
      <w:rFonts w:ascii="Book Antiqua" w:hAnsi="Book Antiqua"/>
      <w:b/>
      <w:kern w:val="0"/>
      <w:sz w:val="31"/>
      <w:szCs w:val="31"/>
      <w:u w:val="single"/>
      <w:lang w:eastAsia="en-US"/>
    </w:rPr>
  </w:style>
  <w:style w:type="paragraph" w:styleId="11">
    <w:name w:val="Body Text First Indent 2"/>
    <w:basedOn w:val="5"/>
    <w:qFormat/>
    <w:uiPriority w:val="99"/>
    <w:pPr>
      <w:spacing w:after="0"/>
      <w:ind w:left="0" w:leftChars="0" w:firstLine="420" w:firstLineChars="200"/>
      <w:jc w:val="left"/>
    </w:pPr>
    <w:rPr>
      <w:rFonts w:ascii="宋体" w:hAnsi="宋体" w:eastAsia="仿宋_GB2312"/>
      <w:color w:val="000000"/>
      <w:sz w:val="28"/>
    </w:rPr>
  </w:style>
  <w:style w:type="table" w:styleId="13">
    <w:name w:val="Table Grid"/>
    <w:basedOn w:val="12"/>
    <w:qFormat/>
    <w:uiPriority w:val="59"/>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页眉 字符"/>
    <w:basedOn w:val="14"/>
    <w:link w:val="9"/>
    <w:qFormat/>
    <w:uiPriority w:val="99"/>
    <w:rPr>
      <w:rFonts w:ascii="Times New Roman" w:hAnsi="Times New Roman" w:eastAsia="宋体" w:cs="Times New Roman"/>
      <w:sz w:val="18"/>
      <w:szCs w:val="18"/>
    </w:rPr>
  </w:style>
  <w:style w:type="character" w:customStyle="1" w:styleId="16">
    <w:name w:val="页脚 字符"/>
    <w:basedOn w:val="14"/>
    <w:link w:val="8"/>
    <w:qFormat/>
    <w:uiPriority w:val="99"/>
    <w:rPr>
      <w:rFonts w:ascii="Times New Roman" w:hAnsi="Times New Roman" w:eastAsia="宋体" w:cs="Times New Roman"/>
      <w:sz w:val="18"/>
      <w:szCs w:val="18"/>
    </w:rPr>
  </w:style>
  <w:style w:type="character" w:customStyle="1" w:styleId="17">
    <w:name w:val="批注框文本 字符"/>
    <w:basedOn w:val="14"/>
    <w:link w:val="7"/>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character" w:customStyle="1" w:styleId="19">
    <w:name w:val="fontstyle01"/>
    <w:basedOn w:val="14"/>
    <w:qFormat/>
    <w:uiPriority w:val="0"/>
    <w:rPr>
      <w:rFonts w:hint="eastAsia" w:ascii="宋体" w:hAnsi="宋体" w:eastAsia="宋体"/>
      <w:color w:val="000000"/>
      <w:sz w:val="24"/>
      <w:szCs w:val="24"/>
    </w:rPr>
  </w:style>
  <w:style w:type="character" w:customStyle="1" w:styleId="20">
    <w:name w:val="fontstyle21"/>
    <w:basedOn w:val="14"/>
    <w:qFormat/>
    <w:uiPriority w:val="0"/>
    <w:rPr>
      <w:rFonts w:hint="default" w:ascii="Times New Roman" w:hAnsi="Times New Roman" w:cs="Times New Roman"/>
      <w:color w:val="000000"/>
      <w:sz w:val="24"/>
      <w:szCs w:val="24"/>
    </w:rPr>
  </w:style>
  <w:style w:type="character" w:customStyle="1" w:styleId="21">
    <w:name w:val="标题 2 字符"/>
    <w:basedOn w:val="14"/>
    <w:link w:val="2"/>
    <w:qFormat/>
    <w:uiPriority w:val="9"/>
    <w:rPr>
      <w:rFonts w:asciiTheme="majorHAnsi" w:hAnsiTheme="majorHAnsi" w:eastAsiaTheme="majorEastAsia" w:cstheme="majorBidi"/>
      <w:b/>
      <w:bCs/>
      <w:kern w:val="2"/>
      <w:sz w:val="32"/>
      <w:szCs w:val="32"/>
    </w:rPr>
  </w:style>
  <w:style w:type="character" w:customStyle="1" w:styleId="22">
    <w:name w:val="正文文本 字符"/>
    <w:basedOn w:val="14"/>
    <w:link w:val="4"/>
    <w:qFormat/>
    <w:uiPriority w:val="99"/>
    <w:rPr>
      <w:rFonts w:ascii="Times New Roman" w:hAnsi="Times New Roman" w:eastAsia="宋体" w:cs="Times New Roman"/>
      <w:kern w:val="2"/>
      <w:sz w:val="24"/>
    </w:rPr>
  </w:style>
  <w:style w:type="paragraph" w:customStyle="1" w:styleId="23">
    <w:name w:val="表格文字"/>
    <w:basedOn w:val="1"/>
    <w:qFormat/>
    <w:uiPriority w:val="0"/>
    <w:pPr>
      <w:spacing w:before="25" w:after="25"/>
    </w:pPr>
    <w:rPr>
      <w:bCs/>
      <w:spacing w:val="10"/>
    </w:rPr>
  </w:style>
  <w:style w:type="character" w:customStyle="1" w:styleId="24">
    <w:name w:val="纯文本 字符"/>
    <w:basedOn w:val="14"/>
    <w:link w:val="6"/>
    <w:qFormat/>
    <w:uiPriority w:val="0"/>
    <w:rPr>
      <w:rFonts w:ascii="宋体" w:hAnsi="Courier New" w:eastAsia="宋体" w:cs="Times New Roman"/>
      <w:kern w:val="2"/>
      <w:sz w:val="21"/>
    </w:rPr>
  </w:style>
  <w:style w:type="character" w:customStyle="1" w:styleId="25">
    <w:name w:val="标题 字符"/>
    <w:basedOn w:val="14"/>
    <w:link w:val="10"/>
    <w:qFormat/>
    <w:uiPriority w:val="0"/>
    <w:rPr>
      <w:rFonts w:ascii="Book Antiqua" w:hAnsi="Book Antiqua" w:eastAsia="宋体" w:cs="Times New Roman"/>
      <w:b/>
      <w:sz w:val="31"/>
      <w:szCs w:val="31"/>
      <w:u w:val="single"/>
      <w:lang w:eastAsia="en-US"/>
    </w:rPr>
  </w:style>
  <w:style w:type="paragraph" w:styleId="26">
    <w:name w:val="List Paragraph"/>
    <w:basedOn w:val="1"/>
    <w:unhideWhenUsed/>
    <w:qFormat/>
    <w:uiPriority w:val="99"/>
    <w:pPr>
      <w:ind w:firstLine="420" w:firstLineChars="200"/>
    </w:pPr>
  </w:style>
  <w:style w:type="paragraph" w:styleId="27">
    <w:name w:val="No Spacing"/>
    <w:qFormat/>
    <w:uiPriority w:val="99"/>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F9C022-E003-4773-98FA-B663BB3DB072}">
  <ds:schemaRefs/>
</ds:datastoreItem>
</file>

<file path=docProps/app.xml><?xml version="1.0" encoding="utf-8"?>
<Properties xmlns="http://schemas.openxmlformats.org/officeDocument/2006/extended-properties" xmlns:vt="http://schemas.openxmlformats.org/officeDocument/2006/docPropsVTypes">
  <Template>Normal</Template>
  <Pages>6</Pages>
  <Words>456</Words>
  <Characters>2601</Characters>
  <Lines>21</Lines>
  <Paragraphs>6</Paragraphs>
  <TotalTime>7</TotalTime>
  <ScaleCrop>false</ScaleCrop>
  <LinksUpToDate>false</LinksUpToDate>
  <CharactersWithSpaces>3051</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汪桂丽</cp:lastModifiedBy>
  <dcterms:modified xsi:type="dcterms:W3CDTF">2021-08-05T07:10:38Z</dcterms:modified>
  <cp:revision>1012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CD23DAFE4BEB4385B4C30D856CEAFACF</vt:lpwstr>
  </property>
</Properties>
</file>