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inorEastAsia" w:hAnsiTheme="minorEastAsia" w:eastAsiaTheme="minorEastAsia"/>
          <w:b/>
          <w:bCs/>
          <w:color w:val="000000"/>
          <w:sz w:val="36"/>
          <w:szCs w:val="36"/>
        </w:rPr>
      </w:pPr>
      <w:r>
        <w:rPr>
          <w:rFonts w:hint="eastAsia" w:asciiTheme="minorEastAsia" w:hAnsiTheme="minorEastAsia" w:eastAsiaTheme="minorEastAsia"/>
          <w:b/>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19"/>
        <w:gridCol w:w="11223"/>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spacing w:line="3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过程与活动、</w:t>
            </w:r>
          </w:p>
          <w:p>
            <w:pPr>
              <w:spacing w:line="3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抽样计划</w:t>
            </w:r>
          </w:p>
        </w:tc>
        <w:tc>
          <w:tcPr>
            <w:tcW w:w="1019" w:type="dxa"/>
            <w:vMerge w:val="restart"/>
            <w:vAlign w:val="center"/>
          </w:tcPr>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涉及</w:t>
            </w:r>
          </w:p>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条款</w:t>
            </w:r>
          </w:p>
        </w:tc>
        <w:tc>
          <w:tcPr>
            <w:tcW w:w="11223" w:type="dxa"/>
            <w:vAlign w:val="center"/>
          </w:tcPr>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受审核部门：</w:t>
            </w:r>
            <w:r>
              <w:rPr>
                <w:rFonts w:hint="eastAsia" w:cs="宋体" w:asciiTheme="minorEastAsia" w:hAnsiTheme="minorEastAsia" w:eastAsiaTheme="minorEastAsia"/>
                <w:bCs/>
                <w:sz w:val="24"/>
                <w:szCs w:val="24"/>
              </w:rPr>
              <w:t>管理层</w:t>
            </w:r>
            <w:r>
              <w:rPr>
                <w:rFonts w:hint="eastAsia" w:cs="宋体" w:asciiTheme="minorEastAsia" w:hAnsiTheme="minorEastAsia" w:eastAsiaTheme="minorEastAsia"/>
                <w:sz w:val="24"/>
                <w:szCs w:val="24"/>
              </w:rPr>
              <w:t xml:space="preserve">    主管领导：</w:t>
            </w:r>
            <w:r>
              <w:rPr>
                <w:rFonts w:hint="eastAsia" w:cs="宋体" w:asciiTheme="minorEastAsia" w:hAnsiTheme="minorEastAsia" w:eastAsiaTheme="minorEastAsia"/>
                <w:sz w:val="24"/>
                <w:szCs w:val="24"/>
                <w:lang w:eastAsia="zh-CN"/>
              </w:rPr>
              <w:t>黄新元</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eastAsia="zh-CN"/>
              </w:rPr>
              <w:t>陈春华</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 xml:space="preserve">  陪同人员：</w:t>
            </w:r>
            <w:r>
              <w:rPr>
                <w:rFonts w:hint="eastAsia" w:cs="宋体" w:asciiTheme="minorEastAsia" w:hAnsiTheme="minorEastAsia" w:eastAsiaTheme="minorEastAsia"/>
                <w:sz w:val="24"/>
                <w:szCs w:val="24"/>
                <w:lang w:eastAsia="zh-CN"/>
              </w:rPr>
              <w:t>倪燕华</w:t>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 xml:space="preserve"> </w:t>
            </w:r>
          </w:p>
        </w:tc>
        <w:tc>
          <w:tcPr>
            <w:tcW w:w="760" w:type="dxa"/>
            <w:vMerge w:val="restart"/>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spacing w:line="320" w:lineRule="exact"/>
              <w:rPr>
                <w:rFonts w:cs="宋体" w:asciiTheme="minorEastAsia" w:hAnsiTheme="minorEastAsia" w:eastAsiaTheme="minorEastAsia"/>
                <w:sz w:val="24"/>
                <w:szCs w:val="24"/>
              </w:rPr>
            </w:pPr>
          </w:p>
        </w:tc>
        <w:tc>
          <w:tcPr>
            <w:tcW w:w="1019" w:type="dxa"/>
            <w:vMerge w:val="continue"/>
            <w:vAlign w:val="center"/>
          </w:tcPr>
          <w:p>
            <w:pPr>
              <w:spacing w:line="320" w:lineRule="exact"/>
              <w:rPr>
                <w:rFonts w:cs="宋体" w:asciiTheme="minorEastAsia" w:hAnsiTheme="minorEastAsia" w:eastAsiaTheme="minorEastAsia"/>
                <w:sz w:val="24"/>
                <w:szCs w:val="24"/>
              </w:rPr>
            </w:pPr>
          </w:p>
        </w:tc>
        <w:tc>
          <w:tcPr>
            <w:tcW w:w="11223" w:type="dxa"/>
            <w:vAlign w:val="center"/>
          </w:tcPr>
          <w:p>
            <w:pPr>
              <w:spacing w:line="320" w:lineRule="exact"/>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审核员：</w:t>
            </w:r>
            <w:r>
              <w:rPr>
                <w:rFonts w:hint="eastAsia" w:ascii="宋体" w:hAnsi="宋体" w:cs="Arial"/>
                <w:spacing w:val="-6"/>
                <w:szCs w:val="21"/>
              </w:rPr>
              <w:t>汪桂丽、</w:t>
            </w:r>
            <w:r>
              <w:rPr>
                <w:rFonts w:hint="eastAsia" w:ascii="宋体" w:hAnsi="宋体" w:cs="Arial"/>
                <w:spacing w:val="-6"/>
                <w:szCs w:val="21"/>
                <w:lang w:val="en-US" w:eastAsia="zh-CN"/>
              </w:rPr>
              <w:t>强兴</w:t>
            </w:r>
            <w:r>
              <w:rPr>
                <w:rFonts w:hint="eastAsia" w:ascii="宋体" w:hAnsi="宋体" w:cs="Arial"/>
                <w:spacing w:val="-6"/>
                <w:szCs w:val="21"/>
              </w:rPr>
              <w:t xml:space="preserve"> </w:t>
            </w:r>
            <w:r>
              <w:rPr>
                <w:rFonts w:hint="eastAsia" w:cs="宋体" w:asciiTheme="minorEastAsia" w:hAnsiTheme="minorEastAsia" w:eastAsiaTheme="minorEastAsia"/>
                <w:sz w:val="24"/>
                <w:szCs w:val="24"/>
              </w:rPr>
              <w:t xml:space="preserve">                  审核时间：2021.</w:t>
            </w:r>
            <w:r>
              <w:rPr>
                <w:rFonts w:hint="eastAsia" w:cs="宋体" w:asciiTheme="minorEastAsia" w:hAnsiTheme="minorEastAsia" w:eastAsiaTheme="minorEastAsia"/>
                <w:sz w:val="24"/>
                <w:szCs w:val="24"/>
                <w:lang w:val="en-US" w:eastAsia="zh-CN"/>
              </w:rPr>
              <w:t>7</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31</w:t>
            </w:r>
          </w:p>
        </w:tc>
        <w:tc>
          <w:tcPr>
            <w:tcW w:w="760" w:type="dxa"/>
            <w:vMerge w:val="continue"/>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07" w:type="dxa"/>
            <w:vMerge w:val="continue"/>
            <w:vAlign w:val="center"/>
          </w:tcPr>
          <w:p>
            <w:pPr>
              <w:spacing w:line="320" w:lineRule="exact"/>
              <w:rPr>
                <w:rFonts w:cs="宋体" w:asciiTheme="minorEastAsia" w:hAnsiTheme="minorEastAsia" w:eastAsiaTheme="minorEastAsia"/>
                <w:sz w:val="24"/>
                <w:szCs w:val="24"/>
              </w:rPr>
            </w:pPr>
          </w:p>
        </w:tc>
        <w:tc>
          <w:tcPr>
            <w:tcW w:w="1019" w:type="dxa"/>
            <w:vMerge w:val="continue"/>
            <w:vAlign w:val="center"/>
          </w:tcPr>
          <w:p>
            <w:pPr>
              <w:spacing w:line="320" w:lineRule="exact"/>
              <w:rPr>
                <w:rFonts w:cs="宋体" w:asciiTheme="minorEastAsia" w:hAnsiTheme="minorEastAsia" w:eastAsiaTheme="minorEastAsia"/>
                <w:sz w:val="24"/>
                <w:szCs w:val="24"/>
              </w:rPr>
            </w:pPr>
          </w:p>
        </w:tc>
        <w:tc>
          <w:tcPr>
            <w:tcW w:w="11223" w:type="dxa"/>
            <w:vAlign w:val="center"/>
          </w:tcPr>
          <w:p>
            <w:pPr>
              <w:adjustRightInd w:val="0"/>
              <w:snapToGrid w:val="0"/>
              <w:ind w:right="105" w:rightChars="50"/>
              <w:jc w:val="left"/>
              <w:textAlignment w:val="baseline"/>
              <w:rPr>
                <w:rFonts w:ascii="宋体" w:hAnsi="宋体" w:cs="Arial"/>
                <w:spacing w:val="-6"/>
                <w:szCs w:val="21"/>
              </w:rPr>
            </w:pPr>
            <w:r>
              <w:rPr>
                <w:rFonts w:hint="eastAsia" w:asciiTheme="minorEastAsia" w:hAnsiTheme="minorEastAsia" w:eastAsiaTheme="minorEastAsia"/>
                <w:color w:val="000000"/>
                <w:szCs w:val="21"/>
              </w:rPr>
              <w:t>涉及标准条款：</w:t>
            </w:r>
            <w:r>
              <w:rPr>
                <w:rFonts w:hint="eastAsia" w:ascii="宋体" w:hAnsi="宋体" w:cs="Arial"/>
                <w:spacing w:val="-6"/>
                <w:szCs w:val="21"/>
              </w:rPr>
              <w:t>QEO:4.1理解组织及其环境、4.2理解相关方的需求和期望、4.3 确定管理体系的范围、4.4质量/环境/</w:t>
            </w:r>
            <w:r>
              <w:rPr>
                <w:rFonts w:hint="eastAsia" w:ascii="宋体" w:hAnsi="宋体" w:cs="Arial"/>
                <w:szCs w:val="21"/>
              </w:rPr>
              <w:t>职业健康</w:t>
            </w:r>
            <w:r>
              <w:rPr>
                <w:rFonts w:hint="eastAsia" w:ascii="宋体" w:hAnsi="宋体" w:cs="Arial"/>
                <w:spacing w:val="-6"/>
                <w:szCs w:val="21"/>
              </w:rPr>
              <w:t>安全管理体系及其过程、5.1领导作用和承诺、5.2质量/环境/</w:t>
            </w:r>
            <w:r>
              <w:rPr>
                <w:rFonts w:hint="eastAsia" w:ascii="宋体" w:hAnsi="宋体" w:cs="Arial"/>
                <w:szCs w:val="21"/>
              </w:rPr>
              <w:t>职业健康</w:t>
            </w:r>
            <w:r>
              <w:rPr>
                <w:rFonts w:hint="eastAsia" w:ascii="宋体" w:hAnsi="宋体" w:cs="Arial"/>
                <w:spacing w:val="-6"/>
                <w:szCs w:val="21"/>
              </w:rPr>
              <w:t>安全方针、5.3组织的岗位、职责和权限、O5.4协商与参与、6.1应对风险和机遇的措施、6.2质量/环境/</w:t>
            </w:r>
            <w:r>
              <w:rPr>
                <w:rFonts w:hint="eastAsia" w:ascii="宋体" w:hAnsi="宋体" w:cs="Arial"/>
                <w:szCs w:val="21"/>
              </w:rPr>
              <w:t>职业健康</w:t>
            </w:r>
            <w:r>
              <w:rPr>
                <w:rFonts w:hint="eastAsia" w:ascii="宋体" w:hAnsi="宋体" w:cs="Arial"/>
                <w:spacing w:val="-6"/>
                <w:szCs w:val="21"/>
              </w:rPr>
              <w:t>安全目标及其实现的策划、Q6.3变更的策划、7.1.1（EO7.1）资源总则、7.4沟通/信息交流、9.3管理评审、10.1改进、10.3持续改进；</w:t>
            </w:r>
          </w:p>
          <w:p>
            <w:pPr>
              <w:ind w:firstLine="396" w:firstLineChars="200"/>
              <w:jc w:val="left"/>
              <w:rPr>
                <w:rFonts w:cs="宋体" w:asciiTheme="minorEastAsia" w:hAnsiTheme="minorEastAsia" w:eastAsiaTheme="minorEastAsia"/>
                <w:sz w:val="24"/>
                <w:szCs w:val="24"/>
              </w:rPr>
            </w:pPr>
            <w:r>
              <w:rPr>
                <w:rFonts w:hint="eastAsia" w:ascii="宋体" w:hAnsi="宋体" w:cs="Arial"/>
                <w:spacing w:val="-6"/>
                <w:szCs w:val="21"/>
              </w:rPr>
              <w:t>国家/地方监督抽查情况；顾客满意、相关方投诉及处理情况；一阶段问题验证，验证企业相关资质证明的有效性；</w:t>
            </w:r>
          </w:p>
        </w:tc>
        <w:tc>
          <w:tcPr>
            <w:tcW w:w="760" w:type="dxa"/>
            <w:vMerge w:val="continue"/>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0"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理解组织及其环境</w:t>
            </w: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4.1</w:t>
            </w: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公司高层领导，总经理：</w:t>
            </w:r>
            <w:r>
              <w:rPr>
                <w:rFonts w:hint="eastAsia" w:cs="宋体" w:asciiTheme="minorEastAsia" w:hAnsiTheme="minorEastAsia" w:eastAsiaTheme="minorEastAsia"/>
                <w:szCs w:val="21"/>
                <w:lang w:eastAsia="zh-CN"/>
              </w:rPr>
              <w:t>黄新元</w:t>
            </w:r>
            <w:r>
              <w:rPr>
                <w:rFonts w:hint="eastAsia" w:cs="宋体" w:asciiTheme="minorEastAsia" w:hAnsiTheme="minorEastAsia" w:eastAsiaTheme="minorEastAsia"/>
                <w:color w:val="FF0000"/>
                <w:szCs w:val="21"/>
              </w:rPr>
              <w:t xml:space="preserve"> </w:t>
            </w:r>
            <w:r>
              <w:rPr>
                <w:rFonts w:hint="eastAsia" w:cs="宋体" w:asciiTheme="minorEastAsia" w:hAnsiTheme="minorEastAsia" w:eastAsiaTheme="minorEastAsia"/>
                <w:szCs w:val="21"/>
              </w:rPr>
              <w:t xml:space="preserve"> 管者代表：</w:t>
            </w:r>
            <w:r>
              <w:rPr>
                <w:rFonts w:hint="eastAsia" w:cs="宋体" w:asciiTheme="minorEastAsia" w:hAnsiTheme="minorEastAsia" w:eastAsiaTheme="minorEastAsia"/>
                <w:szCs w:val="21"/>
                <w:lang w:eastAsia="zh-CN"/>
              </w:rPr>
              <w:t>陈春华</w:t>
            </w:r>
            <w:r>
              <w:rPr>
                <w:rFonts w:hint="eastAsia" w:cs="宋体" w:asciiTheme="minorEastAsia" w:hAnsiTheme="minorEastAsia" w:eastAsiaTheme="minorEastAsia"/>
                <w:szCs w:val="21"/>
              </w:rPr>
              <w:t>。</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提供营业执照在有效期内，经营地址与审</w:t>
            </w:r>
            <w:r>
              <w:rPr>
                <w:rFonts w:hint="eastAsia" w:cs="宋体" w:asciiTheme="minorEastAsia" w:hAnsiTheme="minorEastAsia" w:eastAsiaTheme="minorEastAsia"/>
                <w:szCs w:val="21"/>
                <w:lang w:val="en-US" w:eastAsia="zh-CN"/>
              </w:rPr>
              <w:t>核</w:t>
            </w:r>
            <w:r>
              <w:rPr>
                <w:rFonts w:hint="eastAsia" w:cs="宋体" w:asciiTheme="minorEastAsia" w:hAnsiTheme="minorEastAsia" w:eastAsiaTheme="minorEastAsia"/>
                <w:szCs w:val="21"/>
              </w:rPr>
              <w:t>计划和实际一致，包含认证范围，</w:t>
            </w:r>
            <w:r>
              <w:rPr>
                <w:rFonts w:hint="eastAsia" w:cs="宋体" w:asciiTheme="minorEastAsia" w:hAnsiTheme="minorEastAsia" w:eastAsiaTheme="minorEastAsia"/>
                <w:szCs w:val="21"/>
                <w:lang w:val="en-US" w:eastAsia="zh-CN"/>
              </w:rPr>
              <w:t>营业期限：</w:t>
            </w:r>
            <w:r>
              <w:rPr>
                <w:rFonts w:hint="eastAsia" w:cs="宋体" w:asciiTheme="minorEastAsia" w:hAnsiTheme="minorEastAsia" w:eastAsiaTheme="minorEastAsia"/>
                <w:szCs w:val="21"/>
              </w:rPr>
              <w:t>20</w:t>
            </w:r>
            <w:r>
              <w:rPr>
                <w:rFonts w:hint="eastAsia" w:cs="宋体" w:asciiTheme="minorEastAsia" w:hAnsiTheme="minorEastAsia" w:eastAsiaTheme="minorEastAsia"/>
                <w:szCs w:val="21"/>
                <w:lang w:val="en-US" w:eastAsia="zh-CN"/>
              </w:rPr>
              <w:t>19</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9</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12</w:t>
            </w:r>
            <w:r>
              <w:rPr>
                <w:rFonts w:hint="eastAsia" w:cs="宋体" w:asciiTheme="minorEastAsia" w:hAnsiTheme="minorEastAsia" w:eastAsiaTheme="minorEastAsia"/>
                <w:szCs w:val="21"/>
              </w:rPr>
              <w:t>日-</w:t>
            </w:r>
            <w:r>
              <w:rPr>
                <w:rFonts w:hint="eastAsia" w:cs="宋体" w:asciiTheme="minorEastAsia" w:hAnsiTheme="minorEastAsia" w:eastAsiaTheme="minorEastAsia"/>
                <w:szCs w:val="21"/>
                <w:lang w:val="en-US" w:eastAsia="zh-CN"/>
              </w:rPr>
              <w:t>长期</w:t>
            </w:r>
            <w:r>
              <w:rPr>
                <w:rFonts w:hint="eastAsia" w:cs="宋体" w:asciiTheme="minorEastAsia" w:hAnsiTheme="minorEastAsia" w:eastAsiaTheme="minorEastAsia"/>
                <w:szCs w:val="21"/>
              </w:rPr>
              <w:t>。</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认证范围确定为：</w:t>
            </w:r>
          </w:p>
          <w:p>
            <w:pPr>
              <w:spacing w:line="280" w:lineRule="exact"/>
              <w:ind w:firstLine="420" w:firstLineChars="200"/>
              <w:rPr>
                <w:rFonts w:hint="eastAsia" w:cs="宋体" w:asciiTheme="minorEastAsia" w:hAnsiTheme="minorEastAsia" w:eastAsiaTheme="minorEastAsia"/>
                <w:szCs w:val="21"/>
              </w:rPr>
            </w:pPr>
            <w:bookmarkStart w:id="0" w:name="审核范围"/>
            <w:r>
              <w:rPr>
                <w:rFonts w:hint="eastAsia" w:cs="宋体" w:asciiTheme="minorEastAsia" w:hAnsiTheme="minorEastAsia" w:eastAsiaTheme="minorEastAsia"/>
                <w:szCs w:val="21"/>
              </w:rPr>
              <w:t>E：钢质防火门、防盗门的销售所涉及场所的相关环境管理活动</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O：钢质防火门、防盗门的销售所涉及场所的相关职业健康安全管理活动</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Q：钢质防火门、防盗门的销售</w:t>
            </w:r>
            <w:bookmarkEnd w:id="0"/>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管理体系设置了管理层、</w:t>
            </w:r>
            <w:r>
              <w:rPr>
                <w:rFonts w:hint="eastAsia" w:cs="宋体" w:asciiTheme="minorEastAsia" w:hAnsiTheme="minorEastAsia" w:eastAsiaTheme="minorEastAsia"/>
                <w:szCs w:val="21"/>
                <w:lang w:eastAsia="zh-CN"/>
              </w:rPr>
              <w:t>行政部</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采购</w:t>
            </w:r>
            <w:r>
              <w:rPr>
                <w:rFonts w:hint="eastAsia" w:cs="宋体" w:asciiTheme="minorEastAsia" w:hAnsiTheme="minorEastAsia" w:eastAsiaTheme="minorEastAsia"/>
                <w:szCs w:val="21"/>
              </w:rPr>
              <w:t>部、</w:t>
            </w:r>
            <w:r>
              <w:rPr>
                <w:rFonts w:hint="eastAsia" w:cs="宋体" w:asciiTheme="minorEastAsia" w:hAnsiTheme="minorEastAsia" w:eastAsiaTheme="minorEastAsia"/>
                <w:szCs w:val="21"/>
                <w:lang w:val="en-US" w:eastAsia="zh-CN"/>
              </w:rPr>
              <w:t>销售</w:t>
            </w:r>
            <w:r>
              <w:rPr>
                <w:rFonts w:hint="eastAsia" w:cs="宋体" w:asciiTheme="minorEastAsia" w:hAnsiTheme="minorEastAsia" w:eastAsiaTheme="minorEastAsia"/>
                <w:szCs w:val="21"/>
              </w:rPr>
              <w:t>部。各部门职责已确定并在手册中明确、发布、实施。</w:t>
            </w:r>
          </w:p>
          <w:p>
            <w:pPr>
              <w:spacing w:line="280" w:lineRule="exact"/>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认证主管部门：</w:t>
            </w:r>
            <w:r>
              <w:rPr>
                <w:rFonts w:hint="eastAsia" w:cs="宋体" w:asciiTheme="minorEastAsia" w:hAnsiTheme="minorEastAsia" w:eastAsiaTheme="minorEastAsia"/>
                <w:szCs w:val="21"/>
                <w:lang w:eastAsia="zh-CN"/>
              </w:rPr>
              <w:t>行政部</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环评：</w:t>
            </w:r>
            <w:r>
              <w:rPr>
                <w:rFonts w:hint="eastAsia" w:cs="宋体" w:asciiTheme="minorEastAsia" w:hAnsiTheme="minorEastAsia" w:eastAsiaTheme="minorEastAsia"/>
                <w:szCs w:val="21"/>
                <w:lang w:val="en-US" w:eastAsia="zh-CN"/>
              </w:rPr>
              <w:t>目前体系范围为</w:t>
            </w:r>
            <w:r>
              <w:rPr>
                <w:rFonts w:hint="eastAsia" w:cs="宋体" w:asciiTheme="minorEastAsia" w:hAnsiTheme="minorEastAsia" w:eastAsiaTheme="minorEastAsia"/>
                <w:szCs w:val="21"/>
              </w:rPr>
              <w:t>钢质防火门、防盗门的销售，暂不需要。</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安评：</w:t>
            </w:r>
            <w:r>
              <w:rPr>
                <w:rFonts w:hint="eastAsia" w:cs="宋体" w:asciiTheme="minorEastAsia" w:hAnsiTheme="minorEastAsia" w:eastAsiaTheme="minorEastAsia"/>
                <w:szCs w:val="21"/>
                <w:lang w:val="en-US" w:eastAsia="zh-CN"/>
              </w:rPr>
              <w:t>目前体系范围为</w:t>
            </w:r>
            <w:r>
              <w:rPr>
                <w:rFonts w:hint="eastAsia" w:cs="宋体" w:asciiTheme="minorEastAsia" w:hAnsiTheme="minorEastAsia" w:eastAsiaTheme="minorEastAsia"/>
                <w:szCs w:val="21"/>
              </w:rPr>
              <w:t>钢质防火门、防盗门的销售，暂不需要。</w:t>
            </w:r>
          </w:p>
          <w:p>
            <w:pPr>
              <w:spacing w:line="280" w:lineRule="exact"/>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管理者代表：</w:t>
            </w:r>
            <w:r>
              <w:rPr>
                <w:rFonts w:hint="eastAsia" w:cs="宋体" w:asciiTheme="minorEastAsia" w:hAnsiTheme="minorEastAsia" w:eastAsiaTheme="minorEastAsia"/>
                <w:szCs w:val="21"/>
                <w:lang w:eastAsia="zh-CN"/>
              </w:rPr>
              <w:t>陈春华</w:t>
            </w:r>
            <w:r>
              <w:rPr>
                <w:rFonts w:hint="eastAsia" w:cs="宋体" w:asciiTheme="minorEastAsia" w:hAnsiTheme="minorEastAsia" w:eastAsiaTheme="minorEastAsia"/>
                <w:szCs w:val="21"/>
              </w:rPr>
              <w:t>；安全事务代表：邹建芳</w:t>
            </w:r>
          </w:p>
          <w:p>
            <w:pPr>
              <w:spacing w:line="280" w:lineRule="exact"/>
              <w:ind w:firstLine="420" w:firstLineChars="200"/>
              <w:rPr>
                <w:rFonts w:cs="宋体" w:asciiTheme="minorEastAsia" w:hAnsiTheme="minorEastAsia" w:eastAsiaTheme="minorEastAsia"/>
                <w:sz w:val="24"/>
                <w:szCs w:val="24"/>
              </w:rPr>
            </w:pPr>
            <w:r>
              <w:rPr>
                <w:rFonts w:hint="eastAsia" w:cs="宋体" w:asciiTheme="minorEastAsia" w:hAnsiTheme="minorEastAsia" w:eastAsiaTheme="minorEastAsia"/>
                <w:szCs w:val="21"/>
              </w:rPr>
              <w:t>总经理确定与公司管理目标和战略方向相关并影响实现管理体系预期结果的各种内部因素（公司价值观、文化、知识、绩效等相关因素）和外部因素（国家、地区和当地的各种法律法规、技术、竞争、文化和社会因素等）。这些因素包括了需要考虑的正面和负面因素或条件。公司业务部根据公司销售等外出人员从市场、客户、网络等搜集到的信息并结合公司自身业务运作情况进行分析，通过分析对这些内部和外部因素的相关信息进行监视和评审以确保其充分和适宜。</w:t>
            </w:r>
          </w:p>
        </w:tc>
        <w:tc>
          <w:tcPr>
            <w:tcW w:w="7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理解相关方的需求和期望</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4.2</w:t>
            </w: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确定了：与管理体系有关的相关方，公司关注外部供方和顾客；这些相关方的要求；这些要求和期望中哪些会成为合规义务，公司对这些相关方及其要求的相关信息进行监视和评审，以便于理解和持续满足相关方的需求和期望。</w:t>
            </w:r>
          </w:p>
          <w:p>
            <w:pPr>
              <w:spacing w:line="280" w:lineRule="exact"/>
              <w:ind w:firstLine="420" w:firstLineChars="200"/>
              <w:rPr>
                <w:rFonts w:cs="宋体" w:asciiTheme="minorEastAsia" w:hAnsiTheme="minorEastAsia" w:eastAsiaTheme="minorEastAsia"/>
                <w:sz w:val="24"/>
                <w:szCs w:val="24"/>
              </w:rPr>
            </w:pPr>
            <w:r>
              <w:rPr>
                <w:rFonts w:hint="eastAsia" w:cs="宋体" w:asciiTheme="minorEastAsia" w:hAnsiTheme="minorEastAsia" w:eastAsiaTheme="minorEastAsia"/>
                <w:szCs w:val="21"/>
              </w:rPr>
              <w:t>公司理解相关方的需求和期望，建立了管理方针和目标并分解落实，以满足相关方的要求并争取做到更高的期望值。</w:t>
            </w:r>
          </w:p>
        </w:tc>
        <w:tc>
          <w:tcPr>
            <w:tcW w:w="7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确定管理体系的范围</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QEO 4.3</w:t>
            </w: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确定管理体系范围时考虑内容：各种内部和外部因素；相关方的要求，包括相关合规义务；组织的活动、产品和产品；其组织单元、职能和物理边界。</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公司管理体系范围：</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E：钢质防火门、防盗门的销售所涉及场所的相关环境管理活动</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O：钢质防火门、防盗门的销售所涉及场所的相关职业健康安全管理活动</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Q：钢质防火门、防盗门的销售</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外包情况：</w:t>
            </w:r>
            <w:r>
              <w:rPr>
                <w:rFonts w:hint="eastAsia" w:cs="宋体" w:asciiTheme="minorEastAsia" w:hAnsiTheme="minorEastAsia" w:eastAsiaTheme="minorEastAsia"/>
                <w:szCs w:val="21"/>
                <w:lang w:val="en-US" w:eastAsia="zh-CN"/>
              </w:rPr>
              <w:t>无</w:t>
            </w:r>
            <w:r>
              <w:rPr>
                <w:rFonts w:hint="eastAsia" w:cs="宋体" w:asciiTheme="minorEastAsia" w:hAnsiTheme="minorEastAsia" w:eastAsiaTheme="minorEastAsia"/>
                <w:szCs w:val="21"/>
              </w:rPr>
              <w:t>。</w:t>
            </w:r>
          </w:p>
        </w:tc>
        <w:tc>
          <w:tcPr>
            <w:tcW w:w="7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管理体系及其过程</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4.4</w:t>
            </w: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公司确定管理体系及其过程；公司确保按照质量、环境、职业健康安全管理体系标准要求建立、实施、保持和持续改进管理体系，包括所需过程及其相互作用。</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公司确定质量、环境、职业健康安全管理体系所需的过程及其在整个组织中的应用。</w:t>
            </w:r>
          </w:p>
          <w:p>
            <w:pPr>
              <w:spacing w:line="280" w:lineRule="exact"/>
              <w:ind w:firstLine="420" w:firstLineChars="200"/>
              <w:rPr>
                <w:rFonts w:cs="宋体" w:asciiTheme="minorEastAsia" w:hAnsiTheme="minorEastAsia" w:eastAsiaTheme="minorEastAsia"/>
                <w:sz w:val="24"/>
                <w:szCs w:val="24"/>
              </w:rPr>
            </w:pPr>
            <w:r>
              <w:rPr>
                <w:rFonts w:hint="eastAsia" w:cs="宋体" w:asciiTheme="minorEastAsia" w:hAnsiTheme="minorEastAsia" w:eastAsiaTheme="minorEastAsia"/>
                <w:szCs w:val="21"/>
              </w:rPr>
              <w:t>公司按照标准建立了文件化的管理体系，编制了新版的管理手册，程序文件、管理制度，形成了相关文件化信息，为过程运行提供了支持，以证实过程按照策划执行。</w:t>
            </w:r>
          </w:p>
        </w:tc>
        <w:tc>
          <w:tcPr>
            <w:tcW w:w="7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领导作用与承诺</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QEO</w:t>
            </w:r>
          </w:p>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5.1</w:t>
            </w: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公司领导主要承诺有：</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a）建立公司质量/环境/职业健康安全管理方针，在相关职能、层次、过程上建立公司管理目标，并确保方针目标与组织的战略方向保持一致并在公司内得到理解和实施；</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b）建立公司培训体系，提高全体员工过程方法的意识，传达有效的体系管理以及满足管 理体系、产品要求、职业健康安全符合要求的重要性；</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c）建立合理的公司组织结构，确保管理体系所需资源能被获得； </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d）建立有效的沟通渠道，吸纳、指导和支持员工参与对公司管理体系的有效性作出贡献，强体系持续改进和创新；</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e）管理岗位职责权限的确认，以支持其他管理者在其负责领域证实其领导作用； </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f）定期进行管理评审，以确保体系持续有效、持续改进</w:t>
            </w:r>
            <w:r>
              <w:rPr>
                <w:rFonts w:hint="eastAsia" w:cs="宋体" w:asciiTheme="minorEastAsia" w:hAnsiTheme="minorEastAsia" w:eastAsiaTheme="minorEastAsia"/>
                <w:szCs w:val="21"/>
                <w:lang w:val="en-US" w:eastAsia="zh-CN"/>
              </w:rPr>
              <w:t>等</w:t>
            </w:r>
            <w:r>
              <w:rPr>
                <w:rFonts w:hint="eastAsia" w:cs="宋体" w:asciiTheme="minorEastAsia" w:hAnsiTheme="minorEastAsia" w:eastAsiaTheme="minorEastAsia"/>
                <w:szCs w:val="21"/>
              </w:rPr>
              <w:t>。</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对全体员工进行了产品质量以及顾客关注焦点的宣传和培训，制定了管理文件和管理目标并按规定进行了管理评审，该公司的管理体系基本得到落实。管理层通过制定方针和目标并通过会议、文件、培训等形式，要求员工理解企业的方针目标，以及遵守法律法规的重要性及顾客满意的重要性，并形成制度化，强调企业实施管理体系的重要性。资源提供充分并通过定期进行管理评审发现过程中存在的问题并加以改进，承诺基本有效。定期检查落实的情况，并有具体要求，承诺基本实现，没有违反的情况发生。</w:t>
            </w:r>
          </w:p>
          <w:p>
            <w:pPr>
              <w:spacing w:line="280" w:lineRule="exact"/>
              <w:ind w:firstLine="420" w:firstLineChars="200"/>
              <w:rPr>
                <w:rFonts w:cs="宋体" w:asciiTheme="minorEastAsia" w:hAnsiTheme="minorEastAsia" w:eastAsiaTheme="minorEastAsia"/>
                <w:sz w:val="24"/>
                <w:szCs w:val="24"/>
              </w:rPr>
            </w:pPr>
            <w:r>
              <w:rPr>
                <w:rFonts w:hint="eastAsia" w:cs="宋体" w:asciiTheme="minorEastAsia" w:hAnsiTheme="minorEastAsia" w:eastAsiaTheme="minorEastAsia"/>
                <w:szCs w:val="21"/>
              </w:rPr>
              <w:t>公司管理体系通过内审、管评及实施不符合纠正、改进措施等方法来完善和持续发展公司的管理体系。</w:t>
            </w:r>
          </w:p>
        </w:tc>
        <w:tc>
          <w:tcPr>
            <w:tcW w:w="7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方针</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5.2</w:t>
            </w:r>
          </w:p>
          <w:p>
            <w:pPr>
              <w:snapToGrid w:val="0"/>
              <w:spacing w:line="280" w:lineRule="exact"/>
              <w:rPr>
                <w:rFonts w:asciiTheme="minorEastAsia" w:hAnsiTheme="minorEastAsia" w:eastAsiaTheme="minorEastAsia"/>
                <w:szCs w:val="21"/>
              </w:rPr>
            </w:pP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公司管理方针：</w:t>
            </w:r>
            <w:r>
              <w:rPr>
                <w:rFonts w:hint="eastAsia" w:cs="宋体" w:asciiTheme="minorEastAsia" w:hAnsiTheme="minorEastAsia" w:eastAsiaTheme="minorEastAsia"/>
                <w:szCs w:val="21"/>
              </w:rPr>
              <w:t>服务用心周到，保证销售产品质量，顾客满意；</w:t>
            </w:r>
          </w:p>
          <w:p>
            <w:pPr>
              <w:spacing w:line="280" w:lineRule="exact"/>
              <w:ind w:firstLine="1890" w:firstLineChars="9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污染预防、关注健康；遵守法规，持续改进。</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与总经理进行交谈，对方针内涵的理解</w:t>
            </w:r>
            <w:r>
              <w:rPr>
                <w:rFonts w:hint="eastAsia" w:cs="宋体" w:asciiTheme="minorEastAsia" w:hAnsiTheme="minorEastAsia" w:eastAsiaTheme="minorEastAsia"/>
                <w:szCs w:val="21"/>
                <w:lang w:val="en-US" w:eastAsia="zh-CN"/>
              </w:rPr>
              <w:t>，手册中明确内涵</w:t>
            </w:r>
            <w:r>
              <w:rPr>
                <w:rFonts w:hint="eastAsia" w:cs="宋体" w:asciiTheme="minorEastAsia" w:hAnsiTheme="minorEastAsia" w:eastAsiaTheme="minorEastAsia"/>
                <w:szCs w:val="21"/>
              </w:rPr>
              <w:t>；方针能为制定目标提供框架，方针基本符合标准的要求。</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总经理用会议、文件、宣传栏或资料等方法确保管理方针传达给所有为公司工作或代表公司的人员或相关方，并理解得到贯彻。</w:t>
            </w:r>
          </w:p>
          <w:p>
            <w:pPr>
              <w:spacing w:line="280" w:lineRule="exact"/>
              <w:ind w:firstLine="420" w:firstLineChars="200"/>
              <w:rPr>
                <w:rFonts w:cs="宋体" w:asciiTheme="minorEastAsia" w:hAnsiTheme="minorEastAsia" w:eastAsiaTheme="minorEastAsia"/>
                <w:sz w:val="24"/>
                <w:szCs w:val="24"/>
              </w:rPr>
            </w:pPr>
            <w:r>
              <w:rPr>
                <w:rFonts w:hint="eastAsia" w:cs="宋体" w:asciiTheme="minorEastAsia" w:hAnsiTheme="minorEastAsia" w:eastAsiaTheme="minorEastAsia"/>
                <w:szCs w:val="21"/>
              </w:rPr>
              <w:t>每年结合管理评审对方针的持续适宜性进行了评审继续保持，有评审记录。</w:t>
            </w:r>
          </w:p>
        </w:tc>
        <w:tc>
          <w:tcPr>
            <w:tcW w:w="7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组织的岗位、职责和权限</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Cs w:val="21"/>
              </w:rPr>
            </w:pPr>
            <w:r>
              <w:rPr>
                <w:rFonts w:cs="宋体" w:asciiTheme="minorEastAsia" w:hAnsiTheme="minorEastAsia" w:eastAsiaTheme="minorEastAsia"/>
                <w:szCs w:val="21"/>
              </w:rPr>
              <w:t>QE</w:t>
            </w:r>
            <w:r>
              <w:rPr>
                <w:rFonts w:hint="eastAsia" w:cs="宋体" w:asciiTheme="minorEastAsia" w:hAnsiTheme="minorEastAsia" w:eastAsiaTheme="minorEastAsia"/>
                <w:szCs w:val="21"/>
              </w:rPr>
              <w:t>O</w:t>
            </w:r>
            <w:r>
              <w:rPr>
                <w:rFonts w:cs="宋体" w:asciiTheme="minorEastAsia" w:hAnsiTheme="minorEastAsia" w:eastAsiaTheme="minorEastAsia"/>
                <w:szCs w:val="21"/>
              </w:rPr>
              <w:t xml:space="preserve"> 5.3</w:t>
            </w:r>
          </w:p>
          <w:p>
            <w:pPr>
              <w:spacing w:line="280" w:lineRule="exact"/>
              <w:rPr>
                <w:rFonts w:cs="宋体" w:asciiTheme="minorEastAsia" w:hAnsiTheme="minorEastAsia" w:eastAsiaTheme="minorEastAsia"/>
                <w:sz w:val="24"/>
                <w:szCs w:val="24"/>
              </w:rPr>
            </w:pPr>
          </w:p>
        </w:tc>
        <w:tc>
          <w:tcPr>
            <w:tcW w:w="11223" w:type="dxa"/>
            <w:vAlign w:val="center"/>
          </w:tcPr>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公司设置组织结构，各部门职责、权限和相互关系文件化，通过会议、培训、文件确保各相关部门及人员明确。</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公司建立、实施和保持管理体系所需过程，公司任命</w:t>
            </w:r>
            <w:r>
              <w:rPr>
                <w:rFonts w:hint="eastAsia" w:cs="宋体" w:asciiTheme="minorEastAsia" w:hAnsiTheme="minorEastAsia" w:eastAsiaTheme="minorEastAsia"/>
                <w:szCs w:val="21"/>
                <w:lang w:eastAsia="zh-CN"/>
              </w:rPr>
              <w:t>陈春华</w:t>
            </w:r>
            <w:r>
              <w:rPr>
                <w:rFonts w:hint="eastAsia" w:cs="宋体" w:asciiTheme="minorEastAsia" w:hAnsiTheme="minorEastAsia" w:eastAsiaTheme="minorEastAsia"/>
                <w:szCs w:val="21"/>
              </w:rPr>
              <w:t>为管理体系管理者代表，与其交谈明确职责和权限：</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1. 按 GB/T19001-2016/GB/T24001-2016/ GB/T 45001-2020标准要求建立质量/环境/职业健康安全管理体系，并组织实施、保持和改善质量/环境/职业健康安全管理体系；</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2. 负责向全体员工倡导以顾客为中心的质量理念、环境、职业健康安全风险的理念；</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3. 负责对本公司质量/环境/职业健康安全管理体系运行过程进行监控；</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4. 负责质量/环境/职业健康安全管理体系内部审核的组织和展开；</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5. 负责向最高管理层报告质量/环境/职业健康安全管理体系的绩效和改进需求；</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6. 负责就质量/环境/职业健康安全管理体系有关的外部事项联络及组织；</w:t>
            </w:r>
          </w:p>
          <w:p>
            <w:pPr>
              <w:spacing w:line="280" w:lineRule="exact"/>
              <w:ind w:firstLine="420" w:firstLineChars="200"/>
              <w:rPr>
                <w:rFonts w:cs="宋体" w:asciiTheme="minorEastAsia" w:hAnsiTheme="minorEastAsia" w:eastAsiaTheme="minorEastAsia"/>
                <w:sz w:val="24"/>
                <w:szCs w:val="24"/>
              </w:rPr>
            </w:pPr>
            <w:r>
              <w:rPr>
                <w:rFonts w:hint="eastAsia" w:cs="宋体" w:asciiTheme="minorEastAsia" w:hAnsiTheme="minorEastAsia" w:eastAsiaTheme="minorEastAsia"/>
                <w:szCs w:val="21"/>
              </w:rPr>
              <w:t xml:space="preserve">7. 其它由最高管理者授权的质量/环境/职业健康安全体系的管理事宜。 </w:t>
            </w:r>
          </w:p>
        </w:tc>
        <w:tc>
          <w:tcPr>
            <w:tcW w:w="7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协商与参与</w:t>
            </w:r>
          </w:p>
        </w:tc>
        <w:tc>
          <w:tcPr>
            <w:tcW w:w="1019"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 xml:space="preserve"> </w:t>
            </w:r>
            <w:r>
              <w:rPr>
                <w:rFonts w:cs="宋体" w:asciiTheme="minorEastAsia" w:hAnsiTheme="minorEastAsia" w:eastAsiaTheme="minorEastAsia"/>
                <w:szCs w:val="21"/>
              </w:rPr>
              <w:t>5.4</w:t>
            </w:r>
          </w:p>
        </w:tc>
        <w:tc>
          <w:tcPr>
            <w:tcW w:w="11223"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本公司</w:t>
            </w:r>
            <w:r>
              <w:rPr>
                <w:rFonts w:cs="宋体" w:asciiTheme="minorEastAsia" w:hAnsiTheme="minorEastAsia" w:eastAsiaTheme="minorEastAsia"/>
                <w:szCs w:val="21"/>
              </w:rPr>
              <w:t>建立、实施并保持过程， 用于在职业健康安全管理体系的开发、策划、实施、绩效评价和改进措施中， 与所有适用的层次和职能中的员工及员工代表的参与和协商，</w:t>
            </w:r>
            <w:r>
              <w:rPr>
                <w:rFonts w:hint="eastAsia" w:cs="宋体" w:asciiTheme="minorEastAsia" w:hAnsiTheme="minorEastAsia" w:eastAsiaTheme="minorEastAsia"/>
                <w:szCs w:val="21"/>
              </w:rPr>
              <w:t>并规定参与协调内容和要求。</w:t>
            </w:r>
          </w:p>
        </w:tc>
        <w:tc>
          <w:tcPr>
            <w:tcW w:w="7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应对风险和机遇的措施</w:t>
            </w:r>
          </w:p>
          <w:p>
            <w:pPr>
              <w:spacing w:line="280" w:lineRule="exact"/>
              <w:rPr>
                <w:rFonts w:cs="宋体" w:asciiTheme="minorEastAsia" w:hAnsiTheme="minorEastAsia" w:eastAsiaTheme="minorEastAsia"/>
                <w:sz w:val="24"/>
                <w:szCs w:val="24"/>
              </w:rPr>
            </w:pPr>
          </w:p>
        </w:tc>
        <w:tc>
          <w:tcPr>
            <w:tcW w:w="1019"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6.1</w:t>
            </w: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szCs w:val="21"/>
              </w:rPr>
            </w:pPr>
          </w:p>
        </w:tc>
        <w:tc>
          <w:tcPr>
            <w:tcW w:w="11223"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指定</w:t>
            </w:r>
            <w:r>
              <w:rPr>
                <w:rFonts w:hint="eastAsia" w:cs="宋体" w:asciiTheme="minorEastAsia" w:hAnsiTheme="minorEastAsia" w:eastAsiaTheme="minorEastAsia"/>
                <w:szCs w:val="21"/>
                <w:lang w:eastAsia="zh-CN"/>
              </w:rPr>
              <w:t>行政部</w:t>
            </w:r>
            <w:r>
              <w:rPr>
                <w:rFonts w:hint="eastAsia" w:cs="宋体" w:asciiTheme="minorEastAsia" w:hAnsiTheme="minorEastAsia" w:eastAsiaTheme="minorEastAsia"/>
                <w:szCs w:val="21"/>
              </w:rPr>
              <w:t>负责组织公司风险和机遇识别和控制措施制定，建立并执行《风险</w:t>
            </w:r>
            <w:r>
              <w:rPr>
                <w:rFonts w:hint="eastAsia" w:cs="宋体" w:asciiTheme="minorEastAsia" w:hAnsiTheme="minorEastAsia" w:eastAsiaTheme="minorEastAsia"/>
                <w:szCs w:val="21"/>
                <w:lang w:val="en-US" w:eastAsia="zh-CN"/>
              </w:rPr>
              <w:t>识别</w:t>
            </w:r>
            <w:r>
              <w:rPr>
                <w:rFonts w:hint="eastAsia" w:cs="宋体" w:asciiTheme="minorEastAsia" w:hAnsiTheme="minorEastAsia" w:eastAsiaTheme="minorEastAsia"/>
                <w:szCs w:val="21"/>
              </w:rPr>
              <w:t>控制程序》。</w:t>
            </w:r>
          </w:p>
          <w:p>
            <w:pPr>
              <w:pStyle w:val="17"/>
              <w:numPr>
                <w:ilvl w:val="0"/>
                <w:numId w:val="1"/>
              </w:numPr>
              <w:spacing w:line="280" w:lineRule="exact"/>
              <w:ind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外部因素主要有：社会、政治、法律、监管、技术、经济、市场竞争环境；影响公司管理目标的主要驱动和趋</w:t>
            </w:r>
          </w:p>
          <w:p>
            <w:pPr>
              <w:pStyle w:val="17"/>
              <w:numPr>
                <w:numId w:val="0"/>
              </w:num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势；与外部利益相关者的价值观的关系。如国家政策、标准、法律法规及其他要求的变动等</w:t>
            </w:r>
          </w:p>
          <w:p>
            <w:pPr>
              <w:pStyle w:val="17"/>
              <w:numPr>
                <w:ilvl w:val="0"/>
                <w:numId w:val="1"/>
              </w:numPr>
              <w:spacing w:line="280" w:lineRule="exact"/>
              <w:ind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内部因素包括：组织机构，角色和责任；目标、实现目标的战略；能力、资源和知识（资本、时间、人、能力、</w:t>
            </w:r>
          </w:p>
          <w:p>
            <w:pPr>
              <w:pStyle w:val="17"/>
              <w:numPr>
                <w:numId w:val="0"/>
              </w:num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流程、系统和技术等）；内部利益相关者的价值观与组织文化之间的关系；信息流和决策流程；控制过程。</w:t>
            </w:r>
          </w:p>
          <w:p>
            <w:pPr>
              <w:pStyle w:val="17"/>
              <w:numPr>
                <w:ilvl w:val="0"/>
                <w:numId w:val="1"/>
              </w:numPr>
              <w:spacing w:line="280" w:lineRule="exact"/>
              <w:ind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在策划管理体系时考虑了风险和机遇以及相应的应对措施，制定了《风险</w:t>
            </w:r>
            <w:r>
              <w:rPr>
                <w:rFonts w:hint="eastAsia" w:cs="宋体" w:asciiTheme="minorEastAsia" w:hAnsiTheme="minorEastAsia" w:eastAsiaTheme="minorEastAsia"/>
                <w:szCs w:val="21"/>
                <w:lang w:val="en-US" w:eastAsia="zh-CN"/>
              </w:rPr>
              <w:t>识别</w:t>
            </w:r>
            <w:r>
              <w:rPr>
                <w:rFonts w:hint="eastAsia" w:cs="宋体" w:asciiTheme="minorEastAsia" w:hAnsiTheme="minorEastAsia" w:eastAsiaTheme="minorEastAsia"/>
                <w:szCs w:val="21"/>
              </w:rPr>
              <w:t>控制程序》，明确风险和机遇事</w:t>
            </w:r>
          </w:p>
          <w:p>
            <w:pPr>
              <w:pStyle w:val="17"/>
              <w:numPr>
                <w:numId w:val="0"/>
              </w:num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件的识别方法/途径、风险和机遇事件的评估方式、制定主要风险和机遇事件的应对措施的要求、评价这些措施有效性的方法。</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提供了内外因素识别清单、风险及机遇识别评价表，将需要应对的风险和机遇进行风险分析确定风险级别（采用打分法），在管理体系所确定的过程中，整合制定针对性管理措施。</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建立风险对策及跟进表，明确责任部门负责跟踪风险对策实施和完成时间。</w:t>
            </w:r>
          </w:p>
        </w:tc>
        <w:tc>
          <w:tcPr>
            <w:tcW w:w="760" w:type="dxa"/>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目标及其实现的策划</w:t>
            </w:r>
          </w:p>
          <w:p>
            <w:pPr>
              <w:spacing w:line="280" w:lineRule="exact"/>
              <w:rPr>
                <w:rFonts w:asciiTheme="minorEastAsia" w:hAnsiTheme="minorEastAsia" w:eastAsiaTheme="minorEastAsia"/>
              </w:rPr>
            </w:pPr>
          </w:p>
        </w:tc>
        <w:tc>
          <w:tcPr>
            <w:tcW w:w="1019"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QEO</w:t>
            </w:r>
            <w:r>
              <w:rPr>
                <w:rFonts w:asciiTheme="minorEastAsia" w:hAnsiTheme="minorEastAsia" w:eastAsiaTheme="minorEastAsia"/>
                <w:szCs w:val="21"/>
              </w:rPr>
              <w:t xml:space="preserve"> </w:t>
            </w:r>
            <w:r>
              <w:rPr>
                <w:rFonts w:hint="eastAsia" w:asciiTheme="minorEastAsia" w:hAnsiTheme="minorEastAsia" w:eastAsiaTheme="minorEastAsia"/>
                <w:szCs w:val="21"/>
              </w:rPr>
              <w:t>6.2</w:t>
            </w: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rPr>
            </w:pPr>
          </w:p>
        </w:tc>
        <w:tc>
          <w:tcPr>
            <w:tcW w:w="11223" w:type="dxa"/>
            <w:vAlign w:val="center"/>
          </w:tcPr>
          <w:p>
            <w:pPr>
              <w:spacing w:line="280" w:lineRule="exact"/>
              <w:ind w:firstLine="420" w:firstLineChars="200"/>
              <w:jc w:val="left"/>
              <w:rPr>
                <w:rFonts w:cs="宋体" w:asciiTheme="minorEastAsia" w:hAnsiTheme="minorEastAsia" w:eastAsiaTheme="minorEastAsia"/>
                <w:szCs w:val="21"/>
              </w:rPr>
            </w:pPr>
            <w:bookmarkStart w:id="3" w:name="_GoBack"/>
            <w:bookmarkEnd w:id="3"/>
            <w:r>
              <w:rPr>
                <w:rFonts w:hint="eastAsia" w:cs="宋体" w:asciiTheme="minorEastAsia" w:hAnsiTheme="minorEastAsia" w:eastAsiaTheme="minorEastAsia"/>
                <w:szCs w:val="21"/>
              </w:rPr>
              <w:t>提供公司管理目标：</w:t>
            </w:r>
          </w:p>
          <w:p>
            <w:pPr>
              <w:spacing w:line="280" w:lineRule="exact"/>
              <w:ind w:leftChars="200"/>
              <w:jc w:val="left"/>
              <w:rPr>
                <w:rFonts w:hint="eastAsia" w:cs="宋体" w:asciiTheme="minorEastAsia" w:hAnsiTheme="minorEastAsia" w:eastAsiaTheme="minorEastAsia"/>
                <w:szCs w:val="21"/>
              </w:rPr>
            </w:pPr>
            <w:r>
              <w:rPr>
                <w:rFonts w:cs="宋体" w:asciiTheme="minorEastAsia" w:hAnsiTheme="minorEastAsia" w:eastAsiaTheme="minorEastAsia"/>
                <w:szCs w:val="21"/>
              </w:rPr>
              <w:t>质量目标：</w:t>
            </w:r>
          </w:p>
          <w:p>
            <w:pPr>
              <w:spacing w:line="280" w:lineRule="exact"/>
              <w:ind w:left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1、顾客满意度≥ 93分； 2、商品符合合同要求 合格率≥98%。</w:t>
            </w:r>
          </w:p>
          <w:p>
            <w:pPr>
              <w:spacing w:line="280" w:lineRule="exact"/>
              <w:ind w:leftChars="200"/>
              <w:jc w:val="left"/>
              <w:rPr>
                <w:rFonts w:hint="eastAsia" w:cs="宋体" w:asciiTheme="minorEastAsia" w:hAnsiTheme="minorEastAsia" w:eastAsiaTheme="minorEastAsia"/>
                <w:szCs w:val="21"/>
              </w:rPr>
            </w:pPr>
            <w:bookmarkStart w:id="1" w:name="OLE_LINK2"/>
            <w:bookmarkStart w:id="2" w:name="OLE_LINK3"/>
            <w:r>
              <w:rPr>
                <w:rFonts w:hint="eastAsia" w:cs="宋体" w:asciiTheme="minorEastAsia" w:hAnsiTheme="minorEastAsia" w:eastAsiaTheme="minorEastAsia"/>
                <w:szCs w:val="21"/>
              </w:rPr>
              <w:t>环境目标：</w:t>
            </w:r>
          </w:p>
          <w:p>
            <w:pPr>
              <w:spacing w:line="280" w:lineRule="exact"/>
              <w:ind w:left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1、固体弃物有效处置率100％；2、杜绝火灾事故；3、重大环境污染事故为零。</w:t>
            </w:r>
          </w:p>
          <w:p>
            <w:pPr>
              <w:spacing w:line="280" w:lineRule="exact"/>
              <w:ind w:leftChars="200"/>
              <w:jc w:val="left"/>
              <w:rPr>
                <w:rFonts w:cs="宋体" w:asciiTheme="minorEastAsia" w:hAnsiTheme="minorEastAsia" w:eastAsiaTheme="minorEastAsia"/>
                <w:szCs w:val="21"/>
              </w:rPr>
            </w:pPr>
            <w:r>
              <w:rPr>
                <w:rFonts w:cs="宋体" w:asciiTheme="minorEastAsia" w:hAnsiTheme="minorEastAsia" w:eastAsiaTheme="minorEastAsia"/>
                <w:szCs w:val="21"/>
              </w:rPr>
              <w:t>职业健康安全目标：</w:t>
            </w:r>
          </w:p>
          <w:p>
            <w:pPr>
              <w:spacing w:line="280" w:lineRule="exact"/>
              <w:ind w:leftChars="200"/>
              <w:jc w:val="left"/>
              <w:rPr>
                <w:rFonts w:hint="eastAsia" w:cs="宋体" w:asciiTheme="minorEastAsia" w:hAnsiTheme="minorEastAsia" w:eastAsiaTheme="minorEastAsia"/>
                <w:szCs w:val="21"/>
              </w:rPr>
            </w:pPr>
            <w:r>
              <w:rPr>
                <w:rFonts w:cs="宋体" w:asciiTheme="minorEastAsia" w:hAnsiTheme="minorEastAsia" w:eastAsiaTheme="minorEastAsia"/>
                <w:szCs w:val="21"/>
              </w:rPr>
              <w:t>1、火灾发生次数为0次/每年</w:t>
            </w:r>
            <w:r>
              <w:rPr>
                <w:rFonts w:hint="eastAsia" w:cs="宋体" w:asciiTheme="minorEastAsia" w:hAnsiTheme="minorEastAsia" w:eastAsiaTheme="minorEastAsia"/>
                <w:szCs w:val="21"/>
                <w:lang w:eastAsia="zh-CN"/>
              </w:rPr>
              <w:t>；</w:t>
            </w:r>
            <w:r>
              <w:rPr>
                <w:rFonts w:cs="宋体" w:asciiTheme="minorEastAsia" w:hAnsiTheme="minorEastAsia" w:eastAsiaTheme="minorEastAsia"/>
                <w:szCs w:val="21"/>
              </w:rPr>
              <w:t>2、</w:t>
            </w:r>
            <w:bookmarkEnd w:id="1"/>
            <w:bookmarkEnd w:id="2"/>
            <w:r>
              <w:rPr>
                <w:rFonts w:hint="eastAsia" w:cs="宋体" w:asciiTheme="minorEastAsia" w:hAnsiTheme="minorEastAsia" w:eastAsiaTheme="minorEastAsia"/>
                <w:szCs w:val="21"/>
              </w:rPr>
              <w:t>员工意外伤害为0</w:t>
            </w:r>
          </w:p>
          <w:p>
            <w:pPr>
              <w:spacing w:line="28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与公司管理方针一致；可测量。并对管理体系所需的相关职能、层次和过程设定管理目标。</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考虑适用的要求；与提供合格产品和服务以及增强顾客满意相关；予以监视；予以沟通；适时更新。</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提供各部门质量目标分解文件，明确考核方法、周期和考核人；</w:t>
            </w:r>
          </w:p>
          <w:p>
            <w:pPr>
              <w:spacing w:line="280" w:lineRule="exact"/>
              <w:ind w:firstLine="420" w:firstLineChars="200"/>
              <w:rPr>
                <w:rFonts w:hint="eastAsia" w:cs="宋体" w:asciiTheme="minorEastAsia" w:hAnsiTheme="minorEastAsia" w:eastAsiaTheme="minorEastAsia"/>
                <w:szCs w:val="21"/>
                <w:highlight w:val="none"/>
                <w:lang w:eastAsia="zh-CN"/>
              </w:rPr>
            </w:pPr>
            <w:r>
              <w:rPr>
                <w:rFonts w:hint="eastAsia" w:cs="宋体" w:asciiTheme="minorEastAsia" w:hAnsiTheme="minorEastAsia" w:eastAsiaTheme="minorEastAsia"/>
                <w:szCs w:val="21"/>
                <w:highlight w:val="none"/>
              </w:rPr>
              <w:t>有2021.02-2021.07月份</w:t>
            </w:r>
            <w:r>
              <w:rPr>
                <w:rFonts w:hint="eastAsia" w:cs="宋体" w:asciiTheme="minorEastAsia" w:hAnsiTheme="minorEastAsia" w:eastAsiaTheme="minorEastAsia"/>
                <w:szCs w:val="21"/>
                <w:highlight w:val="none"/>
                <w:lang w:val="en-US" w:eastAsia="zh-CN"/>
              </w:rPr>
              <w:t>公司</w:t>
            </w:r>
            <w:r>
              <w:rPr>
                <w:rFonts w:hint="eastAsia" w:cs="宋体" w:asciiTheme="minorEastAsia" w:hAnsiTheme="minorEastAsia" w:eastAsiaTheme="minorEastAsia"/>
                <w:szCs w:val="21"/>
                <w:highlight w:val="none"/>
              </w:rPr>
              <w:t>管理目标完成统计表，目标、指示达成</w:t>
            </w:r>
            <w:r>
              <w:rPr>
                <w:rFonts w:hint="eastAsia" w:cs="宋体" w:asciiTheme="minorEastAsia" w:hAnsiTheme="minorEastAsia" w:eastAsiaTheme="minorEastAsia"/>
                <w:szCs w:val="21"/>
                <w:highlight w:val="none"/>
                <w:lang w:eastAsia="zh-CN"/>
              </w:rPr>
              <w:t>：</w:t>
            </w:r>
          </w:p>
          <w:p>
            <w:pPr>
              <w:spacing w:line="280" w:lineRule="exact"/>
              <w:ind w:firstLine="420" w:firstLineChars="200"/>
              <w:rPr>
                <w:rFonts w:hint="eastAsia" w:cs="宋体" w:asciiTheme="minorEastAsia" w:hAnsiTheme="minorEastAsia" w:eastAsiaTheme="minorEastAsia"/>
                <w:szCs w:val="21"/>
                <w:highlight w:val="yellow"/>
              </w:rPr>
            </w:pPr>
            <w:r>
              <w:drawing>
                <wp:anchor distT="0" distB="0" distL="114300" distR="114300" simplePos="0" relativeHeight="251659264" behindDoc="0" locked="0" layoutInCell="1" allowOverlap="1">
                  <wp:simplePos x="0" y="0"/>
                  <wp:positionH relativeFrom="column">
                    <wp:posOffset>336550</wp:posOffset>
                  </wp:positionH>
                  <wp:positionV relativeFrom="paragraph">
                    <wp:posOffset>110490</wp:posOffset>
                  </wp:positionV>
                  <wp:extent cx="5894705" cy="1629410"/>
                  <wp:effectExtent l="0" t="0" r="10795" b="889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894705" cy="1629410"/>
                          </a:xfrm>
                          <a:prstGeom prst="rect">
                            <a:avLst/>
                          </a:prstGeom>
                          <a:noFill/>
                          <a:ln>
                            <a:noFill/>
                          </a:ln>
                        </pic:spPr>
                      </pic:pic>
                    </a:graphicData>
                  </a:graphic>
                </wp:anchor>
              </w:drawing>
            </w:r>
          </w:p>
          <w:p>
            <w:pPr>
              <w:spacing w:line="280" w:lineRule="exact"/>
              <w:ind w:firstLine="420" w:firstLineChars="200"/>
              <w:rPr>
                <w:rFonts w:hint="eastAsia" w:cs="宋体" w:asciiTheme="minorEastAsia" w:hAnsiTheme="minorEastAsia" w:eastAsiaTheme="minorEastAsia"/>
                <w:szCs w:val="21"/>
                <w:highlight w:val="yellow"/>
              </w:rPr>
            </w:pPr>
          </w:p>
          <w:p>
            <w:pPr>
              <w:spacing w:line="280" w:lineRule="exact"/>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 </w:t>
            </w:r>
          </w:p>
          <w:p>
            <w:pPr>
              <w:spacing w:line="280" w:lineRule="exact"/>
              <w:ind w:firstLine="420" w:firstLineChars="200"/>
              <w:rPr>
                <w:rFonts w:hint="eastAsia" w:cs="宋体" w:asciiTheme="minorEastAsia" w:hAnsiTheme="minorEastAsia" w:eastAsiaTheme="minorEastAsia"/>
                <w:szCs w:val="21"/>
                <w:highlight w:val="yellow"/>
              </w:rPr>
            </w:pPr>
          </w:p>
          <w:p>
            <w:pPr>
              <w:spacing w:line="280" w:lineRule="exact"/>
              <w:ind w:firstLine="420" w:firstLineChars="200"/>
              <w:rPr>
                <w:rFonts w:hint="eastAsia" w:cs="宋体" w:asciiTheme="minorEastAsia" w:hAnsiTheme="minorEastAsia" w:eastAsiaTheme="minorEastAsia"/>
                <w:szCs w:val="21"/>
                <w:highlight w:val="yellow"/>
              </w:rPr>
            </w:pPr>
          </w:p>
          <w:p>
            <w:pPr>
              <w:spacing w:line="280" w:lineRule="exact"/>
              <w:ind w:firstLine="420" w:firstLineChars="200"/>
              <w:rPr>
                <w:rFonts w:hint="eastAsia" w:cs="宋体" w:asciiTheme="minorEastAsia" w:hAnsiTheme="minorEastAsia" w:eastAsiaTheme="minorEastAsia"/>
                <w:szCs w:val="21"/>
                <w:highlight w:val="yellow"/>
              </w:rPr>
            </w:pPr>
          </w:p>
          <w:p>
            <w:pPr>
              <w:spacing w:line="280" w:lineRule="exact"/>
              <w:ind w:firstLine="420" w:firstLineChars="200"/>
              <w:rPr>
                <w:rFonts w:hint="eastAsia" w:cs="宋体" w:asciiTheme="minorEastAsia" w:hAnsiTheme="minorEastAsia" w:eastAsiaTheme="minorEastAsia"/>
                <w:szCs w:val="21"/>
                <w:highlight w:val="yellow"/>
              </w:rPr>
            </w:pPr>
          </w:p>
          <w:p>
            <w:pPr>
              <w:spacing w:line="280" w:lineRule="exact"/>
              <w:ind w:firstLine="420" w:firstLineChars="200"/>
              <w:rPr>
                <w:rFonts w:hint="eastAsia" w:cs="宋体" w:asciiTheme="minorEastAsia" w:hAnsiTheme="minorEastAsia" w:eastAsiaTheme="minorEastAsia"/>
                <w:szCs w:val="21"/>
                <w:highlight w:val="yellow"/>
              </w:rPr>
            </w:pPr>
          </w:p>
          <w:p>
            <w:pPr>
              <w:spacing w:line="280" w:lineRule="exact"/>
              <w:ind w:firstLine="420" w:firstLineChars="200"/>
              <w:rPr>
                <w:rFonts w:hint="eastAsia" w:cs="宋体" w:asciiTheme="minorEastAsia" w:hAnsiTheme="minorEastAsia" w:eastAsiaTheme="minorEastAsia"/>
                <w:szCs w:val="21"/>
                <w:highlight w:val="yellow"/>
              </w:rPr>
            </w:pPr>
          </w:p>
          <w:p>
            <w:pPr>
              <w:spacing w:line="280" w:lineRule="exact"/>
              <w:ind w:firstLine="420" w:firstLineChars="200"/>
              <w:rPr>
                <w:rFonts w:hint="eastAsia" w:cs="宋体" w:asciiTheme="minorEastAsia" w:hAnsiTheme="minorEastAsia" w:eastAsiaTheme="minorEastAsia"/>
                <w:szCs w:val="21"/>
                <w:highlight w:val="yellow"/>
              </w:rPr>
            </w:pPr>
          </w:p>
          <w:p>
            <w:pPr>
              <w:spacing w:line="280" w:lineRule="exact"/>
              <w:ind w:firstLine="420" w:firstLine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提供目标、指标及管理方案一览表</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审核：</w:t>
            </w:r>
            <w:r>
              <w:rPr>
                <w:rFonts w:hint="eastAsia" w:cs="宋体" w:asciiTheme="minorEastAsia" w:hAnsiTheme="minorEastAsia" w:eastAsiaTheme="minorEastAsia"/>
                <w:szCs w:val="21"/>
              </w:rPr>
              <w:t>黄新元  2021.02.01</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方案明确目标、指标、方案及检查方法、责任部门、资金预算 周期及完成日期</w:t>
            </w:r>
          </w:p>
          <w:p>
            <w:pPr>
              <w:ind w:firstLine="420" w:firstLineChars="200"/>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环境方案：2项   火灾和</w:t>
            </w:r>
            <w:r>
              <w:rPr>
                <w:rFonts w:hint="eastAsia" w:ascii="宋体" w:hAnsi="宋体"/>
              </w:rPr>
              <w:t>节能降</w:t>
            </w:r>
            <w:r>
              <w:rPr>
                <w:rFonts w:hint="eastAsia" w:ascii="宋体" w:hAnsi="宋体"/>
                <w:lang w:val="en-US" w:eastAsia="zh-CN"/>
              </w:rPr>
              <w:t>耗</w:t>
            </w:r>
            <w:r>
              <w:rPr>
                <w:rFonts w:hint="eastAsia" w:ascii="宋体" w:hAnsi="宋体"/>
              </w:rPr>
              <w:t>固废排放</w:t>
            </w:r>
            <w:r>
              <w:rPr>
                <w:rFonts w:hint="eastAsia" w:cs="宋体" w:asciiTheme="minorEastAsia" w:hAnsiTheme="minorEastAsia" w:eastAsiaTheme="minorEastAsia"/>
                <w:szCs w:val="21"/>
                <w:lang w:val="en-US" w:eastAsia="zh-CN"/>
              </w:rPr>
              <w:t>；</w:t>
            </w:r>
          </w:p>
          <w:p>
            <w:pPr>
              <w:ind w:firstLine="420" w:firstLineChars="200"/>
              <w:jc w:val="lef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职业健康安全：2项  火灾和意外伤害</w:t>
            </w:r>
          </w:p>
          <w:p>
            <w:pPr>
              <w:spacing w:line="280" w:lineRule="exact"/>
              <w:ind w:firstLine="420" w:firstLineChars="200"/>
              <w:rPr>
                <w:rFonts w:hint="eastAsia" w:cs="宋体" w:asciiTheme="minorEastAsia" w:hAnsiTheme="minorEastAsia" w:eastAsiaTheme="minorEastAsia"/>
                <w:szCs w:val="21"/>
                <w:highlight w:val="yellow"/>
              </w:rPr>
            </w:pPr>
            <w:r>
              <w:rPr>
                <w:rFonts w:hint="eastAsia" w:cs="宋体" w:asciiTheme="minorEastAsia" w:hAnsiTheme="minorEastAsia" w:eastAsiaTheme="minorEastAsia"/>
                <w:szCs w:val="21"/>
                <w:highlight w:val="none"/>
                <w:lang w:val="en-US" w:eastAsia="zh-CN"/>
              </w:rPr>
              <w:t>明确负责各相关部门负责进行方案执行跟进，按方案执行。</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变更的策划</w:t>
            </w:r>
          </w:p>
          <w:p>
            <w:pPr>
              <w:spacing w:line="280" w:lineRule="exact"/>
              <w:rPr>
                <w:rFonts w:asciiTheme="minorEastAsia" w:hAnsiTheme="minorEastAsia" w:eastAsiaTheme="minorEastAsia"/>
              </w:rPr>
            </w:pPr>
          </w:p>
        </w:tc>
        <w:tc>
          <w:tcPr>
            <w:tcW w:w="1019"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Q</w:t>
            </w:r>
            <w:r>
              <w:rPr>
                <w:rFonts w:asciiTheme="minorEastAsia" w:hAnsiTheme="minorEastAsia" w:eastAsiaTheme="minorEastAsia"/>
                <w:szCs w:val="21"/>
              </w:rPr>
              <w:t xml:space="preserve"> </w:t>
            </w:r>
            <w:r>
              <w:rPr>
                <w:rFonts w:hint="eastAsia" w:asciiTheme="minorEastAsia" w:hAnsiTheme="minorEastAsia" w:eastAsiaTheme="minorEastAsia"/>
                <w:szCs w:val="21"/>
              </w:rPr>
              <w:t>6.3</w:t>
            </w:r>
          </w:p>
          <w:p>
            <w:pPr>
              <w:spacing w:line="280" w:lineRule="exact"/>
              <w:rPr>
                <w:rFonts w:asciiTheme="minorEastAsia" w:hAnsiTheme="minorEastAsia" w:eastAsiaTheme="minorEastAsia"/>
              </w:rPr>
            </w:pPr>
          </w:p>
        </w:tc>
        <w:tc>
          <w:tcPr>
            <w:tcW w:w="11223" w:type="dxa"/>
            <w:vAlign w:val="center"/>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  公司新建立三体系管理体系，暂无重大变更。</w:t>
            </w:r>
          </w:p>
          <w:p>
            <w:pPr>
              <w:spacing w:line="280" w:lineRule="exact"/>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负责人明确公司确定需要对管理体系进行变更时，应经策划并系统的实施，考虑变更目的及其潜在后果；管理体系的完整性；资源的可获得性；责任和权限的分配与再分配。</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tcPr>
          <w:p>
            <w:pPr>
              <w:spacing w:line="280" w:lineRule="exact"/>
              <w:rPr>
                <w:rFonts w:cs="Arial" w:asciiTheme="minorEastAsia" w:hAnsiTheme="minorEastAsia" w:eastAsiaTheme="minorEastAsia"/>
                <w:spacing w:val="-6"/>
                <w:szCs w:val="24"/>
              </w:rPr>
            </w:pPr>
            <w:r>
              <w:rPr>
                <w:rFonts w:hint="eastAsia" w:ascii="宋体" w:hAnsi="宋体" w:cs="Arial"/>
                <w:spacing w:val="-6"/>
                <w:szCs w:val="21"/>
              </w:rPr>
              <w:t>资源总则</w:t>
            </w:r>
          </w:p>
        </w:tc>
        <w:tc>
          <w:tcPr>
            <w:tcW w:w="1019"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QEO</w:t>
            </w:r>
          </w:p>
          <w:p>
            <w:pPr>
              <w:spacing w:line="280" w:lineRule="exact"/>
              <w:rPr>
                <w:rFonts w:cs="Arial" w:asciiTheme="minorEastAsia" w:hAnsiTheme="minorEastAsia" w:eastAsiaTheme="minorEastAsia"/>
                <w:spacing w:val="-6"/>
                <w:szCs w:val="24"/>
              </w:rPr>
            </w:pPr>
            <w:r>
              <w:rPr>
                <w:rFonts w:hint="eastAsia" w:asciiTheme="minorEastAsia" w:hAnsiTheme="minorEastAsia" w:eastAsiaTheme="minorEastAsia"/>
                <w:szCs w:val="21"/>
              </w:rPr>
              <w:t>7.1.1（EO7.1）</w:t>
            </w:r>
          </w:p>
        </w:tc>
        <w:tc>
          <w:tcPr>
            <w:tcW w:w="11223" w:type="dxa"/>
            <w:vAlign w:val="center"/>
          </w:tcPr>
          <w:p>
            <w:pPr>
              <w:spacing w:line="28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本公司确定并提供为建立、实施、保持和持续改进质量、环境、职业健康安全管理体系所需的资源，考虑本公司现有内部资源的能力和约束；需要从外部供方获得的资源。</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707" w:type="dxa"/>
          </w:tcPr>
          <w:p>
            <w:pPr>
              <w:spacing w:line="280" w:lineRule="exact"/>
              <w:rPr>
                <w:rFonts w:asciiTheme="minorEastAsia" w:hAnsiTheme="minorEastAsia" w:eastAsiaTheme="minorEastAsia"/>
              </w:rPr>
            </w:pPr>
            <w:r>
              <w:rPr>
                <w:rFonts w:hint="eastAsia" w:ascii="宋体" w:hAnsi="宋体" w:cs="Arial"/>
                <w:spacing w:val="-6"/>
                <w:szCs w:val="21"/>
              </w:rPr>
              <w:t>沟通/信息交流</w:t>
            </w:r>
          </w:p>
        </w:tc>
        <w:tc>
          <w:tcPr>
            <w:tcW w:w="1019" w:type="dxa"/>
          </w:tcPr>
          <w:p>
            <w:pPr>
              <w:spacing w:line="280" w:lineRule="exact"/>
              <w:rPr>
                <w:rFonts w:asciiTheme="minorEastAsia" w:hAnsiTheme="minorEastAsia" w:eastAsiaTheme="minorEastAsia"/>
              </w:rPr>
            </w:pPr>
            <w:r>
              <w:rPr>
                <w:rFonts w:hint="eastAsia" w:cs="Arial" w:asciiTheme="minorEastAsia" w:hAnsiTheme="minorEastAsia" w:eastAsiaTheme="minorEastAsia"/>
                <w:spacing w:val="-6"/>
                <w:szCs w:val="24"/>
              </w:rPr>
              <w:t>QEO</w:t>
            </w:r>
            <w:r>
              <w:rPr>
                <w:rFonts w:cs="Arial" w:asciiTheme="minorEastAsia" w:hAnsiTheme="minorEastAsia" w:eastAsiaTheme="minorEastAsia"/>
                <w:spacing w:val="-6"/>
                <w:szCs w:val="24"/>
              </w:rPr>
              <w:t xml:space="preserve"> 7.4</w:t>
            </w:r>
          </w:p>
        </w:tc>
        <w:tc>
          <w:tcPr>
            <w:tcW w:w="11223" w:type="dxa"/>
            <w:vAlign w:val="center"/>
          </w:tcPr>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公司建立并实施《</w:t>
            </w:r>
            <w:r>
              <w:rPr>
                <w:rFonts w:hint="eastAsia" w:asciiTheme="minorEastAsia" w:hAnsiTheme="minorEastAsia" w:eastAsiaTheme="minorEastAsia"/>
                <w:szCs w:val="21"/>
                <w:lang w:val="en-US" w:eastAsia="zh-CN"/>
              </w:rPr>
              <w:t>信息交流、沟通参与</w:t>
            </w:r>
            <w:r>
              <w:rPr>
                <w:rFonts w:hint="eastAsia" w:asciiTheme="minorEastAsia" w:hAnsiTheme="minorEastAsia" w:eastAsiaTheme="minorEastAsia"/>
                <w:szCs w:val="21"/>
                <w:highlight w:val="none"/>
                <w:lang w:val="en-US" w:eastAsia="zh-CN"/>
              </w:rPr>
              <w:t>和协商</w:t>
            </w:r>
            <w:r>
              <w:rPr>
                <w:rFonts w:hint="eastAsia" w:asciiTheme="minorEastAsia" w:hAnsiTheme="minorEastAsia" w:eastAsiaTheme="minorEastAsia"/>
                <w:szCs w:val="21"/>
                <w:highlight w:val="none"/>
              </w:rPr>
              <w:t>程序》</w:t>
            </w:r>
            <w:r>
              <w:rPr>
                <w:rFonts w:hint="eastAsia" w:asciiTheme="minorEastAsia" w:hAnsiTheme="minorEastAsia" w:eastAsiaTheme="minorEastAsia"/>
                <w:szCs w:val="21"/>
                <w:highlight w:val="none"/>
                <w:lang w:val="en-US" w:eastAsia="zh-CN"/>
              </w:rPr>
              <w:t>O</w:t>
            </w:r>
            <w:r>
              <w:rPr>
                <w:rFonts w:asciiTheme="minorEastAsia" w:hAnsiTheme="minorEastAsia" w:eastAsiaTheme="minorEastAsia"/>
                <w:szCs w:val="21"/>
                <w:highlight w:val="none"/>
              </w:rPr>
              <w:t>H</w:t>
            </w:r>
            <w:r>
              <w:rPr>
                <w:rFonts w:hint="eastAsia" w:asciiTheme="minorEastAsia" w:hAnsiTheme="minorEastAsia" w:eastAsiaTheme="minorEastAsia"/>
                <w:szCs w:val="21"/>
                <w:highlight w:val="none"/>
                <w:lang w:val="en-US" w:eastAsia="zh-CN"/>
              </w:rPr>
              <w:t>XF</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QES</w:t>
            </w:r>
            <w:r>
              <w:rPr>
                <w:rFonts w:asciiTheme="minorEastAsia" w:hAnsiTheme="minorEastAsia" w:eastAsiaTheme="minorEastAsia"/>
                <w:szCs w:val="21"/>
              </w:rPr>
              <w:t>P-0</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，规定了职责、工作流程，包括内部沟通和外部沟通的方法和要求。</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确定了质量、环境、职业健康安全管理体系相关的内部和外部沟通，包括：沟通什么；何时沟通；与谁沟通；如何沟通；由谁负责，内外部沟通具体体现在公司内部工作会议、质量、环境、职业健康安全会议、员工的培训、公司宣传栏等；</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与外部的沟通具体体现在合同签订、满意度调查。与质检、环保、安监及顾客和供方等进行沟通。</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现场查阅内部交流：方针、目标完成情况、内审和管理评审报告、不符合信息等。</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外部交流：通过发放《告相关方书》与相关方就相关质量、环境、职业健康安全信息进行相互沟通，建立相关方环境管理文件发放清单。</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管理评审</w:t>
            </w:r>
          </w:p>
          <w:p>
            <w:pPr>
              <w:spacing w:line="280" w:lineRule="exact"/>
              <w:rPr>
                <w:rFonts w:asciiTheme="minorEastAsia" w:hAnsiTheme="minorEastAsia" w:eastAsiaTheme="minorEastAsia"/>
              </w:rPr>
            </w:pPr>
          </w:p>
        </w:tc>
        <w:tc>
          <w:tcPr>
            <w:tcW w:w="1019"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QEO</w:t>
            </w:r>
            <w:r>
              <w:rPr>
                <w:rFonts w:asciiTheme="minorEastAsia" w:hAnsiTheme="minorEastAsia" w:eastAsiaTheme="minorEastAsia"/>
                <w:szCs w:val="21"/>
              </w:rPr>
              <w:t xml:space="preserve"> </w:t>
            </w:r>
            <w:r>
              <w:rPr>
                <w:rFonts w:hint="eastAsia" w:asciiTheme="minorEastAsia" w:hAnsiTheme="minorEastAsia" w:eastAsiaTheme="minorEastAsia"/>
                <w:szCs w:val="21"/>
              </w:rPr>
              <w:t>9.3</w:t>
            </w: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rPr>
            </w:pPr>
          </w:p>
        </w:tc>
        <w:tc>
          <w:tcPr>
            <w:tcW w:w="11223" w:type="dxa"/>
            <w:vAlign w:val="center"/>
          </w:tcPr>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公司建立并实施《管</w:t>
            </w:r>
            <w:r>
              <w:rPr>
                <w:rFonts w:hint="eastAsia" w:asciiTheme="minorEastAsia" w:hAnsiTheme="minorEastAsia" w:eastAsiaTheme="minorEastAsia"/>
                <w:szCs w:val="21"/>
                <w:highlight w:val="none"/>
              </w:rPr>
              <w:t>理评审程序》</w:t>
            </w:r>
            <w:r>
              <w:rPr>
                <w:rFonts w:hint="eastAsia" w:asciiTheme="minorEastAsia" w:hAnsiTheme="minorEastAsia" w:eastAsiaTheme="minorEastAsia"/>
                <w:szCs w:val="21"/>
                <w:highlight w:val="none"/>
                <w:lang w:val="en-US" w:eastAsia="zh-CN"/>
              </w:rPr>
              <w:t>O</w:t>
            </w:r>
            <w:r>
              <w:rPr>
                <w:rFonts w:asciiTheme="minorEastAsia" w:hAnsiTheme="minorEastAsia" w:eastAsiaTheme="minorEastAsia"/>
                <w:szCs w:val="21"/>
                <w:highlight w:val="none"/>
              </w:rPr>
              <w:t>H</w:t>
            </w:r>
            <w:r>
              <w:rPr>
                <w:rFonts w:hint="eastAsia" w:asciiTheme="minorEastAsia" w:hAnsiTheme="minorEastAsia" w:eastAsiaTheme="minorEastAsia"/>
                <w:szCs w:val="21"/>
                <w:highlight w:val="none"/>
                <w:lang w:val="en-US" w:eastAsia="zh-CN"/>
              </w:rPr>
              <w:t>XF</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QES</w:t>
            </w:r>
            <w:r>
              <w:rPr>
                <w:rFonts w:asciiTheme="minorEastAsia" w:hAnsiTheme="minorEastAsia" w:eastAsiaTheme="minorEastAsia"/>
                <w:szCs w:val="21"/>
                <w:highlight w:val="none"/>
              </w:rPr>
              <w:t>P-</w:t>
            </w:r>
            <w:r>
              <w:rPr>
                <w:rFonts w:hint="eastAsia" w:asciiTheme="minorEastAsia" w:hAnsiTheme="minorEastAsia" w:eastAsiaTheme="minorEastAsia"/>
                <w:szCs w:val="21"/>
                <w:highlight w:val="none"/>
                <w:lang w:val="en-US" w:eastAsia="zh-CN"/>
              </w:rPr>
              <w:t>25</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rPr>
              <w:t>规定管理评审每年进行一次，由总经理决定是否增加管理评审的频次，间隔不超过12个月。</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查阅公司管理评审资料，提供：</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1.管理评审计划</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评审时间：2021年</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rPr>
              <w:t>日进行， 评审方式：会议评审，编制：</w:t>
            </w:r>
            <w:r>
              <w:rPr>
                <w:rFonts w:hint="eastAsia" w:asciiTheme="minorEastAsia" w:hAnsiTheme="minorEastAsia" w:eastAsiaTheme="minorEastAsia"/>
                <w:szCs w:val="21"/>
                <w:lang w:val="en-US" w:eastAsia="zh-CN"/>
              </w:rPr>
              <w:t>陈春华</w:t>
            </w:r>
            <w:r>
              <w:rPr>
                <w:rFonts w:hint="eastAsia" w:asciiTheme="minorEastAsia" w:hAnsiTheme="minorEastAsia" w:eastAsiaTheme="minorEastAsia"/>
                <w:szCs w:val="21"/>
              </w:rPr>
              <w:t>、批</w:t>
            </w:r>
            <w:r>
              <w:rPr>
                <w:rFonts w:hint="eastAsia" w:asciiTheme="minorEastAsia" w:hAnsiTheme="minorEastAsia" w:eastAsiaTheme="minorEastAsia"/>
                <w:szCs w:val="21"/>
                <w:lang w:val="en-US" w:eastAsia="zh-CN"/>
              </w:rPr>
              <w:t>准：黄新元</w:t>
            </w:r>
            <w:r>
              <w:rPr>
                <w:rFonts w:hint="eastAsia" w:asciiTheme="minorEastAsia" w:hAnsiTheme="minorEastAsia" w:eastAsiaTheme="minorEastAsia"/>
                <w:szCs w:val="21"/>
              </w:rPr>
              <w:t>， 参加人员包括公司总经理、管理者代表、各部门负责人，计划中明确了评审内容和资料准备要求。</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2.管理评审会议实施：有签到、记录、评审资料</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按计划的时间实施了管理评审，管理评审输入管理者代表、各部门报告，包含：管理方针、目标的适宜行和实现情况；管理体系的符合性；内审结果；内外部环境分析及风险应对措施的落实情况；纠正预防措施及持续改进能力；重要环境因素和重大危险源控制及效果；合规性评价；可能影响管理体系的变更；质量环境职业健康安全事故、顾客满意度及改进建议，变更管理要求、以往管理评审情况等；</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3.管理评审报告：评审目的、评审内容、评审时间、参加人员、管理评审综述和结论；</w:t>
            </w:r>
          </w:p>
          <w:p>
            <w:pPr>
              <w:spacing w:line="280" w:lineRule="exact"/>
              <w:ind w:left="420" w:leftChars="200" w:firstLine="0" w:firstLineChars="0"/>
              <w:rPr>
                <w:rFonts w:asciiTheme="minorEastAsia" w:hAnsiTheme="minorEastAsia" w:eastAsiaTheme="minorEastAsia"/>
                <w:szCs w:val="21"/>
              </w:rPr>
            </w:pPr>
            <w:r>
              <w:rPr>
                <w:rFonts w:hint="eastAsia" w:asciiTheme="minorEastAsia" w:hAnsiTheme="minorEastAsia" w:eastAsiaTheme="minorEastAsia"/>
                <w:szCs w:val="21"/>
              </w:rPr>
              <w:t>结论：</w:t>
            </w:r>
            <w:r>
              <w:rPr>
                <w:rFonts w:hint="eastAsia" w:ascii="宋体" w:hAnsi="宋体" w:eastAsia="宋体"/>
                <w:color w:val="auto"/>
              </w:rPr>
              <w:t>公司的质量/环境/职业健康安全方针是适宜的，</w:t>
            </w:r>
            <w:r>
              <w:rPr>
                <w:rFonts w:ascii="宋体" w:hAnsi="宋体" w:eastAsia="宋体"/>
                <w:color w:val="auto"/>
              </w:rPr>
              <w:t>公司制定的</w:t>
            </w:r>
            <w:r>
              <w:rPr>
                <w:rFonts w:hint="eastAsia" w:ascii="宋体" w:hAnsi="宋体" w:eastAsia="宋体"/>
                <w:color w:val="auto"/>
              </w:rPr>
              <w:t>质量/</w:t>
            </w:r>
            <w:r>
              <w:rPr>
                <w:rFonts w:ascii="宋体" w:hAnsi="宋体" w:eastAsia="宋体"/>
                <w:color w:val="auto"/>
              </w:rPr>
              <w:t>环境</w:t>
            </w:r>
            <w:r>
              <w:rPr>
                <w:rFonts w:hint="eastAsia" w:ascii="宋体" w:hAnsi="宋体" w:eastAsia="宋体"/>
                <w:color w:val="auto"/>
              </w:rPr>
              <w:t>/职业健康安全管理体系</w:t>
            </w:r>
            <w:r>
              <w:rPr>
                <w:rFonts w:ascii="宋体" w:hAnsi="宋体" w:eastAsia="宋体"/>
                <w:color w:val="auto"/>
              </w:rPr>
              <w:t>符合</w:t>
            </w:r>
            <w:r>
              <w:rPr>
                <w:rFonts w:hint="eastAsia" w:ascii="Times New Roman" w:hAnsi="Times New Roman" w:eastAsia="宋体"/>
                <w:color w:val="auto"/>
                <w:kern w:val="2"/>
                <w:sz w:val="21"/>
                <w:szCs w:val="21"/>
              </w:rPr>
              <w:t>GB/T19001-2016、GB/T24001-2016、GB/T 45001-2020</w:t>
            </w:r>
            <w:r>
              <w:rPr>
                <w:rFonts w:hint="eastAsia" w:ascii="宋体" w:hAnsi="宋体" w:eastAsia="宋体"/>
                <w:color w:val="auto"/>
              </w:rPr>
              <w:t>标准</w:t>
            </w:r>
            <w:r>
              <w:rPr>
                <w:rFonts w:ascii="宋体" w:hAnsi="宋体" w:eastAsia="宋体"/>
                <w:color w:val="auto"/>
              </w:rPr>
              <w:t>要求，适用于当前公司的状况</w:t>
            </w:r>
            <w:r>
              <w:rPr>
                <w:rFonts w:hint="eastAsia" w:ascii="宋体" w:hAnsi="宋体" w:eastAsia="宋体"/>
                <w:color w:val="auto"/>
              </w:rPr>
              <w:t>，是适宜的、充分的和有效的</w:t>
            </w:r>
            <w:r>
              <w:rPr>
                <w:rFonts w:ascii="宋体" w:hAnsi="宋体" w:eastAsia="宋体"/>
                <w:color w:val="auto"/>
              </w:rPr>
              <w:t>。</w:t>
            </w:r>
            <w:r>
              <w:rPr>
                <w:rFonts w:hint="eastAsia" w:ascii="宋体" w:hAnsi="宋体" w:eastAsia="宋体"/>
                <w:color w:val="auto"/>
              </w:rPr>
              <w:t>现有的</w:t>
            </w:r>
            <w:r>
              <w:rPr>
                <w:rFonts w:ascii="宋体" w:hAnsi="宋体" w:eastAsia="宋体"/>
                <w:color w:val="auto"/>
              </w:rPr>
              <w:t>组织架构</w:t>
            </w:r>
            <w:r>
              <w:rPr>
                <w:rFonts w:hint="eastAsia" w:ascii="宋体" w:hAnsi="宋体" w:eastAsia="宋体"/>
                <w:color w:val="auto"/>
              </w:rPr>
              <w:t>符合公司的运行管理</w:t>
            </w:r>
            <w:r>
              <w:rPr>
                <w:rFonts w:ascii="宋体" w:hAnsi="宋体" w:eastAsia="宋体"/>
                <w:color w:val="auto"/>
              </w:rPr>
              <w:t>。</w:t>
            </w:r>
            <w:r>
              <w:rPr>
                <w:rFonts w:hint="eastAsia" w:ascii="宋体" w:hAnsi="宋体" w:eastAsia="宋体"/>
                <w:color w:val="auto"/>
              </w:rPr>
              <w:t>客户和</w:t>
            </w:r>
            <w:r>
              <w:rPr>
                <w:rFonts w:ascii="宋体" w:hAnsi="宋体" w:eastAsia="宋体"/>
                <w:color w:val="auto"/>
              </w:rPr>
              <w:t>相关方对公司的</w:t>
            </w:r>
            <w:r>
              <w:rPr>
                <w:rFonts w:hint="eastAsia" w:ascii="宋体" w:hAnsi="宋体" w:eastAsia="宋体"/>
                <w:color w:val="auto"/>
              </w:rPr>
              <w:t>质量/</w:t>
            </w:r>
            <w:r>
              <w:rPr>
                <w:rFonts w:ascii="宋体" w:hAnsi="宋体" w:eastAsia="宋体"/>
                <w:color w:val="auto"/>
              </w:rPr>
              <w:t>环境</w:t>
            </w:r>
            <w:r>
              <w:rPr>
                <w:rFonts w:hint="eastAsia" w:ascii="宋体" w:hAnsi="宋体" w:eastAsia="宋体"/>
                <w:color w:val="auto"/>
              </w:rPr>
              <w:t>/职业健康安全管理</w:t>
            </w:r>
            <w:r>
              <w:rPr>
                <w:rFonts w:ascii="宋体" w:hAnsi="宋体" w:eastAsia="宋体"/>
                <w:color w:val="auto"/>
              </w:rPr>
              <w:t>满意，公司将加大管理创新力度，争取超越</w:t>
            </w:r>
            <w:r>
              <w:rPr>
                <w:rFonts w:hint="eastAsia" w:ascii="宋体" w:hAnsi="宋体" w:eastAsia="宋体"/>
                <w:color w:val="auto"/>
              </w:rPr>
              <w:t>顾客和</w:t>
            </w:r>
            <w:r>
              <w:rPr>
                <w:rFonts w:ascii="宋体" w:hAnsi="宋体" w:eastAsia="宋体"/>
                <w:color w:val="auto"/>
              </w:rPr>
              <w:t>相关方的期望。审核思路的变化可以更有效的保证审核的广度和深度，纠正预防措施实施良好。</w:t>
            </w:r>
            <w:r>
              <w:rPr>
                <w:rFonts w:hint="eastAsia" w:ascii="宋体" w:hAnsi="宋体" w:eastAsia="宋体"/>
                <w:color w:val="auto"/>
              </w:rPr>
              <w:t>行政部</w:t>
            </w:r>
            <w:r>
              <w:rPr>
                <w:rFonts w:ascii="宋体" w:hAnsi="宋体" w:eastAsia="宋体"/>
                <w:color w:val="auto"/>
              </w:rPr>
              <w:t>已对公司相关的环境规律重新进行了登录和查核。公司目前的活动、服务符合涉及的相关</w:t>
            </w:r>
            <w:r>
              <w:rPr>
                <w:rFonts w:hint="eastAsia" w:ascii="宋体" w:hAnsi="宋体" w:eastAsia="宋体"/>
                <w:color w:val="auto"/>
              </w:rPr>
              <w:t>质量/</w:t>
            </w:r>
            <w:r>
              <w:rPr>
                <w:rFonts w:ascii="宋体" w:hAnsi="宋体" w:eastAsia="宋体"/>
                <w:color w:val="auto"/>
              </w:rPr>
              <w:t>环境</w:t>
            </w:r>
            <w:r>
              <w:rPr>
                <w:rFonts w:hint="eastAsia" w:ascii="宋体" w:hAnsi="宋体" w:eastAsia="宋体"/>
                <w:color w:val="auto"/>
              </w:rPr>
              <w:t>/职业健康安全管理</w:t>
            </w:r>
            <w:r>
              <w:rPr>
                <w:rFonts w:ascii="宋体" w:hAnsi="宋体" w:eastAsia="宋体"/>
                <w:color w:val="auto"/>
              </w:rPr>
              <w:t>法律法规的条款。在严格的管理下，没有发生重大</w:t>
            </w:r>
            <w:r>
              <w:rPr>
                <w:rFonts w:hint="eastAsia" w:ascii="宋体" w:hAnsi="宋体" w:eastAsia="宋体"/>
                <w:color w:val="auto"/>
              </w:rPr>
              <w:t>质量/</w:t>
            </w:r>
            <w:r>
              <w:rPr>
                <w:rFonts w:ascii="宋体" w:hAnsi="宋体" w:eastAsia="宋体"/>
                <w:color w:val="auto"/>
              </w:rPr>
              <w:t>环境</w:t>
            </w:r>
            <w:r>
              <w:rPr>
                <w:rFonts w:hint="eastAsia" w:ascii="宋体" w:hAnsi="宋体" w:eastAsia="宋体"/>
                <w:color w:val="auto"/>
              </w:rPr>
              <w:t>/职业健康安全</w:t>
            </w:r>
            <w:r>
              <w:rPr>
                <w:rFonts w:ascii="宋体" w:hAnsi="宋体" w:eastAsia="宋体"/>
                <w:color w:val="auto"/>
              </w:rPr>
              <w:t>事故。体系是有效的，</w:t>
            </w:r>
            <w:r>
              <w:rPr>
                <w:rFonts w:hint="eastAsia" w:ascii="宋体" w:hAnsi="宋体" w:eastAsia="宋体"/>
                <w:color w:val="auto"/>
              </w:rPr>
              <w:t>质量/</w:t>
            </w:r>
            <w:r>
              <w:rPr>
                <w:rFonts w:ascii="宋体" w:hAnsi="宋体" w:eastAsia="宋体"/>
                <w:color w:val="auto"/>
              </w:rPr>
              <w:t>环境</w:t>
            </w:r>
            <w:r>
              <w:rPr>
                <w:rFonts w:hint="eastAsia" w:ascii="宋体" w:hAnsi="宋体" w:eastAsia="宋体"/>
                <w:color w:val="auto"/>
              </w:rPr>
              <w:t>/职业健康安全</w:t>
            </w:r>
            <w:r>
              <w:rPr>
                <w:rFonts w:ascii="宋体" w:hAnsi="宋体" w:eastAsia="宋体"/>
                <w:color w:val="auto"/>
              </w:rPr>
              <w:t>绩效良好。</w:t>
            </w:r>
          </w:p>
          <w:p>
            <w:pPr>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提出改进建议落实各部门要求尽快完成。</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改进总则</w:t>
            </w:r>
          </w:p>
          <w:p>
            <w:pPr>
              <w:spacing w:line="280" w:lineRule="exact"/>
              <w:rPr>
                <w:rFonts w:asciiTheme="minorEastAsia" w:hAnsiTheme="minorEastAsia" w:eastAsiaTheme="minorEastAsia"/>
              </w:rPr>
            </w:pPr>
          </w:p>
        </w:tc>
        <w:tc>
          <w:tcPr>
            <w:tcW w:w="1019"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QEO 10.1</w:t>
            </w:r>
          </w:p>
          <w:p>
            <w:pPr>
              <w:spacing w:line="280" w:lineRule="exact"/>
              <w:rPr>
                <w:rFonts w:asciiTheme="minorEastAsia" w:hAnsiTheme="minorEastAsia" w:eastAsiaTheme="minorEastAsia"/>
              </w:rPr>
            </w:pPr>
          </w:p>
        </w:tc>
        <w:tc>
          <w:tcPr>
            <w:tcW w:w="11223"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通过管理体系方针、目标、内部审核、管理评审、不合格和纠正措施各项要求落实，确定和选择改进机会，并采取必要措施确保相关改进活动得到有效开展，以满足顾客要求和增强顾客满意，实现环境管理体系预期结果。</w:t>
            </w:r>
          </w:p>
          <w:p>
            <w:pPr>
              <w:spacing w:line="280" w:lineRule="exact"/>
              <w:ind w:firstLine="420" w:firstLineChars="200"/>
              <w:rPr>
                <w:rFonts w:asciiTheme="minorEastAsia" w:hAnsiTheme="minorEastAsia" w:eastAsiaTheme="minorEastAsia"/>
              </w:rPr>
            </w:pPr>
            <w:r>
              <w:rPr>
                <w:rFonts w:hint="eastAsia" w:cs="宋体" w:asciiTheme="minorEastAsia" w:hAnsiTheme="minorEastAsia" w:eastAsiaTheme="minorEastAsia"/>
                <w:szCs w:val="21"/>
              </w:rPr>
              <w:t>包括改进产品和服务，纠正、预防或减少不利影响，改进体系绩效和有效性。</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707" w:type="dxa"/>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持续改进</w:t>
            </w:r>
          </w:p>
        </w:tc>
        <w:tc>
          <w:tcPr>
            <w:tcW w:w="1019"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QEO 10.3</w:t>
            </w:r>
          </w:p>
          <w:p>
            <w:pPr>
              <w:spacing w:line="280" w:lineRule="exact"/>
              <w:rPr>
                <w:rFonts w:asciiTheme="minorEastAsia" w:hAnsiTheme="minorEastAsia" w:eastAsiaTheme="minorEastAsia"/>
              </w:rPr>
            </w:pPr>
          </w:p>
        </w:tc>
        <w:tc>
          <w:tcPr>
            <w:tcW w:w="11223" w:type="dxa"/>
            <w:vAlign w:val="center"/>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 xml:space="preserve">  公司开展检查和考核工作、自查自纠及外部检查等形式，不断持续改进，提高顾客满意和环保绩效，持续改进管理体系的适宜性、充分性和有效性。详见相关条款审核记录。</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资质有效性</w:t>
            </w:r>
          </w:p>
        </w:tc>
        <w:tc>
          <w:tcPr>
            <w:tcW w:w="1019" w:type="dxa"/>
          </w:tcPr>
          <w:p>
            <w:pPr>
              <w:spacing w:line="280" w:lineRule="exact"/>
              <w:rPr>
                <w:rFonts w:asciiTheme="minorEastAsia" w:hAnsiTheme="minorEastAsia" w:eastAsiaTheme="minorEastAsia"/>
              </w:rPr>
            </w:pPr>
          </w:p>
        </w:tc>
        <w:tc>
          <w:tcPr>
            <w:tcW w:w="11223" w:type="dxa"/>
            <w:vAlign w:val="center"/>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提供营业执照在有效期内，包含申请产品范围</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07" w:type="dxa"/>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事故</w:t>
            </w:r>
          </w:p>
        </w:tc>
        <w:tc>
          <w:tcPr>
            <w:tcW w:w="1019" w:type="dxa"/>
          </w:tcPr>
          <w:p>
            <w:pPr>
              <w:spacing w:line="280" w:lineRule="exact"/>
              <w:rPr>
                <w:rFonts w:asciiTheme="minorEastAsia" w:hAnsiTheme="minorEastAsia" w:eastAsiaTheme="minorEastAsia"/>
              </w:rPr>
            </w:pPr>
          </w:p>
        </w:tc>
        <w:tc>
          <w:tcPr>
            <w:tcW w:w="11223" w:type="dxa"/>
            <w:vAlign w:val="center"/>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公司管理体系自运行以来，未发生质量、环境、职业健康安全事故</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707" w:type="dxa"/>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顾客满意、相关方投诉处理</w:t>
            </w:r>
          </w:p>
        </w:tc>
        <w:tc>
          <w:tcPr>
            <w:tcW w:w="1019" w:type="dxa"/>
          </w:tcPr>
          <w:p>
            <w:pPr>
              <w:spacing w:line="280" w:lineRule="exact"/>
              <w:rPr>
                <w:rFonts w:asciiTheme="minorEastAsia" w:hAnsiTheme="minorEastAsia" w:eastAsiaTheme="minorEastAsia"/>
              </w:rPr>
            </w:pPr>
          </w:p>
        </w:tc>
        <w:tc>
          <w:tcPr>
            <w:tcW w:w="11223" w:type="dxa"/>
            <w:vAlign w:val="center"/>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管理体系运行期间未发生顾客及相关方投诉情况，日常顾客反馈意见或建议已及时处理</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07" w:type="dxa"/>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国家/地方抽查情况</w:t>
            </w:r>
          </w:p>
        </w:tc>
        <w:tc>
          <w:tcPr>
            <w:tcW w:w="1019" w:type="dxa"/>
          </w:tcPr>
          <w:p>
            <w:pPr>
              <w:spacing w:line="280" w:lineRule="exact"/>
              <w:rPr>
                <w:rFonts w:asciiTheme="minorEastAsia" w:hAnsiTheme="minorEastAsia" w:eastAsiaTheme="minorEastAsia"/>
              </w:rPr>
            </w:pPr>
          </w:p>
        </w:tc>
        <w:tc>
          <w:tcPr>
            <w:tcW w:w="11223" w:type="dxa"/>
            <w:vAlign w:val="center"/>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上级主管部门对公司的在质量、环境、职业健康安全监督抽查，没有提出书面问题</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707"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遵纪守法</w:t>
            </w:r>
          </w:p>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情况</w:t>
            </w:r>
          </w:p>
        </w:tc>
        <w:tc>
          <w:tcPr>
            <w:tcW w:w="1019" w:type="dxa"/>
          </w:tcPr>
          <w:p>
            <w:pPr>
              <w:spacing w:line="280" w:lineRule="exact"/>
              <w:rPr>
                <w:rFonts w:asciiTheme="minorEastAsia" w:hAnsiTheme="minorEastAsia" w:eastAsiaTheme="minorEastAsia"/>
              </w:rPr>
            </w:pPr>
          </w:p>
        </w:tc>
        <w:tc>
          <w:tcPr>
            <w:tcW w:w="11223" w:type="dxa"/>
            <w:vAlign w:val="center"/>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目前公司经营过程中没有发生违反相关法律法规及其他要求的情况</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07" w:type="dxa"/>
          </w:tcPr>
          <w:p>
            <w:pPr>
              <w:spacing w:line="280" w:lineRule="exact"/>
              <w:rPr>
                <w:rFonts w:asciiTheme="minorEastAsia" w:hAnsiTheme="minorEastAsia" w:eastAsiaTheme="minorEastAsia"/>
              </w:rPr>
            </w:pPr>
            <w:r>
              <w:rPr>
                <w:rFonts w:hint="eastAsia" w:cs="Arial" w:asciiTheme="minorEastAsia" w:hAnsiTheme="minorEastAsia" w:eastAsiaTheme="minorEastAsia"/>
                <w:spacing w:val="-6"/>
                <w:szCs w:val="24"/>
              </w:rPr>
              <w:t>一阶段审核问题的验证</w:t>
            </w:r>
          </w:p>
        </w:tc>
        <w:tc>
          <w:tcPr>
            <w:tcW w:w="1019" w:type="dxa"/>
          </w:tcPr>
          <w:p>
            <w:pPr>
              <w:spacing w:line="280" w:lineRule="exact"/>
              <w:rPr>
                <w:rFonts w:asciiTheme="minorEastAsia" w:hAnsiTheme="minorEastAsia" w:eastAsiaTheme="minorEastAsia"/>
              </w:rPr>
            </w:pPr>
          </w:p>
        </w:tc>
        <w:tc>
          <w:tcPr>
            <w:tcW w:w="11223" w:type="dxa"/>
            <w:vAlign w:val="center"/>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一阶段审核提出的问题，已有效纠正，未重复发生。</w:t>
            </w:r>
          </w:p>
        </w:tc>
        <w:tc>
          <w:tcPr>
            <w:tcW w:w="760" w:type="dxa"/>
          </w:tcPr>
          <w:p>
            <w:pPr>
              <w:spacing w:line="320" w:lineRule="exact"/>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07" w:type="dxa"/>
          </w:tcPr>
          <w:p>
            <w:pPr>
              <w:spacing w:line="280" w:lineRule="exact"/>
              <w:rPr>
                <w:rFonts w:cs="Arial" w:asciiTheme="minorEastAsia" w:hAnsiTheme="minorEastAsia" w:eastAsiaTheme="minorEastAsia"/>
                <w:spacing w:val="-6"/>
                <w:szCs w:val="24"/>
              </w:rPr>
            </w:pPr>
            <w:r>
              <w:rPr>
                <w:rFonts w:hint="eastAsia" w:cs="Arial" w:asciiTheme="minorEastAsia" w:hAnsiTheme="minorEastAsia" w:eastAsiaTheme="minorEastAsia"/>
                <w:spacing w:val="-6"/>
                <w:szCs w:val="24"/>
              </w:rPr>
              <w:t>变更</w:t>
            </w:r>
          </w:p>
        </w:tc>
        <w:tc>
          <w:tcPr>
            <w:tcW w:w="1019" w:type="dxa"/>
          </w:tcPr>
          <w:p>
            <w:pPr>
              <w:spacing w:line="280" w:lineRule="exact"/>
              <w:rPr>
                <w:rFonts w:asciiTheme="minorEastAsia" w:hAnsiTheme="minorEastAsia" w:eastAsiaTheme="minorEastAsia"/>
              </w:rPr>
            </w:pPr>
          </w:p>
        </w:tc>
        <w:tc>
          <w:tcPr>
            <w:tcW w:w="11223" w:type="dxa"/>
            <w:vAlign w:val="center"/>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无</w:t>
            </w:r>
          </w:p>
        </w:tc>
        <w:tc>
          <w:tcPr>
            <w:tcW w:w="760" w:type="dxa"/>
          </w:tcPr>
          <w:p>
            <w:pPr>
              <w:spacing w:line="320" w:lineRule="exact"/>
              <w:rPr>
                <w:rFonts w:asciiTheme="minorEastAsia" w:hAnsiTheme="minorEastAsia" w:eastAsiaTheme="minorEastAsia"/>
              </w:rPr>
            </w:pPr>
          </w:p>
        </w:tc>
      </w:tr>
    </w:tbl>
    <w:p>
      <w:pPr>
        <w:jc w:val="left"/>
        <w:rPr>
          <w:rFonts w:asciiTheme="minorEastAsia" w:hAnsiTheme="minorEastAsia" w:eastAsiaTheme="minorEastAsia"/>
        </w:rPr>
      </w:pPr>
      <w:r>
        <w:rPr>
          <w:rFonts w:hint="eastAsia" w:asciiTheme="minorEastAsia" w:hAnsiTheme="minorEastAsia" w:eastAsiaTheme="minorEastAsia"/>
        </w:rPr>
        <w:t>说明：不符合标注N</w:t>
      </w:r>
    </w:p>
    <w:p>
      <w:pPr>
        <w:pStyle w:val="7"/>
        <w:rPr>
          <w:rFonts w:asciiTheme="minorEastAsia" w:hAnsiTheme="minorEastAsia" w:eastAsiaTheme="minorEastAsia"/>
        </w:rPr>
      </w:pPr>
    </w:p>
    <w:p>
      <w:pPr>
        <w:pStyle w:val="7"/>
        <w:rPr>
          <w:rFonts w:asciiTheme="minorEastAsia" w:hAnsiTheme="minorEastAsia" w:eastAsiaTheme="minorEastAsia"/>
        </w:rPr>
      </w:pPr>
    </w:p>
    <w:p>
      <w:pPr>
        <w:spacing w:line="480" w:lineRule="exact"/>
        <w:jc w:val="center"/>
        <w:rPr>
          <w:rFonts w:asciiTheme="minorEastAsia" w:hAnsiTheme="minorEastAsia" w:eastAsiaTheme="minorEastAsia"/>
          <w:bCs/>
          <w:color w:val="000000"/>
          <w:sz w:val="36"/>
          <w:szCs w:val="36"/>
        </w:rPr>
      </w:pPr>
      <w:r>
        <w:rPr>
          <w:rFonts w:hint="eastAsia" w:asciiTheme="minorEastAsia" w:hAnsiTheme="minorEastAsia" w:eastAsiaTheme="minorEastAsia"/>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0"/>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过程与活动、</w:t>
            </w:r>
          </w:p>
          <w:p>
            <w:pPr>
              <w:jc w:val="center"/>
              <w:rPr>
                <w:rFonts w:asciiTheme="minorEastAsia" w:hAnsiTheme="minorEastAsia" w:eastAsiaTheme="minorEastAsia"/>
              </w:rPr>
            </w:pPr>
            <w:r>
              <w:rPr>
                <w:rFonts w:hint="eastAsia" w:asciiTheme="minorEastAsia" w:hAnsiTheme="minorEastAsia" w:eastAsiaTheme="minorEastAsia"/>
                <w:sz w:val="24"/>
                <w:szCs w:val="24"/>
              </w:rPr>
              <w:t>抽样计划</w:t>
            </w:r>
          </w:p>
        </w:tc>
        <w:tc>
          <w:tcPr>
            <w:tcW w:w="960" w:type="dxa"/>
            <w:vMerge w:val="restart"/>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涉及</w:t>
            </w:r>
          </w:p>
          <w:p>
            <w:pPr>
              <w:rPr>
                <w:rFonts w:asciiTheme="minorEastAsia" w:hAnsiTheme="minorEastAsia" w:eastAsiaTheme="minorEastAsia"/>
              </w:rPr>
            </w:pPr>
            <w:r>
              <w:rPr>
                <w:rFonts w:hint="eastAsia" w:asciiTheme="minorEastAsia" w:hAnsiTheme="minorEastAsia" w:eastAsiaTheme="minorEastAsia"/>
                <w:sz w:val="24"/>
                <w:szCs w:val="24"/>
              </w:rPr>
              <w:t>条款</w:t>
            </w:r>
          </w:p>
        </w:tc>
        <w:tc>
          <w:tcPr>
            <w:tcW w:w="10710" w:type="dxa"/>
            <w:vAlign w:val="center"/>
          </w:tcPr>
          <w:p>
            <w:pPr>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rPr>
              <w:t>受审核部门：</w:t>
            </w:r>
            <w:r>
              <w:rPr>
                <w:rFonts w:hint="eastAsia" w:asciiTheme="minorEastAsia" w:hAnsiTheme="minorEastAsia" w:eastAsiaTheme="minorEastAsia"/>
                <w:bCs/>
                <w:sz w:val="24"/>
                <w:szCs w:val="24"/>
              </w:rPr>
              <w:t>职业健康安全事务代表      代表姓名：邹建芳</w:t>
            </w:r>
            <w:r>
              <w:rPr>
                <w:rFonts w:hint="eastAsia" w:asciiTheme="minorEastAsia" w:hAnsiTheme="minorEastAsia" w:eastAsiaTheme="minorEastAsia"/>
                <w:bCs/>
                <w:sz w:val="24"/>
                <w:szCs w:val="24"/>
                <w:lang w:val="en-US" w:eastAsia="zh-CN"/>
              </w:rPr>
              <w:t xml:space="preserve"> </w:t>
            </w:r>
            <w:r>
              <w:rPr>
                <w:rFonts w:hint="eastAsia" w:asciiTheme="minorEastAsia" w:hAnsiTheme="minorEastAsia" w:eastAsiaTheme="minorEastAsia"/>
                <w:bCs/>
                <w:sz w:val="24"/>
                <w:szCs w:val="24"/>
              </w:rPr>
              <w:t xml:space="preserve">  陪同人员：</w:t>
            </w:r>
            <w:r>
              <w:rPr>
                <w:rFonts w:hint="eastAsia" w:asciiTheme="minorEastAsia" w:hAnsiTheme="minorEastAsia" w:eastAsiaTheme="minorEastAsia"/>
                <w:bCs/>
                <w:sz w:val="24"/>
                <w:szCs w:val="24"/>
                <w:lang w:eastAsia="zh-CN"/>
              </w:rPr>
              <w:t>陈春华</w:t>
            </w:r>
          </w:p>
        </w:tc>
        <w:tc>
          <w:tcPr>
            <w:tcW w:w="879" w:type="dxa"/>
            <w:vMerge w:val="restart"/>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rPr>
            </w:pPr>
          </w:p>
        </w:tc>
        <w:tc>
          <w:tcPr>
            <w:tcW w:w="960" w:type="dxa"/>
            <w:vMerge w:val="continue"/>
            <w:vAlign w:val="center"/>
          </w:tcPr>
          <w:p>
            <w:pPr>
              <w:rPr>
                <w:rFonts w:asciiTheme="minorEastAsia" w:hAnsiTheme="minorEastAsia" w:eastAsiaTheme="minorEastAsia"/>
              </w:rPr>
            </w:pPr>
          </w:p>
        </w:tc>
        <w:tc>
          <w:tcPr>
            <w:tcW w:w="10710" w:type="dxa"/>
            <w:vAlign w:val="center"/>
          </w:tcPr>
          <w:p>
            <w:pP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rPr>
              <w:t>审核员：汪桂丽、</w:t>
            </w:r>
            <w:r>
              <w:rPr>
                <w:rFonts w:hint="eastAsia" w:asciiTheme="minorEastAsia" w:hAnsiTheme="minorEastAsia" w:eastAsiaTheme="minorEastAsia"/>
                <w:bCs/>
                <w:sz w:val="24"/>
                <w:szCs w:val="24"/>
                <w:lang w:val="en-US" w:eastAsia="zh-CN"/>
              </w:rPr>
              <w:t>强兴</w:t>
            </w:r>
            <w:r>
              <w:rPr>
                <w:rFonts w:hint="eastAsia" w:asciiTheme="minorEastAsia" w:hAnsiTheme="minorEastAsia" w:eastAsiaTheme="minorEastAsia"/>
                <w:bCs/>
                <w:sz w:val="24"/>
                <w:szCs w:val="24"/>
              </w:rPr>
              <w:t xml:space="preserve">               审核时间：2021.</w:t>
            </w:r>
            <w:r>
              <w:rPr>
                <w:rFonts w:hint="eastAsia" w:asciiTheme="minorEastAsia" w:hAnsiTheme="minorEastAsia" w:eastAsiaTheme="minorEastAsia"/>
                <w:bCs/>
                <w:sz w:val="24"/>
                <w:szCs w:val="24"/>
                <w:lang w:val="en-US" w:eastAsia="zh-CN"/>
              </w:rPr>
              <w:t>7</w:t>
            </w:r>
            <w:r>
              <w:rPr>
                <w:rFonts w:hint="eastAsia" w:asciiTheme="minorEastAsia" w:hAnsiTheme="minorEastAsia" w:eastAsiaTheme="minorEastAsia"/>
                <w:bCs/>
                <w:sz w:val="24"/>
                <w:szCs w:val="24"/>
              </w:rPr>
              <w:t>.</w:t>
            </w:r>
            <w:r>
              <w:rPr>
                <w:rFonts w:hint="eastAsia" w:asciiTheme="minorEastAsia" w:hAnsiTheme="minorEastAsia" w:eastAsiaTheme="minorEastAsia"/>
                <w:bCs/>
                <w:sz w:val="24"/>
                <w:szCs w:val="24"/>
                <w:lang w:val="en-US" w:eastAsia="zh-CN"/>
              </w:rPr>
              <w:t>31</w:t>
            </w:r>
          </w:p>
        </w:tc>
        <w:tc>
          <w:tcPr>
            <w:tcW w:w="879" w:type="dxa"/>
            <w:vMerge w:val="continue"/>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rPr>
            </w:pPr>
          </w:p>
        </w:tc>
        <w:tc>
          <w:tcPr>
            <w:tcW w:w="960" w:type="dxa"/>
            <w:vMerge w:val="continue"/>
            <w:vAlign w:val="center"/>
          </w:tcPr>
          <w:p>
            <w:pPr>
              <w:rPr>
                <w:rFonts w:asciiTheme="minorEastAsia" w:hAnsiTheme="minorEastAsia" w:eastAsiaTheme="minorEastAsia"/>
              </w:rPr>
            </w:pPr>
          </w:p>
        </w:tc>
        <w:tc>
          <w:tcPr>
            <w:tcW w:w="10710" w:type="dxa"/>
            <w:vAlign w:val="center"/>
          </w:tcPr>
          <w:p>
            <w:pPr>
              <w:snapToGrid w:val="0"/>
              <w:spacing w:line="260" w:lineRule="exact"/>
              <w:rPr>
                <w:rFonts w:asciiTheme="minorEastAsia" w:hAnsiTheme="minorEastAsia" w:eastAsiaTheme="minorEastAsia"/>
                <w:sz w:val="24"/>
                <w:szCs w:val="24"/>
              </w:rPr>
            </w:pPr>
            <w:r>
              <w:rPr>
                <w:rFonts w:hint="eastAsia" w:cs="宋体" w:asciiTheme="minorEastAsia" w:hAnsiTheme="minorEastAsia" w:eastAsiaTheme="minorEastAsia"/>
                <w:szCs w:val="21"/>
              </w:rPr>
              <w:t>涉及标准条款：O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5.3  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5.4</w:t>
            </w:r>
          </w:p>
        </w:tc>
        <w:tc>
          <w:tcPr>
            <w:tcW w:w="879" w:type="dxa"/>
            <w:vMerge w:val="continue"/>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trPr>
        <w:tc>
          <w:tcPr>
            <w:tcW w:w="2160" w:type="dxa"/>
          </w:tcPr>
          <w:p>
            <w:pPr>
              <w:spacing w:line="280" w:lineRule="exact"/>
              <w:rPr>
                <w:rFonts w:cs="Arial" w:asciiTheme="minorEastAsia" w:hAnsiTheme="minorEastAsia" w:eastAsiaTheme="minorEastAsia"/>
                <w:spacing w:val="-6"/>
                <w:szCs w:val="24"/>
              </w:rPr>
            </w:pPr>
            <w:r>
              <w:rPr>
                <w:rFonts w:hint="eastAsia" w:cs="Arial" w:asciiTheme="minorEastAsia" w:hAnsiTheme="minorEastAsia" w:eastAsiaTheme="minorEastAsia"/>
                <w:spacing w:val="-6"/>
                <w:szCs w:val="24"/>
              </w:rPr>
              <w:t>职责权限</w:t>
            </w:r>
          </w:p>
          <w:p>
            <w:pPr>
              <w:spacing w:line="280" w:lineRule="exact"/>
              <w:rPr>
                <w:rFonts w:cs="宋体" w:asciiTheme="minorEastAsia" w:hAnsiTheme="minorEastAsia" w:eastAsiaTheme="minorEastAsia"/>
                <w:sz w:val="24"/>
                <w:szCs w:val="24"/>
              </w:rPr>
            </w:pPr>
          </w:p>
          <w:p>
            <w:pPr>
              <w:spacing w:line="280" w:lineRule="exact"/>
              <w:rPr>
                <w:rFonts w:cs="宋体" w:asciiTheme="minorEastAsia" w:hAnsiTheme="minorEastAsia" w:eastAsiaTheme="minorEastAsia"/>
                <w:sz w:val="24"/>
                <w:szCs w:val="24"/>
              </w:rPr>
            </w:pPr>
          </w:p>
          <w:p>
            <w:pPr>
              <w:spacing w:line="280" w:lineRule="exact"/>
              <w:rPr>
                <w:rFonts w:cs="宋体" w:asciiTheme="minorEastAsia" w:hAnsiTheme="minorEastAsia" w:eastAsiaTheme="minorEastAsia"/>
                <w:sz w:val="24"/>
                <w:szCs w:val="24"/>
              </w:rPr>
            </w:pPr>
          </w:p>
          <w:p>
            <w:pPr>
              <w:spacing w:line="280" w:lineRule="exact"/>
              <w:rPr>
                <w:rFonts w:cs="宋体" w:asciiTheme="minorEastAsia" w:hAnsiTheme="minorEastAsia" w:eastAsiaTheme="minorEastAsia"/>
                <w:sz w:val="24"/>
                <w:szCs w:val="24"/>
              </w:rPr>
            </w:pPr>
          </w:p>
        </w:tc>
        <w:tc>
          <w:tcPr>
            <w:tcW w:w="960" w:type="dxa"/>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Cs w:val="21"/>
              </w:rPr>
              <w:t>O</w:t>
            </w:r>
            <w:r>
              <w:rPr>
                <w:rFonts w:cs="宋体" w:asciiTheme="minorEastAsia" w:hAnsiTheme="minorEastAsia" w:eastAsiaTheme="minorEastAsia"/>
                <w:szCs w:val="21"/>
              </w:rPr>
              <w:t xml:space="preserve"> 5.3</w:t>
            </w:r>
          </w:p>
          <w:p>
            <w:pPr>
              <w:spacing w:line="360" w:lineRule="auto"/>
              <w:rPr>
                <w:rFonts w:cs="宋体" w:asciiTheme="minorEastAsia" w:hAnsiTheme="minorEastAsia" w:eastAsiaTheme="minorEastAsia"/>
                <w:sz w:val="24"/>
                <w:szCs w:val="24"/>
              </w:rPr>
            </w:pPr>
          </w:p>
        </w:tc>
        <w:tc>
          <w:tcPr>
            <w:tcW w:w="10710" w:type="dxa"/>
            <w:vAlign w:val="center"/>
          </w:tcPr>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查该公司通过员工选举邹建芳为公司的职业健康安全事务代表。询问邹建芳</w:t>
            </w:r>
            <w:r>
              <w:rPr>
                <w:rFonts w:hint="eastAsia" w:cs="宋体" w:asciiTheme="minorEastAsia" w:hAnsiTheme="minorEastAsia" w:eastAsiaTheme="minorEastAsia"/>
                <w:szCs w:val="21"/>
              </w:rPr>
              <w:t>了解为该公司职业健康安全事务代表的职责：</w:t>
            </w:r>
          </w:p>
          <w:p>
            <w:pPr>
              <w:pStyle w:val="3"/>
              <w:spacing w:line="41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kern w:val="2"/>
                <w:sz w:val="21"/>
                <w:szCs w:val="21"/>
                <w:lang w:val="en-US" w:eastAsia="zh-CN" w:bidi="ar-SA"/>
              </w:rPr>
              <w:t>负责收集员工对职业健康安全存在的问题和建议，负责向管理者代表和公司汇报职业健康安全存在的问题、提出意见和建议，并对公司职业健康安全管理体系的运行进行监督，为评审和改进职业健康安全管理体系提供依据。</w:t>
            </w:r>
          </w:p>
        </w:tc>
        <w:tc>
          <w:tcPr>
            <w:tcW w:w="879" w:type="dxa"/>
          </w:tcPr>
          <w:p>
            <w:pPr>
              <w:rPr>
                <w:rFonts w:asciiTheme="minorEastAsia" w:hAnsiTheme="minorEastAsia" w:eastAsiaTheme="minorEastAsia"/>
              </w:rPr>
            </w:pPr>
            <w:r>
              <w:rPr>
                <w:rFonts w:hint="eastAsia" w:cs="宋体" w:asciiTheme="minorEastAsia" w:hAnsiTheme="minorEastAsia" w:eastAsiaTheme="minorEastAsia"/>
                <w:szCs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2160" w:type="dxa"/>
          </w:tcPr>
          <w:p>
            <w:pPr>
              <w:spacing w:line="280" w:lineRule="exact"/>
              <w:rPr>
                <w:rFonts w:cs="宋体" w:asciiTheme="minorEastAsia" w:hAnsiTheme="minorEastAsia" w:eastAsiaTheme="minorEastAsia"/>
                <w:sz w:val="24"/>
                <w:szCs w:val="24"/>
              </w:rPr>
            </w:pPr>
            <w:r>
              <w:rPr>
                <w:rFonts w:hint="eastAsia" w:cs="Arial" w:asciiTheme="minorEastAsia" w:hAnsiTheme="minorEastAsia" w:eastAsiaTheme="minorEastAsia"/>
                <w:spacing w:val="-6"/>
                <w:szCs w:val="24"/>
              </w:rPr>
              <w:t>协商和沟通</w:t>
            </w:r>
          </w:p>
        </w:tc>
        <w:tc>
          <w:tcPr>
            <w:tcW w:w="960" w:type="dxa"/>
          </w:tcPr>
          <w:p>
            <w:pPr>
              <w:spacing w:line="360" w:lineRule="auto"/>
              <w:rPr>
                <w:rFonts w:cs="宋体" w:asciiTheme="minorEastAsia" w:hAnsiTheme="minorEastAsia" w:eastAsiaTheme="minorEastAsia"/>
                <w:sz w:val="24"/>
                <w:szCs w:val="24"/>
              </w:rPr>
            </w:pPr>
            <w:r>
              <w:rPr>
                <w:rFonts w:hint="eastAsia" w:asciiTheme="minorEastAsia" w:hAnsiTheme="minorEastAsia" w:eastAsiaTheme="minorEastAsia"/>
                <w:szCs w:val="21"/>
              </w:rPr>
              <w:t>O</w:t>
            </w:r>
            <w:r>
              <w:rPr>
                <w:rFonts w:asciiTheme="minorEastAsia" w:hAnsiTheme="minorEastAsia" w:eastAsiaTheme="minorEastAsia"/>
                <w:szCs w:val="21"/>
              </w:rPr>
              <w:t xml:space="preserve">  </w:t>
            </w:r>
            <w:r>
              <w:rPr>
                <w:rFonts w:cs="宋体" w:asciiTheme="minorEastAsia" w:hAnsiTheme="minorEastAsia" w:eastAsiaTheme="minorEastAsia"/>
                <w:szCs w:val="21"/>
              </w:rPr>
              <w:t>5.4</w:t>
            </w:r>
          </w:p>
        </w:tc>
        <w:tc>
          <w:tcPr>
            <w:tcW w:w="10710" w:type="dxa"/>
            <w:vAlign w:val="center"/>
          </w:tcPr>
          <w:p>
            <w:pPr>
              <w:spacing w:line="36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参与了公司职业健康安全管理体系文件等相关职业健康安全活动的策划工作，参加员工交流协商会议；</w:t>
            </w:r>
          </w:p>
          <w:p>
            <w:pPr>
              <w:spacing w:line="360" w:lineRule="exact"/>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查该公司人员比较少，沟通畅通</w:t>
            </w:r>
            <w:r>
              <w:rPr>
                <w:rFonts w:hint="eastAsia" w:cs="宋体" w:asciiTheme="minorEastAsia" w:hAnsiTheme="minorEastAsia" w:eastAsiaTheme="minorEastAsia"/>
                <w:szCs w:val="21"/>
                <w:lang w:eastAsia="zh-CN"/>
              </w:rPr>
              <w:t>；</w:t>
            </w:r>
          </w:p>
          <w:p>
            <w:pPr>
              <w:spacing w:line="36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管理体系运行至今无员工及其他相关方投诉，目前无改进的建议；</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公司为员工</w:t>
            </w:r>
            <w:r>
              <w:rPr>
                <w:rFonts w:hint="eastAsia" w:cs="宋体" w:asciiTheme="minorEastAsia" w:hAnsiTheme="minorEastAsia" w:eastAsiaTheme="minorEastAsia"/>
                <w:szCs w:val="21"/>
                <w:lang w:val="en-US" w:eastAsia="zh-CN"/>
              </w:rPr>
              <w:t>缴纳意外险</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员工可以</w:t>
            </w:r>
            <w:r>
              <w:rPr>
                <w:rFonts w:hint="eastAsia" w:cs="宋体" w:asciiTheme="minorEastAsia" w:hAnsiTheme="minorEastAsia" w:eastAsiaTheme="minorEastAsia"/>
                <w:szCs w:val="21"/>
              </w:rPr>
              <w:t>参与讨论、评议重要措施制定和决定。</w:t>
            </w:r>
          </w:p>
        </w:tc>
        <w:tc>
          <w:tcPr>
            <w:tcW w:w="879" w:type="dxa"/>
          </w:tcPr>
          <w:p>
            <w:pPr>
              <w:rPr>
                <w:rFonts w:asciiTheme="minorEastAsia" w:hAnsiTheme="minorEastAsia" w:eastAsiaTheme="minorEastAsia"/>
              </w:rPr>
            </w:pPr>
            <w:r>
              <w:rPr>
                <w:rFonts w:hint="eastAsia" w:cs="宋体" w:asciiTheme="minorEastAsia" w:hAnsiTheme="minorEastAsia" w:eastAsiaTheme="minorEastAsia"/>
                <w:szCs w:val="21"/>
              </w:rPr>
              <w:t>OK</w:t>
            </w:r>
          </w:p>
        </w:tc>
      </w:tr>
    </w:tbl>
    <w:p>
      <w:pPr>
        <w:pStyle w:val="7"/>
        <w:rPr>
          <w:rFonts w:asciiTheme="minorEastAsia" w:hAnsiTheme="minorEastAsia" w:eastAsiaTheme="minorEastAsia"/>
        </w:rPr>
      </w:pPr>
      <w:r>
        <w:rPr>
          <w:rFonts w:hint="eastAsia" w:asciiTheme="minorEastAsia" w:hAnsiTheme="minorEastAsia" w:eastAsiaTheme="minorEastAsia"/>
        </w:rPr>
        <w:t>说明：不符合标注N</w:t>
      </w:r>
    </w:p>
    <w:p>
      <w:pPr>
        <w:pStyle w:val="7"/>
        <w:rPr>
          <w:rFonts w:asciiTheme="minorEastAsia" w:hAnsiTheme="minorEastAsia" w:eastAsiaTheme="minor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Adobe 黑体 Std R">
    <w:altName w:val="Arial Unicode MS"/>
    <w:panose1 w:val="00000000000000000000"/>
    <w:charset w:val="86"/>
    <w:family w:val="swiss"/>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IOC-B-I-19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IOC-B-I-19 管理体系审核记录表(03版)</w:t>
                    </w:r>
                  </w:p>
                </w:txbxContent>
              </v:textbox>
            </v:shape>
          </w:pict>
        </mc:Fallback>
      </mc:AlternateContent>
    </w:r>
    <w:r>
      <w:rPr>
        <w:rStyle w:val="15"/>
        <w:rFonts w:hint="default"/>
      </w:rPr>
      <w:t xml:space="preserve">        </w:t>
    </w:r>
    <w:r>
      <w:rPr>
        <w:rStyle w:val="15"/>
        <w:rFonts w:hint="default"/>
        <w:w w:val="90"/>
      </w:rPr>
      <w:t>Beijing International Otandard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9E098D"/>
    <w:multiLevelType w:val="multilevel"/>
    <w:tmpl w:val="6D9E098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242D4"/>
    <w:rsid w:val="00024F5B"/>
    <w:rsid w:val="00027F84"/>
    <w:rsid w:val="00033336"/>
    <w:rsid w:val="000333A2"/>
    <w:rsid w:val="0003373A"/>
    <w:rsid w:val="00046911"/>
    <w:rsid w:val="00046C5E"/>
    <w:rsid w:val="00051DBB"/>
    <w:rsid w:val="000533B7"/>
    <w:rsid w:val="000545F3"/>
    <w:rsid w:val="00061775"/>
    <w:rsid w:val="00066794"/>
    <w:rsid w:val="00075039"/>
    <w:rsid w:val="000753A8"/>
    <w:rsid w:val="00075451"/>
    <w:rsid w:val="00077C91"/>
    <w:rsid w:val="00096B85"/>
    <w:rsid w:val="00097899"/>
    <w:rsid w:val="000A0B92"/>
    <w:rsid w:val="000A37D6"/>
    <w:rsid w:val="000B731C"/>
    <w:rsid w:val="000B7933"/>
    <w:rsid w:val="000C09F5"/>
    <w:rsid w:val="000C2C4B"/>
    <w:rsid w:val="000D19F5"/>
    <w:rsid w:val="000D311D"/>
    <w:rsid w:val="000D3FA8"/>
    <w:rsid w:val="000D67A5"/>
    <w:rsid w:val="000E231C"/>
    <w:rsid w:val="000E4D68"/>
    <w:rsid w:val="000F5929"/>
    <w:rsid w:val="00100DCD"/>
    <w:rsid w:val="00103E45"/>
    <w:rsid w:val="001127A2"/>
    <w:rsid w:val="00115E95"/>
    <w:rsid w:val="001359C9"/>
    <w:rsid w:val="00140386"/>
    <w:rsid w:val="00142E83"/>
    <w:rsid w:val="0015029E"/>
    <w:rsid w:val="0015730C"/>
    <w:rsid w:val="00164D22"/>
    <w:rsid w:val="00166CF6"/>
    <w:rsid w:val="00170A8A"/>
    <w:rsid w:val="0017683D"/>
    <w:rsid w:val="00183DC1"/>
    <w:rsid w:val="0019177B"/>
    <w:rsid w:val="001919D5"/>
    <w:rsid w:val="00192F07"/>
    <w:rsid w:val="00194234"/>
    <w:rsid w:val="001A2D7F"/>
    <w:rsid w:val="001A7935"/>
    <w:rsid w:val="001B15F1"/>
    <w:rsid w:val="001B5577"/>
    <w:rsid w:val="001B78C4"/>
    <w:rsid w:val="001D660E"/>
    <w:rsid w:val="001E1513"/>
    <w:rsid w:val="001E4832"/>
    <w:rsid w:val="001F346F"/>
    <w:rsid w:val="001F5605"/>
    <w:rsid w:val="00203613"/>
    <w:rsid w:val="00223FF3"/>
    <w:rsid w:val="00231B66"/>
    <w:rsid w:val="00252D43"/>
    <w:rsid w:val="00262CAF"/>
    <w:rsid w:val="00264460"/>
    <w:rsid w:val="002776E7"/>
    <w:rsid w:val="00285D7E"/>
    <w:rsid w:val="00287C9F"/>
    <w:rsid w:val="00292B15"/>
    <w:rsid w:val="002B4347"/>
    <w:rsid w:val="002B435B"/>
    <w:rsid w:val="002B6C2A"/>
    <w:rsid w:val="002B7B83"/>
    <w:rsid w:val="002E6CA1"/>
    <w:rsid w:val="002E7040"/>
    <w:rsid w:val="002E76FB"/>
    <w:rsid w:val="002F7C6D"/>
    <w:rsid w:val="00306E61"/>
    <w:rsid w:val="00314580"/>
    <w:rsid w:val="00322EA7"/>
    <w:rsid w:val="00334A10"/>
    <w:rsid w:val="00334C0C"/>
    <w:rsid w:val="00337922"/>
    <w:rsid w:val="00340867"/>
    <w:rsid w:val="00346079"/>
    <w:rsid w:val="003736F9"/>
    <w:rsid w:val="00380837"/>
    <w:rsid w:val="003817EB"/>
    <w:rsid w:val="00383CCB"/>
    <w:rsid w:val="00385E5E"/>
    <w:rsid w:val="003A198A"/>
    <w:rsid w:val="003A1EE9"/>
    <w:rsid w:val="003A7FBC"/>
    <w:rsid w:val="003C0A70"/>
    <w:rsid w:val="003C6BAD"/>
    <w:rsid w:val="003D2C37"/>
    <w:rsid w:val="003E5236"/>
    <w:rsid w:val="003E6AF2"/>
    <w:rsid w:val="003E7888"/>
    <w:rsid w:val="004028A5"/>
    <w:rsid w:val="00403E03"/>
    <w:rsid w:val="00404142"/>
    <w:rsid w:val="00410914"/>
    <w:rsid w:val="00414948"/>
    <w:rsid w:val="004336AB"/>
    <w:rsid w:val="00435BD2"/>
    <w:rsid w:val="0043778E"/>
    <w:rsid w:val="004448A8"/>
    <w:rsid w:val="004454CD"/>
    <w:rsid w:val="004807FE"/>
    <w:rsid w:val="00487BAB"/>
    <w:rsid w:val="00491F9E"/>
    <w:rsid w:val="004A681B"/>
    <w:rsid w:val="004B095E"/>
    <w:rsid w:val="004B10FD"/>
    <w:rsid w:val="004B20B0"/>
    <w:rsid w:val="004C3DBA"/>
    <w:rsid w:val="004C5CE9"/>
    <w:rsid w:val="004D05B0"/>
    <w:rsid w:val="004D3389"/>
    <w:rsid w:val="004D532C"/>
    <w:rsid w:val="004D6DA4"/>
    <w:rsid w:val="004F4C01"/>
    <w:rsid w:val="004F7428"/>
    <w:rsid w:val="00502083"/>
    <w:rsid w:val="00506C94"/>
    <w:rsid w:val="005119B3"/>
    <w:rsid w:val="005211D0"/>
    <w:rsid w:val="00527E26"/>
    <w:rsid w:val="00536930"/>
    <w:rsid w:val="00540918"/>
    <w:rsid w:val="00542737"/>
    <w:rsid w:val="005441E5"/>
    <w:rsid w:val="005545AC"/>
    <w:rsid w:val="00564E53"/>
    <w:rsid w:val="00567E81"/>
    <w:rsid w:val="00582990"/>
    <w:rsid w:val="00582F4D"/>
    <w:rsid w:val="00583DB5"/>
    <w:rsid w:val="005903A3"/>
    <w:rsid w:val="00595E10"/>
    <w:rsid w:val="00597C8D"/>
    <w:rsid w:val="005A34BB"/>
    <w:rsid w:val="005B3251"/>
    <w:rsid w:val="005D488A"/>
    <w:rsid w:val="005D4F59"/>
    <w:rsid w:val="005E39EA"/>
    <w:rsid w:val="005E486D"/>
    <w:rsid w:val="005E4BB2"/>
    <w:rsid w:val="006017B5"/>
    <w:rsid w:val="0060453B"/>
    <w:rsid w:val="00610889"/>
    <w:rsid w:val="00617BF7"/>
    <w:rsid w:val="00627710"/>
    <w:rsid w:val="00632336"/>
    <w:rsid w:val="00633C40"/>
    <w:rsid w:val="00636CCC"/>
    <w:rsid w:val="00642669"/>
    <w:rsid w:val="00644FE2"/>
    <w:rsid w:val="00645136"/>
    <w:rsid w:val="00653D06"/>
    <w:rsid w:val="00656362"/>
    <w:rsid w:val="00665260"/>
    <w:rsid w:val="006736CD"/>
    <w:rsid w:val="0067640C"/>
    <w:rsid w:val="00680F5C"/>
    <w:rsid w:val="0068526D"/>
    <w:rsid w:val="0069467C"/>
    <w:rsid w:val="006A3A16"/>
    <w:rsid w:val="006B02A5"/>
    <w:rsid w:val="006B19B7"/>
    <w:rsid w:val="006B6877"/>
    <w:rsid w:val="006C431B"/>
    <w:rsid w:val="006C5F17"/>
    <w:rsid w:val="006C67E9"/>
    <w:rsid w:val="006C7B47"/>
    <w:rsid w:val="006D7BAD"/>
    <w:rsid w:val="006E1DF1"/>
    <w:rsid w:val="006E2FE5"/>
    <w:rsid w:val="006E454A"/>
    <w:rsid w:val="006E63E5"/>
    <w:rsid w:val="006E678B"/>
    <w:rsid w:val="007009B6"/>
    <w:rsid w:val="00705795"/>
    <w:rsid w:val="00706933"/>
    <w:rsid w:val="00713ECA"/>
    <w:rsid w:val="00714E4F"/>
    <w:rsid w:val="0073317D"/>
    <w:rsid w:val="0073498A"/>
    <w:rsid w:val="0073640D"/>
    <w:rsid w:val="00751E25"/>
    <w:rsid w:val="007552F3"/>
    <w:rsid w:val="007631FD"/>
    <w:rsid w:val="00770AC4"/>
    <w:rsid w:val="007757F3"/>
    <w:rsid w:val="007D1134"/>
    <w:rsid w:val="007D54D2"/>
    <w:rsid w:val="007D7047"/>
    <w:rsid w:val="007E4C55"/>
    <w:rsid w:val="007E6AEB"/>
    <w:rsid w:val="00803C8E"/>
    <w:rsid w:val="008331CA"/>
    <w:rsid w:val="0084257F"/>
    <w:rsid w:val="00854914"/>
    <w:rsid w:val="00862ED1"/>
    <w:rsid w:val="008755DA"/>
    <w:rsid w:val="0088562A"/>
    <w:rsid w:val="00885A7A"/>
    <w:rsid w:val="0089324A"/>
    <w:rsid w:val="008973EE"/>
    <w:rsid w:val="008A7493"/>
    <w:rsid w:val="008A7789"/>
    <w:rsid w:val="008B367B"/>
    <w:rsid w:val="008B3C94"/>
    <w:rsid w:val="008D175F"/>
    <w:rsid w:val="008D6CA6"/>
    <w:rsid w:val="008E54C3"/>
    <w:rsid w:val="008E5780"/>
    <w:rsid w:val="008F640C"/>
    <w:rsid w:val="009068A5"/>
    <w:rsid w:val="009318B6"/>
    <w:rsid w:val="00941C88"/>
    <w:rsid w:val="00946314"/>
    <w:rsid w:val="00951E27"/>
    <w:rsid w:val="00967DEB"/>
    <w:rsid w:val="00971600"/>
    <w:rsid w:val="009760A8"/>
    <w:rsid w:val="00981521"/>
    <w:rsid w:val="009865DD"/>
    <w:rsid w:val="00990AF0"/>
    <w:rsid w:val="009973B4"/>
    <w:rsid w:val="009A457A"/>
    <w:rsid w:val="009C1EE2"/>
    <w:rsid w:val="009C28C1"/>
    <w:rsid w:val="009D20CD"/>
    <w:rsid w:val="009D5430"/>
    <w:rsid w:val="009E0E6E"/>
    <w:rsid w:val="009E1A2C"/>
    <w:rsid w:val="009E2EC5"/>
    <w:rsid w:val="009F0EDA"/>
    <w:rsid w:val="009F18AF"/>
    <w:rsid w:val="009F3172"/>
    <w:rsid w:val="009F4A90"/>
    <w:rsid w:val="009F7EED"/>
    <w:rsid w:val="00A0419F"/>
    <w:rsid w:val="00A1110F"/>
    <w:rsid w:val="00A2734C"/>
    <w:rsid w:val="00A30DDE"/>
    <w:rsid w:val="00A335ED"/>
    <w:rsid w:val="00A513EC"/>
    <w:rsid w:val="00A54304"/>
    <w:rsid w:val="00A6146F"/>
    <w:rsid w:val="00A84FD3"/>
    <w:rsid w:val="00A85563"/>
    <w:rsid w:val="00A91442"/>
    <w:rsid w:val="00AA543E"/>
    <w:rsid w:val="00AB0334"/>
    <w:rsid w:val="00AB45AC"/>
    <w:rsid w:val="00AB6F50"/>
    <w:rsid w:val="00AF0AAB"/>
    <w:rsid w:val="00B1235B"/>
    <w:rsid w:val="00B174FF"/>
    <w:rsid w:val="00B215FF"/>
    <w:rsid w:val="00B33C9F"/>
    <w:rsid w:val="00B341C5"/>
    <w:rsid w:val="00B43CE9"/>
    <w:rsid w:val="00B61FC2"/>
    <w:rsid w:val="00B63B5A"/>
    <w:rsid w:val="00B82EA5"/>
    <w:rsid w:val="00B90A0E"/>
    <w:rsid w:val="00B90C2C"/>
    <w:rsid w:val="00B96207"/>
    <w:rsid w:val="00BA2032"/>
    <w:rsid w:val="00BB2AFA"/>
    <w:rsid w:val="00BB5C9E"/>
    <w:rsid w:val="00BB6A1B"/>
    <w:rsid w:val="00BD23EC"/>
    <w:rsid w:val="00BE4239"/>
    <w:rsid w:val="00BE4BA8"/>
    <w:rsid w:val="00BF597E"/>
    <w:rsid w:val="00C30B76"/>
    <w:rsid w:val="00C35DF4"/>
    <w:rsid w:val="00C3798B"/>
    <w:rsid w:val="00C453D5"/>
    <w:rsid w:val="00C45693"/>
    <w:rsid w:val="00C51A36"/>
    <w:rsid w:val="00C55228"/>
    <w:rsid w:val="00C662F4"/>
    <w:rsid w:val="00C73A1A"/>
    <w:rsid w:val="00C74DF3"/>
    <w:rsid w:val="00C80D84"/>
    <w:rsid w:val="00C86445"/>
    <w:rsid w:val="00C900D1"/>
    <w:rsid w:val="00C926D4"/>
    <w:rsid w:val="00C96ECF"/>
    <w:rsid w:val="00CA17E5"/>
    <w:rsid w:val="00CA6325"/>
    <w:rsid w:val="00CC782B"/>
    <w:rsid w:val="00CD391A"/>
    <w:rsid w:val="00CD4BD0"/>
    <w:rsid w:val="00CE315A"/>
    <w:rsid w:val="00CE6D44"/>
    <w:rsid w:val="00CF02A1"/>
    <w:rsid w:val="00D06F59"/>
    <w:rsid w:val="00D17304"/>
    <w:rsid w:val="00D222CA"/>
    <w:rsid w:val="00D31BC2"/>
    <w:rsid w:val="00D339B3"/>
    <w:rsid w:val="00D3523F"/>
    <w:rsid w:val="00D4304E"/>
    <w:rsid w:val="00D60DBD"/>
    <w:rsid w:val="00D77628"/>
    <w:rsid w:val="00D8388C"/>
    <w:rsid w:val="00D91E07"/>
    <w:rsid w:val="00D922F0"/>
    <w:rsid w:val="00D94D50"/>
    <w:rsid w:val="00DA6D75"/>
    <w:rsid w:val="00DA6EE2"/>
    <w:rsid w:val="00DB131E"/>
    <w:rsid w:val="00DC39C3"/>
    <w:rsid w:val="00DC67BD"/>
    <w:rsid w:val="00DC6B31"/>
    <w:rsid w:val="00DD0CD8"/>
    <w:rsid w:val="00DD44CD"/>
    <w:rsid w:val="00DD7CF8"/>
    <w:rsid w:val="00DE150E"/>
    <w:rsid w:val="00DE60CF"/>
    <w:rsid w:val="00DF3DE3"/>
    <w:rsid w:val="00E057B5"/>
    <w:rsid w:val="00E11FF1"/>
    <w:rsid w:val="00E1555A"/>
    <w:rsid w:val="00E172D1"/>
    <w:rsid w:val="00E23D5B"/>
    <w:rsid w:val="00E260ED"/>
    <w:rsid w:val="00E30F8C"/>
    <w:rsid w:val="00E66F8E"/>
    <w:rsid w:val="00E67C54"/>
    <w:rsid w:val="00E70666"/>
    <w:rsid w:val="00E739AF"/>
    <w:rsid w:val="00E82C8A"/>
    <w:rsid w:val="00E84CDF"/>
    <w:rsid w:val="00E96F99"/>
    <w:rsid w:val="00EB0164"/>
    <w:rsid w:val="00ED0F62"/>
    <w:rsid w:val="00F04412"/>
    <w:rsid w:val="00F128EF"/>
    <w:rsid w:val="00F25A3E"/>
    <w:rsid w:val="00F315A7"/>
    <w:rsid w:val="00F31F44"/>
    <w:rsid w:val="00F41512"/>
    <w:rsid w:val="00F44F05"/>
    <w:rsid w:val="00F61533"/>
    <w:rsid w:val="00F74505"/>
    <w:rsid w:val="00F77D93"/>
    <w:rsid w:val="00F8212E"/>
    <w:rsid w:val="00F836F3"/>
    <w:rsid w:val="00F83F61"/>
    <w:rsid w:val="00F8527E"/>
    <w:rsid w:val="00F95B49"/>
    <w:rsid w:val="00FA2C55"/>
    <w:rsid w:val="00FA4B73"/>
    <w:rsid w:val="00FA6F4E"/>
    <w:rsid w:val="00FB27A9"/>
    <w:rsid w:val="00FB2E5A"/>
    <w:rsid w:val="00FC0FE8"/>
    <w:rsid w:val="00FC12B9"/>
    <w:rsid w:val="00FC3688"/>
    <w:rsid w:val="00FD281C"/>
    <w:rsid w:val="00FE0B48"/>
    <w:rsid w:val="00FF04EE"/>
    <w:rsid w:val="00FF2314"/>
    <w:rsid w:val="03011590"/>
    <w:rsid w:val="0320505F"/>
    <w:rsid w:val="04510B7D"/>
    <w:rsid w:val="06FE5272"/>
    <w:rsid w:val="08BF0232"/>
    <w:rsid w:val="08E60B71"/>
    <w:rsid w:val="0A4E07CC"/>
    <w:rsid w:val="0A8D103E"/>
    <w:rsid w:val="0ACE1CBC"/>
    <w:rsid w:val="0B451C47"/>
    <w:rsid w:val="0B4E6612"/>
    <w:rsid w:val="0E3E43E5"/>
    <w:rsid w:val="0E673B3C"/>
    <w:rsid w:val="0E891764"/>
    <w:rsid w:val="0F413AC7"/>
    <w:rsid w:val="0F4D7A11"/>
    <w:rsid w:val="108219C2"/>
    <w:rsid w:val="108A0D67"/>
    <w:rsid w:val="1141415F"/>
    <w:rsid w:val="117E71EC"/>
    <w:rsid w:val="11D96B76"/>
    <w:rsid w:val="12245DB8"/>
    <w:rsid w:val="136314F4"/>
    <w:rsid w:val="13CA12D3"/>
    <w:rsid w:val="13CE6575"/>
    <w:rsid w:val="141304FE"/>
    <w:rsid w:val="14257908"/>
    <w:rsid w:val="14D454BA"/>
    <w:rsid w:val="14FD6176"/>
    <w:rsid w:val="15D53416"/>
    <w:rsid w:val="162B5F34"/>
    <w:rsid w:val="1788557A"/>
    <w:rsid w:val="179470C0"/>
    <w:rsid w:val="17BB45DD"/>
    <w:rsid w:val="188C6160"/>
    <w:rsid w:val="19BD6015"/>
    <w:rsid w:val="1A5C1BE8"/>
    <w:rsid w:val="1A7479FC"/>
    <w:rsid w:val="1B3E39A3"/>
    <w:rsid w:val="1B71487F"/>
    <w:rsid w:val="1B9E43FA"/>
    <w:rsid w:val="1BD854B1"/>
    <w:rsid w:val="1BEC3BF1"/>
    <w:rsid w:val="1D85741F"/>
    <w:rsid w:val="1DE60924"/>
    <w:rsid w:val="1E847499"/>
    <w:rsid w:val="1F063599"/>
    <w:rsid w:val="1F1F7BA7"/>
    <w:rsid w:val="1FD7676E"/>
    <w:rsid w:val="22B83558"/>
    <w:rsid w:val="23557E88"/>
    <w:rsid w:val="239960F2"/>
    <w:rsid w:val="26A46875"/>
    <w:rsid w:val="274E61F5"/>
    <w:rsid w:val="2767752B"/>
    <w:rsid w:val="27DF7CD6"/>
    <w:rsid w:val="27E5357B"/>
    <w:rsid w:val="28563B5D"/>
    <w:rsid w:val="2AF034F9"/>
    <w:rsid w:val="2C703113"/>
    <w:rsid w:val="2D004A1A"/>
    <w:rsid w:val="2D423F4E"/>
    <w:rsid w:val="2EE93C61"/>
    <w:rsid w:val="2FEB299B"/>
    <w:rsid w:val="307054BB"/>
    <w:rsid w:val="32691255"/>
    <w:rsid w:val="32C11AD5"/>
    <w:rsid w:val="336E24BB"/>
    <w:rsid w:val="34041CDB"/>
    <w:rsid w:val="3438524B"/>
    <w:rsid w:val="34B32935"/>
    <w:rsid w:val="375F34D7"/>
    <w:rsid w:val="37FB7F90"/>
    <w:rsid w:val="39952144"/>
    <w:rsid w:val="3AD826FA"/>
    <w:rsid w:val="3B81758E"/>
    <w:rsid w:val="3BD4497A"/>
    <w:rsid w:val="3C9E5B10"/>
    <w:rsid w:val="3DA37BBA"/>
    <w:rsid w:val="3DAD6D4F"/>
    <w:rsid w:val="3F0F3C1B"/>
    <w:rsid w:val="40285D69"/>
    <w:rsid w:val="414D774F"/>
    <w:rsid w:val="41842DAE"/>
    <w:rsid w:val="41853551"/>
    <w:rsid w:val="418A49D1"/>
    <w:rsid w:val="4219262D"/>
    <w:rsid w:val="440643B1"/>
    <w:rsid w:val="44D10776"/>
    <w:rsid w:val="45E57E09"/>
    <w:rsid w:val="466F33FE"/>
    <w:rsid w:val="46B97919"/>
    <w:rsid w:val="476D01FA"/>
    <w:rsid w:val="481A62EC"/>
    <w:rsid w:val="48800E04"/>
    <w:rsid w:val="489C542B"/>
    <w:rsid w:val="494C5676"/>
    <w:rsid w:val="4ABE4B71"/>
    <w:rsid w:val="4BFF3076"/>
    <w:rsid w:val="4D943D2E"/>
    <w:rsid w:val="4E95570D"/>
    <w:rsid w:val="4EC64F08"/>
    <w:rsid w:val="4FF9693C"/>
    <w:rsid w:val="50886C2D"/>
    <w:rsid w:val="51543C71"/>
    <w:rsid w:val="52390AC9"/>
    <w:rsid w:val="53402D13"/>
    <w:rsid w:val="54CC0192"/>
    <w:rsid w:val="56135BAC"/>
    <w:rsid w:val="56390FCA"/>
    <w:rsid w:val="57FF34CD"/>
    <w:rsid w:val="58322D49"/>
    <w:rsid w:val="592F0962"/>
    <w:rsid w:val="59D5213B"/>
    <w:rsid w:val="5A526EF4"/>
    <w:rsid w:val="5AAA27E4"/>
    <w:rsid w:val="5BCC76FD"/>
    <w:rsid w:val="5BE53841"/>
    <w:rsid w:val="5CAB10AC"/>
    <w:rsid w:val="5CB37300"/>
    <w:rsid w:val="5DAB4DE2"/>
    <w:rsid w:val="5DE6570D"/>
    <w:rsid w:val="5EA12B9A"/>
    <w:rsid w:val="5ED74E33"/>
    <w:rsid w:val="5F816C22"/>
    <w:rsid w:val="5FF65830"/>
    <w:rsid w:val="614A0DF3"/>
    <w:rsid w:val="628F0BD1"/>
    <w:rsid w:val="63606581"/>
    <w:rsid w:val="64931835"/>
    <w:rsid w:val="65B47E80"/>
    <w:rsid w:val="661149EF"/>
    <w:rsid w:val="6612664F"/>
    <w:rsid w:val="66B7462A"/>
    <w:rsid w:val="67C00F84"/>
    <w:rsid w:val="68AC04FF"/>
    <w:rsid w:val="69EA7EC1"/>
    <w:rsid w:val="6A23146B"/>
    <w:rsid w:val="6BAC184E"/>
    <w:rsid w:val="6CA45EE1"/>
    <w:rsid w:val="6D53402F"/>
    <w:rsid w:val="6EE57067"/>
    <w:rsid w:val="6F6A2170"/>
    <w:rsid w:val="6F990D30"/>
    <w:rsid w:val="70205029"/>
    <w:rsid w:val="702D7970"/>
    <w:rsid w:val="71065FD8"/>
    <w:rsid w:val="7333596B"/>
    <w:rsid w:val="73A00EA2"/>
    <w:rsid w:val="75A8368A"/>
    <w:rsid w:val="761F43CB"/>
    <w:rsid w:val="76373F2B"/>
    <w:rsid w:val="76E27F87"/>
    <w:rsid w:val="77310DBF"/>
    <w:rsid w:val="785A4758"/>
    <w:rsid w:val="78741EB2"/>
    <w:rsid w:val="79C04904"/>
    <w:rsid w:val="79E2643B"/>
    <w:rsid w:val="7A3A268E"/>
    <w:rsid w:val="7B5C61FD"/>
    <w:rsid w:val="7C4566E1"/>
    <w:rsid w:val="7C614C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w:basedOn w:val="1"/>
    <w:qFormat/>
    <w:uiPriority w:val="0"/>
    <w:pPr>
      <w:ind w:firstLine="480" w:firstLineChars="200"/>
    </w:pPr>
    <w:rPr>
      <w:sz w:val="24"/>
    </w:rPr>
  </w:style>
  <w:style w:type="paragraph" w:styleId="5">
    <w:name w:val="Plain Text"/>
    <w:basedOn w:val="1"/>
    <w:link w:val="18"/>
    <w:unhideWhenUsed/>
    <w:qFormat/>
    <w:uiPriority w:val="0"/>
    <w:rPr>
      <w:rFonts w:ascii="宋体" w:hAnsi="Courier New"/>
    </w:rPr>
  </w:style>
  <w:style w:type="paragraph" w:styleId="6">
    <w:name w:val="Balloon Text"/>
    <w:basedOn w:val="1"/>
    <w:link w:val="14"/>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ind w:firstLine="420" w:firstLineChars="200"/>
    </w:pPr>
    <w:rPr>
      <w:rFonts w:ascii="Calibri" w:hAnsi="Calibri"/>
      <w:szCs w:val="22"/>
    </w:rPr>
  </w:style>
  <w:style w:type="paragraph" w:styleId="17">
    <w:name w:val="List Paragraph"/>
    <w:basedOn w:val="1"/>
    <w:qFormat/>
    <w:uiPriority w:val="99"/>
    <w:pPr>
      <w:ind w:firstLine="420" w:firstLineChars="200"/>
    </w:pPr>
  </w:style>
  <w:style w:type="character" w:customStyle="1" w:styleId="18">
    <w:name w:val="纯文本 Char"/>
    <w:link w:val="5"/>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65F241-169B-4ECD-92A6-0D8DDE63F855}">
  <ds:schemaRefs/>
</ds:datastoreItem>
</file>

<file path=docProps/app.xml><?xml version="1.0" encoding="utf-8"?>
<Properties xmlns="http://schemas.openxmlformats.org/officeDocument/2006/extended-properties" xmlns:vt="http://schemas.openxmlformats.org/officeDocument/2006/docPropsVTypes">
  <Template>Normal</Template>
  <Pages>7</Pages>
  <Words>955</Words>
  <Characters>5446</Characters>
  <Lines>45</Lines>
  <Paragraphs>12</Paragraphs>
  <TotalTime>2</TotalTime>
  <ScaleCrop>false</ScaleCrop>
  <LinksUpToDate>false</LinksUpToDate>
  <CharactersWithSpaces>6389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汪桂丽</cp:lastModifiedBy>
  <dcterms:modified xsi:type="dcterms:W3CDTF">2021-08-05T07:09:27Z</dcterms:modified>
  <cp:revision>347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27C4BE1903744FB2BECAA5B7F9BF4924</vt:lpwstr>
  </property>
</Properties>
</file>