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管理体系一阶段审核记录表</w:t>
      </w:r>
    </w:p>
    <w:p>
      <w:pPr>
        <w:spacing w:line="480" w:lineRule="exact"/>
        <w:jc w:val="center"/>
        <w:rPr>
          <w:rFonts w:ascii="隶书" w:hAnsi="宋体" w:eastAsia="隶书"/>
          <w:bCs/>
          <w:color w:val="000000"/>
          <w:sz w:val="36"/>
          <w:szCs w:val="36"/>
        </w:rPr>
      </w:pPr>
    </w:p>
    <w:p>
      <w:pPr>
        <w:spacing w:line="360" w:lineRule="auto"/>
        <w:rPr>
          <w:b/>
        </w:rPr>
      </w:pPr>
      <w:r>
        <w:rPr>
          <w:rFonts w:hint="eastAsia"/>
          <w:b/>
        </w:rPr>
        <w:t>公司名称：</w:t>
      </w:r>
      <w:r>
        <w:rPr>
          <w:rFonts w:hint="eastAsia"/>
          <w:b/>
          <w:lang w:val="en-US" w:eastAsia="zh-CN"/>
        </w:rPr>
        <w:t>福建欧航消防设备有限公司</w:t>
      </w:r>
      <w:r>
        <w:rPr>
          <w:rFonts w:hint="eastAsia"/>
          <w:b/>
        </w:rPr>
        <w:t xml:space="preserve">                       </w:t>
      </w:r>
      <w:r>
        <w:rPr>
          <w:rFonts w:hint="eastAsia"/>
          <w:b/>
          <w:lang w:val="en-US" w:eastAsia="zh-CN"/>
        </w:rPr>
        <w:t xml:space="preserve">         </w:t>
      </w:r>
      <w:r>
        <w:rPr>
          <w:rFonts w:hint="eastAsia"/>
          <w:b/>
        </w:rPr>
        <w:t xml:space="preserve">        </w:t>
      </w:r>
      <w:r>
        <w:rPr>
          <w:rFonts w:hint="eastAsia" w:ascii="宋体" w:hAnsi="宋体"/>
        </w:rPr>
        <w:t>■</w:t>
      </w:r>
      <w:r>
        <w:rPr>
          <w:rFonts w:hint="eastAsia"/>
          <w:b/>
        </w:rPr>
        <w:t xml:space="preserve">QMS /G   </w:t>
      </w:r>
      <w:r>
        <w:rPr>
          <w:rFonts w:hint="eastAsia" w:ascii="宋体" w:hAnsi="宋体"/>
        </w:rPr>
        <w:t>■</w:t>
      </w:r>
      <w:r>
        <w:rPr>
          <w:rFonts w:hint="eastAsia"/>
          <w:b/>
        </w:rPr>
        <w:t xml:space="preserve">EMS     </w:t>
      </w:r>
      <w:r>
        <w:rPr>
          <w:rFonts w:hint="eastAsia" w:ascii="宋体" w:hAnsi="宋体"/>
        </w:rPr>
        <w:t>■</w:t>
      </w:r>
      <w:r>
        <w:rPr>
          <w:rFonts w:hint="eastAsia"/>
          <w:b/>
        </w:rPr>
        <w:t>OHSMS</w:t>
      </w:r>
    </w:p>
    <w:p>
      <w:pPr>
        <w:spacing w:before="156" w:beforeLines="50" w:after="156" w:afterLines="50"/>
        <w:rPr>
          <w:rFonts w:ascii="宋体" w:hAnsi="宋体"/>
        </w:rPr>
      </w:pPr>
      <w:r>
        <w:rPr>
          <w:rFonts w:hint="eastAsia" w:ascii="宋体" w:hAnsi="宋体"/>
        </w:rPr>
        <w:t xml:space="preserve">审核区域: </w:t>
      </w:r>
      <w:r>
        <w:rPr>
          <w:rFonts w:hint="eastAsia" w:ascii="宋体" w:hAnsi="宋体"/>
          <w:lang w:val="en-US" w:eastAsia="zh-CN"/>
        </w:rPr>
        <w:t>销售</w:t>
      </w:r>
      <w:r>
        <w:rPr>
          <w:rFonts w:hint="eastAsia" w:ascii="宋体" w:hAnsi="宋体"/>
        </w:rPr>
        <w:t>部</w:t>
      </w:r>
    </w:p>
    <w:p>
      <w:pPr>
        <w:spacing w:before="156" w:beforeLines="50" w:after="156" w:afterLines="50"/>
        <w:rPr>
          <w:rFonts w:ascii="宋体" w:hAnsi="宋体"/>
        </w:rPr>
      </w:pPr>
      <w:r>
        <w:rPr>
          <w:rFonts w:hint="eastAsia" w:ascii="宋体" w:hAnsi="宋体"/>
        </w:rPr>
        <w:t>审核员：汪桂丽</w:t>
      </w:r>
      <w:r>
        <w:rPr>
          <w:rFonts w:hint="eastAsia" w:ascii="宋体" w:hAnsi="宋体"/>
          <w:lang w:eastAsia="zh-CN"/>
        </w:rPr>
        <w:t>、</w:t>
      </w:r>
      <w:r>
        <w:rPr>
          <w:rFonts w:hint="eastAsia" w:ascii="宋体" w:hAnsi="宋体"/>
          <w:lang w:val="en-US" w:eastAsia="zh-CN"/>
        </w:rPr>
        <w:t>强兴</w:t>
      </w:r>
      <w:r>
        <w:rPr>
          <w:rFonts w:hint="eastAsia" w:ascii="宋体" w:hAnsi="宋体"/>
        </w:rPr>
        <w:t xml:space="preserve">                                                         审核时间:  2021 年</w:t>
      </w:r>
      <w:r>
        <w:rPr>
          <w:rFonts w:hint="eastAsia" w:ascii="宋体" w:hAnsi="宋体"/>
          <w:lang w:val="en-US" w:eastAsia="zh-CN"/>
        </w:rPr>
        <w:t>7</w:t>
      </w:r>
      <w:r>
        <w:rPr>
          <w:rFonts w:hint="eastAsia" w:ascii="宋体" w:hAnsi="宋体"/>
        </w:rPr>
        <w:t>月3</w:t>
      </w:r>
      <w:r>
        <w:rPr>
          <w:rFonts w:hint="eastAsia" w:ascii="宋体" w:hAnsi="宋体"/>
          <w:lang w:val="en-US" w:eastAsia="zh-CN"/>
        </w:rPr>
        <w:t>0</w:t>
      </w:r>
      <w:r>
        <w:rPr>
          <w:rFonts w:hint="eastAsia" w:ascii="宋体" w:hAnsi="宋体"/>
        </w:rPr>
        <w:t>日</w:t>
      </w:r>
    </w:p>
    <w:p>
      <w:pPr>
        <w:rPr>
          <w:vanish/>
        </w:rPr>
      </w:pPr>
    </w:p>
    <w:tbl>
      <w:tblPr>
        <w:tblStyle w:val="7"/>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675" w:type="dxa"/>
            <w:vAlign w:val="center"/>
          </w:tcPr>
          <w:p>
            <w:pPr>
              <w:adjustRightInd w:val="0"/>
              <w:spacing w:line="280" w:lineRule="exact"/>
              <w:jc w:val="center"/>
            </w:pPr>
            <w:r>
              <w:rPr>
                <w:rFonts w:hint="eastAsia"/>
              </w:rPr>
              <w:t>序号</w:t>
            </w:r>
          </w:p>
        </w:tc>
        <w:tc>
          <w:tcPr>
            <w:tcW w:w="12297" w:type="dxa"/>
            <w:vAlign w:val="center"/>
          </w:tcPr>
          <w:p>
            <w:pPr>
              <w:adjustRightInd w:val="0"/>
              <w:spacing w:line="280" w:lineRule="exact"/>
              <w:jc w:val="center"/>
            </w:pPr>
            <w:r>
              <w:rPr>
                <w:rFonts w:hint="eastAsia"/>
              </w:rPr>
              <w:t>检查记录</w:t>
            </w:r>
          </w:p>
        </w:tc>
        <w:tc>
          <w:tcPr>
            <w:tcW w:w="1400" w:type="dxa"/>
          </w:tcPr>
          <w:p>
            <w:pPr>
              <w:adjustRightInd w:val="0"/>
              <w:spacing w:line="280" w:lineRule="exact"/>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vMerge w:val="restart"/>
          </w:tcPr>
          <w:p>
            <w:pPr>
              <w:adjustRightInd w:val="0"/>
              <w:spacing w:line="360" w:lineRule="auto"/>
              <w:jc w:val="left"/>
            </w:pPr>
            <w:r>
              <w:rPr>
                <w:rFonts w:hint="eastAsia"/>
              </w:rPr>
              <w:t>1</w:t>
            </w:r>
          </w:p>
        </w:tc>
        <w:tc>
          <w:tcPr>
            <w:tcW w:w="12297"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400"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hint="eastAsia" w:ascii="宋体" w:hAnsi="宋体"/>
                <w:szCs w:val="21"/>
              </w:rPr>
            </w:pPr>
            <w:r>
              <w:rPr>
                <w:rFonts w:hint="eastAsia" w:ascii="宋体" w:hAnsi="宋体"/>
                <w:szCs w:val="21"/>
              </w:rPr>
              <w:t>1、（2015版Q）与组织目标和战略方向相关并影响其实现管理体系预期结果的各种外部和内部因素:</w:t>
            </w:r>
          </w:p>
          <w:p>
            <w:pPr>
              <w:adjustRightInd w:val="0"/>
              <w:spacing w:line="360" w:lineRule="auto"/>
              <w:jc w:val="left"/>
              <w:rPr>
                <w:rFonts w:hint="eastAsia" w:ascii="宋体" w:hAnsi="宋体"/>
                <w:szCs w:val="21"/>
              </w:rPr>
            </w:pPr>
            <w:r>
              <w:rPr>
                <w:rFonts w:hint="eastAsia" w:ascii="宋体" w:hAnsi="宋体"/>
                <w:szCs w:val="21"/>
              </w:rPr>
              <w:t>1）确定情况：</w:t>
            </w:r>
          </w:p>
          <w:p>
            <w:pPr>
              <w:adjustRightInd w:val="0"/>
              <w:spacing w:line="360" w:lineRule="auto"/>
              <w:jc w:val="left"/>
              <w:rPr>
                <w:rFonts w:hint="eastAsia" w:ascii="宋体" w:hAnsi="宋体"/>
                <w:szCs w:val="21"/>
              </w:rPr>
            </w:pPr>
            <w:r>
              <w:rPr>
                <w:rFonts w:hint="eastAsia" w:ascii="宋体" w:hAnsi="宋体"/>
                <w:szCs w:val="21"/>
              </w:rPr>
              <w:t>提供《内、外部经营环境因素评价》，确定了公司相关的内外部因素。</w:t>
            </w:r>
          </w:p>
          <w:p>
            <w:pPr>
              <w:adjustRightInd w:val="0"/>
              <w:spacing w:line="360" w:lineRule="auto"/>
              <w:jc w:val="left"/>
              <w:rPr>
                <w:rFonts w:hint="eastAsia" w:ascii="宋体" w:hAnsi="宋体"/>
                <w:szCs w:val="21"/>
              </w:rPr>
            </w:pPr>
            <w:r>
              <w:rPr>
                <w:rFonts w:hint="eastAsia" w:ascii="宋体" w:hAnsi="宋体"/>
                <w:szCs w:val="21"/>
              </w:rPr>
              <w:t>2）监视和评审情况：</w:t>
            </w:r>
          </w:p>
          <w:p>
            <w:pPr>
              <w:adjustRightInd w:val="0"/>
              <w:spacing w:line="360" w:lineRule="auto"/>
              <w:jc w:val="left"/>
              <w:rPr>
                <w:rFonts w:hint="eastAsia" w:ascii="宋体" w:hAnsi="宋体"/>
                <w:szCs w:val="21"/>
              </w:rPr>
            </w:pPr>
            <w:r>
              <w:rPr>
                <w:rFonts w:hint="eastAsia" w:ascii="宋体" w:hAnsi="宋体"/>
                <w:szCs w:val="21"/>
              </w:rPr>
              <w:t xml:space="preserve">   每年监视评审一次，一般是从网络、相关方获取</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hint="eastAsia"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ind w:firstLine="210" w:firstLineChars="100"/>
              <w:jc w:val="left"/>
              <w:rPr>
                <w:rFonts w:hint="eastAsia" w:ascii="宋体" w:hAnsi="宋体"/>
                <w:szCs w:val="21"/>
              </w:rPr>
            </w:pPr>
            <w:r>
              <w:rPr>
                <w:rFonts w:hint="eastAsia" w:ascii="宋体" w:hAnsi="宋体"/>
                <w:szCs w:val="21"/>
              </w:rPr>
              <w:t>提供《内、外部经营环境因素评价》，确定了公司相关的内外部因素。</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提供《风险识别与对策》</w:t>
            </w:r>
            <w:r>
              <w:rPr>
                <w:rFonts w:hint="eastAsia" w:ascii="宋体" w:hAnsi="宋体"/>
                <w:szCs w:val="21"/>
                <w:lang w:eastAsia="zh-CN"/>
              </w:rPr>
              <w:t>、</w:t>
            </w:r>
            <w:r>
              <w:rPr>
                <w:rFonts w:hint="eastAsia" w:ascii="宋体" w:hAnsi="宋体"/>
                <w:szCs w:val="21"/>
              </w:rPr>
              <w:t>《组织风险和机遇控制清单》，确定了企业的风险和机遇。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color w:val="4F81BD"/>
                <w:szCs w:val="21"/>
              </w:rPr>
            </w:pPr>
            <w:r>
              <w:rPr>
                <w:rFonts w:hint="eastAsia" w:ascii="宋体" w:hAnsi="宋体"/>
                <w:szCs w:val="21"/>
              </w:rPr>
              <w:t>提供《风险识别与对策》</w:t>
            </w:r>
            <w:r>
              <w:rPr>
                <w:rFonts w:hint="eastAsia" w:ascii="宋体" w:hAnsi="宋体"/>
                <w:szCs w:val="21"/>
                <w:lang w:eastAsia="zh-CN"/>
              </w:rPr>
              <w:t>、</w:t>
            </w:r>
            <w:r>
              <w:rPr>
                <w:rFonts w:hint="eastAsia" w:ascii="宋体" w:hAnsi="宋体"/>
                <w:szCs w:val="21"/>
              </w:rPr>
              <w:t>《组织风险和机遇控制清单》，针对确定风险和机遇明确了控制措施，同时也确定了责任部门、时间期限等。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spacing w:line="380" w:lineRule="exact"/>
              <w:ind w:firstLine="720" w:firstLineChars="300"/>
              <w:rPr>
                <w:color w:val="auto"/>
                <w:sz w:val="20"/>
              </w:rPr>
            </w:pPr>
            <w:r>
              <w:rPr>
                <w:rFonts w:hint="eastAsia" w:ascii="宋体" w:hAnsi="宋体"/>
                <w:color w:val="auto"/>
                <w:sz w:val="24"/>
              </w:rPr>
              <w:t>接订单-合同评审-签订合同-组织货源-销售（发货）-客户验收-售后服务</w:t>
            </w:r>
            <w:r>
              <w:rPr>
                <w:rFonts w:hint="eastAsia"/>
                <w:color w:val="auto"/>
                <w:sz w:val="20"/>
              </w:rPr>
              <w:t>；</w:t>
            </w:r>
          </w:p>
          <w:p>
            <w:pPr>
              <w:rPr>
                <w:szCs w:val="21"/>
              </w:rPr>
            </w:pPr>
            <w:r>
              <w:rPr>
                <w:rFonts w:hint="eastAsia" w:ascii="宋体" w:hAnsi="宋体"/>
                <w:szCs w:val="21"/>
              </w:rPr>
              <w:t xml:space="preserve">    </w:t>
            </w:r>
            <w:r>
              <w:rPr>
                <w:rFonts w:hint="eastAsia"/>
                <w:szCs w:val="21"/>
              </w:rPr>
              <w:t xml:space="preserve"> </w:t>
            </w:r>
            <w:r>
              <w:rPr>
                <w:szCs w:val="21"/>
              </w:rPr>
              <w:t xml:space="preserve"> </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销售服务过程</w:t>
            </w:r>
          </w:p>
          <w:p>
            <w:pPr>
              <w:adjustRightInd w:val="0"/>
              <w:spacing w:line="360" w:lineRule="auto"/>
              <w:ind w:firstLine="315" w:firstLineChars="150"/>
              <w:jc w:val="left"/>
              <w:rPr>
                <w:color w:val="4F81BD"/>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400" w:type="dxa"/>
          </w:tcPr>
          <w:p>
            <w:pPr>
              <w:tabs>
                <w:tab w:val="left" w:pos="1305"/>
              </w:tabs>
            </w:pPr>
          </w:p>
          <w:p>
            <w:pPr>
              <w:tabs>
                <w:tab w:val="left" w:pos="1305"/>
              </w:tabs>
            </w:pPr>
          </w:p>
          <w:p>
            <w:pPr>
              <w:tabs>
                <w:tab w:val="left" w:pos="1305"/>
              </w:tabs>
            </w:pPr>
          </w:p>
          <w:p>
            <w:pPr>
              <w:tabs>
                <w:tab w:val="left" w:pos="1305"/>
              </w:tabs>
            </w:pPr>
          </w:p>
          <w:p>
            <w:pPr>
              <w:tabs>
                <w:tab w:val="left" w:pos="1305"/>
              </w:tabs>
            </w:pPr>
          </w:p>
          <w:p>
            <w:pPr>
              <w:tabs>
                <w:tab w:val="left" w:pos="1305"/>
              </w:tabs>
            </w:pPr>
            <w:r>
              <w:rPr>
                <w:rFonts w:hint="eastAsia"/>
              </w:rPr>
              <w:t>Ok</w:t>
            </w:r>
          </w:p>
          <w:p>
            <w:pPr>
              <w:tabs>
                <w:tab w:val="left" w:pos="1305"/>
              </w:tabs>
            </w:pPr>
          </w:p>
          <w:p>
            <w:pPr>
              <w:tabs>
                <w:tab w:val="left" w:pos="1305"/>
              </w:tabs>
            </w:pPr>
          </w:p>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color w:val="4F81BD"/>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□有，说明具体的外包过程及管理控制情况</w:t>
            </w:r>
            <w:r>
              <w:rPr>
                <w:rFonts w:hint="eastAsia" w:ascii="宋体" w:hAnsi="宋体"/>
              </w:rPr>
              <w:t>：</w:t>
            </w:r>
          </w:p>
          <w:p>
            <w:pPr>
              <w:tabs>
                <w:tab w:val="left" w:pos="1305"/>
              </w:tabs>
              <w:rPr>
                <w:rFonts w:ascii="宋体" w:hAnsi="宋体"/>
              </w:rPr>
            </w:pPr>
          </w:p>
          <w:p>
            <w:pPr>
              <w:tabs>
                <w:tab w:val="left" w:pos="1305"/>
              </w:tabs>
              <w:rPr>
                <w:rFonts w:ascii="宋体" w:hAnsi="宋体"/>
              </w:rPr>
            </w:pPr>
          </w:p>
        </w:tc>
        <w:tc>
          <w:tcPr>
            <w:tcW w:w="1400" w:type="dxa"/>
          </w:tcPr>
          <w:p>
            <w:pPr>
              <w:tabs>
                <w:tab w:val="left" w:pos="1305"/>
              </w:tabs>
            </w:pPr>
          </w:p>
          <w:p>
            <w:pPr>
              <w:tabs>
                <w:tab w:val="left" w:pos="1305"/>
              </w:tabs>
            </w:pPr>
          </w:p>
          <w:p>
            <w:pPr>
              <w:tabs>
                <w:tab w:val="left" w:pos="1305"/>
              </w:tabs>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lang w:val="en-US" w:eastAsia="zh-CN"/>
              </w:rPr>
              <w:t>钢质防火门、防盗门</w:t>
            </w:r>
            <w:r>
              <w:rPr>
                <w:rFonts w:hint="eastAsia" w:ascii="宋体" w:hAnsi="宋体"/>
                <w:u w:val="single"/>
                <w:lang w:val="en-US" w:eastAsia="zh-CN"/>
              </w:rPr>
              <w:t>采购、销售及办公过程的环</w:t>
            </w:r>
            <w:r>
              <w:rPr>
                <w:rFonts w:hint="eastAsia" w:ascii="宋体" w:hAnsi="宋体"/>
                <w:u w:val="single"/>
              </w:rPr>
              <w:t>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rPr>
              <w:t>3</w:t>
            </w:r>
            <w:r>
              <w:rPr>
                <w:rFonts w:ascii="宋体" w:hAnsi="宋体"/>
                <w:u w:val="single"/>
              </w:rPr>
              <w:t xml:space="preserve">   </w:t>
            </w:r>
            <w:r>
              <w:rPr>
                <w:rFonts w:hint="eastAsia" w:ascii="宋体" w:hAnsi="宋体"/>
              </w:rPr>
              <w:t>项，经评价为重要环境因素的有：</w:t>
            </w:r>
            <w:bookmarkStart w:id="0" w:name="_GoBack"/>
            <w:bookmarkEnd w:id="0"/>
          </w:p>
          <w:p>
            <w:pPr>
              <w:adjustRightInd w:val="0"/>
              <w:spacing w:line="360" w:lineRule="auto"/>
              <w:ind w:firstLine="630" w:firstLineChars="300"/>
              <w:jc w:val="left"/>
              <w:rPr>
                <w:rFonts w:ascii="宋体"/>
              </w:rPr>
            </w:pPr>
            <w:r>
              <w:rPr>
                <w:rFonts w:hint="eastAsia" w:ascii="宋体" w:hAnsi="宋体"/>
                <w:u w:val="single"/>
              </w:rPr>
              <w:t>固</w:t>
            </w:r>
            <w:r>
              <w:rPr>
                <w:rFonts w:hint="eastAsia" w:ascii="宋体" w:hAnsi="宋体"/>
                <w:u w:val="single"/>
                <w:lang w:val="en-US" w:eastAsia="zh-CN"/>
              </w:rPr>
              <w:t>体</w:t>
            </w:r>
            <w:r>
              <w:rPr>
                <w:rFonts w:hint="eastAsia" w:ascii="宋体" w:hAnsi="宋体"/>
                <w:u w:val="single"/>
              </w:rPr>
              <w:t>废</w:t>
            </w:r>
            <w:r>
              <w:rPr>
                <w:rFonts w:hint="eastAsia" w:ascii="宋体" w:hAnsi="宋体"/>
                <w:u w:val="single"/>
                <w:lang w:val="en-US" w:eastAsia="zh-CN"/>
              </w:rPr>
              <w:t>弃物</w:t>
            </w:r>
            <w:r>
              <w:rPr>
                <w:rFonts w:hint="eastAsia" w:ascii="宋体" w:hAnsi="宋体"/>
                <w:u w:val="single"/>
              </w:rPr>
              <w:t>排放、水电</w:t>
            </w:r>
            <w:r>
              <w:rPr>
                <w:rFonts w:hint="eastAsia" w:ascii="宋体" w:hAnsi="宋体"/>
                <w:u w:val="single"/>
                <w:lang w:val="en-US" w:eastAsia="zh-CN"/>
              </w:rPr>
              <w:t>及办公耗材</w:t>
            </w:r>
            <w:r>
              <w:rPr>
                <w:rFonts w:hint="eastAsia" w:ascii="宋体" w:hAnsi="宋体"/>
                <w:u w:val="single"/>
              </w:rPr>
              <w:t>消耗、火灾。</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sz w:val="20"/>
                <w:u w:val="single"/>
              </w:rPr>
              <w:t>钢</w:t>
            </w:r>
            <w:r>
              <w:rPr>
                <w:rFonts w:hint="eastAsia" w:ascii="宋体" w:hAnsi="宋体"/>
              </w:rPr>
              <w:t>质防火门、防盗门</w:t>
            </w:r>
            <w:r>
              <w:rPr>
                <w:rFonts w:hint="eastAsia" w:ascii="宋体" w:hAnsi="宋体"/>
                <w:lang w:val="en-US" w:eastAsia="zh-CN"/>
              </w:rPr>
              <w:t>采购、销售及办公过程</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项，包括：</w:t>
            </w:r>
          </w:p>
          <w:p>
            <w:pPr>
              <w:adjustRightInd w:val="0"/>
              <w:spacing w:line="360" w:lineRule="auto"/>
              <w:ind w:firstLine="210" w:firstLineChars="100"/>
              <w:jc w:val="left"/>
              <w:rPr>
                <w:rFonts w:hint="eastAsia" w:ascii="宋体" w:hAnsi="宋体"/>
                <w:u w:val="single"/>
                <w:lang w:eastAsia="zh-CN"/>
              </w:rPr>
            </w:pPr>
            <w:r>
              <w:rPr>
                <w:rFonts w:hint="eastAsia" w:ascii="宋体" w:hAnsi="宋体"/>
                <w:u w:val="single"/>
              </w:rPr>
              <w:t>触电伤害、火灾、</w:t>
            </w:r>
            <w:r>
              <w:rPr>
                <w:rFonts w:hint="eastAsia" w:ascii="宋体" w:hAnsi="宋体"/>
                <w:u w:val="single"/>
                <w:lang w:val="en-US" w:eastAsia="zh-CN"/>
              </w:rPr>
              <w:t>意外伤害（交通等</w:t>
            </w:r>
            <w:r>
              <w:rPr>
                <w:rFonts w:hint="eastAsia" w:ascii="宋体" w:hAnsi="宋体"/>
                <w:u w:val="single"/>
                <w:lang w:eastAsia="zh-CN"/>
              </w:rPr>
              <w:t>）</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Pr>
          <w:p>
            <w:pPr>
              <w:adjustRightInd w:val="0"/>
              <w:spacing w:line="360" w:lineRule="auto"/>
              <w:jc w:val="left"/>
            </w:pPr>
            <w:r>
              <w:rPr>
                <w:rFonts w:hint="eastAsia"/>
              </w:rPr>
              <w:t>3</w:t>
            </w:r>
          </w:p>
        </w:tc>
        <w:tc>
          <w:tcPr>
            <w:tcW w:w="12297" w:type="dxa"/>
          </w:tcPr>
          <w:p>
            <w:pPr>
              <w:adjustRightInd w:val="0"/>
              <w:spacing w:line="360" w:lineRule="auto"/>
              <w:jc w:val="left"/>
            </w:pPr>
            <w:r>
              <w:rPr>
                <w:rFonts w:hint="eastAsia" w:ascii="宋体" w:hAnsi="宋体"/>
                <w:b/>
                <w:szCs w:val="21"/>
              </w:rPr>
              <w:t>运行控制和关键绩效：</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Pr>
          <w:p>
            <w:pPr>
              <w:adjustRightInd w:val="0"/>
              <w:spacing w:line="360" w:lineRule="auto"/>
              <w:jc w:val="left"/>
            </w:pPr>
          </w:p>
        </w:tc>
        <w:tc>
          <w:tcPr>
            <w:tcW w:w="12297" w:type="dxa"/>
          </w:tcPr>
          <w:p>
            <w:pPr>
              <w:pStyle w:val="2"/>
              <w:shd w:val="clear" w:color="auto" w:fill="FFFFFF"/>
              <w:jc w:val="left"/>
              <w:rPr>
                <w:rFonts w:ascii="宋体"/>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hAnsi="宋体"/>
                <w:b w:val="0"/>
                <w:bCs w:val="0"/>
                <w:color w:val="000000"/>
                <w:sz w:val="21"/>
                <w:szCs w:val="21"/>
                <w:u w:val="single"/>
              </w:rPr>
              <w:t>钢质防火门GB 12955-2008</w:t>
            </w:r>
            <w:r>
              <w:rPr>
                <w:rFonts w:hint="eastAsia" w:ascii="宋体" w:hAnsi="宋体"/>
                <w:b w:val="0"/>
                <w:bCs w:val="0"/>
                <w:color w:val="000000"/>
                <w:sz w:val="21"/>
                <w:szCs w:val="21"/>
                <w:u w:val="single"/>
                <w:lang w:eastAsia="zh-CN"/>
              </w:rPr>
              <w:t>、</w:t>
            </w:r>
            <w:r>
              <w:rPr>
                <w:rFonts w:hint="eastAsia" w:ascii="宋体" w:hAnsi="宋体"/>
                <w:b w:val="0"/>
                <w:bCs w:val="0"/>
                <w:color w:val="000000"/>
                <w:sz w:val="21"/>
                <w:szCs w:val="21"/>
                <w:u w:val="single"/>
                <w:lang w:val="en-US" w:eastAsia="zh-CN"/>
              </w:rPr>
              <w:t>防盗安全门通用技术条件GB 17565-2007</w:t>
            </w:r>
            <w:r>
              <w:rPr>
                <w:rFonts w:ascii="宋体" w:hAnsi="宋体"/>
                <w:u w:val="single"/>
              </w:rPr>
              <w:t xml:space="preserve">      </w:t>
            </w:r>
          </w:p>
          <w:p>
            <w:pPr>
              <w:adjustRightInd w:val="0"/>
              <w:spacing w:line="360" w:lineRule="auto"/>
              <w:jc w:val="left"/>
              <w:rPr>
                <w:rFonts w:ascii="宋体" w:hAnsi="宋体"/>
                <w:color w:val="4F81BD"/>
              </w:rPr>
            </w:pPr>
            <w:r>
              <w:rPr>
                <w:rFonts w:hint="eastAsia" w:ascii="宋体" w:hAnsi="宋体"/>
                <w:color w:val="4F81BD"/>
              </w:rPr>
              <w:t>.运行控制过程中，产品质量的控制情况（一阶段现场审核时，结合运行现场观察）：</w:t>
            </w:r>
          </w:p>
          <w:p>
            <w:pPr>
              <w:snapToGrid w:val="0"/>
              <w:spacing w:line="360" w:lineRule="auto"/>
              <w:ind w:firstLine="420"/>
              <w:rPr>
                <w:rFonts w:ascii="宋体" w:hAnsi="宋体"/>
                <w:szCs w:val="21"/>
                <w:u w:val="single"/>
              </w:rPr>
            </w:pPr>
            <w:r>
              <w:rPr>
                <w:rFonts w:hint="eastAsia" w:ascii="宋体" w:hAnsi="宋体"/>
                <w:u w:val="single"/>
              </w:rPr>
              <w:t>合同评审</w:t>
            </w:r>
            <w:r>
              <w:rPr>
                <w:rFonts w:hint="eastAsia" w:ascii="宋体"/>
                <w:u w:val="single"/>
              </w:rPr>
              <w:t>过程：查看能根据客户要求进行评审和签订合同</w:t>
            </w:r>
            <w:r>
              <w:rPr>
                <w:rFonts w:hint="eastAsia" w:ascii="宋体" w:hAnsi="宋体"/>
                <w:szCs w:val="21"/>
                <w:u w:val="single"/>
              </w:rPr>
              <w:t>；</w:t>
            </w:r>
          </w:p>
          <w:p>
            <w:pPr>
              <w:snapToGrid w:val="0"/>
              <w:spacing w:line="360" w:lineRule="auto"/>
              <w:ind w:firstLine="420"/>
              <w:rPr>
                <w:rFonts w:ascii="宋体" w:hAnsi="宋体"/>
                <w:szCs w:val="21"/>
                <w:u w:val="single"/>
              </w:rPr>
            </w:pPr>
            <w:r>
              <w:rPr>
                <w:rFonts w:hint="eastAsia" w:ascii="宋体"/>
                <w:u w:val="single"/>
                <w:lang w:val="en-US" w:eastAsia="zh-CN"/>
              </w:rPr>
              <w:t>采购及成品控制</w:t>
            </w:r>
            <w:r>
              <w:rPr>
                <w:rFonts w:hint="eastAsia" w:ascii="宋体"/>
                <w:u w:val="single"/>
              </w:rPr>
              <w:t>过程：查看执行合同/协议，</w:t>
            </w:r>
            <w:r>
              <w:rPr>
                <w:rFonts w:hint="eastAsia" w:ascii="宋体"/>
                <w:u w:val="single"/>
                <w:lang w:val="en-US" w:eastAsia="zh-CN"/>
              </w:rPr>
              <w:t>对供方进行选择、评价，择优选合格供方，到货进行质量检验，确保产品合格</w:t>
            </w:r>
            <w:r>
              <w:rPr>
                <w:rFonts w:hint="eastAsia" w:ascii="宋体" w:hAnsi="宋体"/>
                <w:szCs w:val="21"/>
                <w:u w:val="single"/>
              </w:rPr>
              <w:t>；</w:t>
            </w:r>
          </w:p>
          <w:p>
            <w:pPr>
              <w:snapToGrid w:val="0"/>
              <w:spacing w:line="360" w:lineRule="auto"/>
              <w:ind w:firstLine="420"/>
              <w:rPr>
                <w:rFonts w:ascii="宋体"/>
                <w:u w:val="single"/>
              </w:rPr>
            </w:pPr>
            <w:r>
              <w:rPr>
                <w:rFonts w:hint="eastAsia" w:ascii="宋体"/>
                <w:u w:val="single"/>
                <w:lang w:val="en-US" w:eastAsia="zh-CN"/>
              </w:rPr>
              <w:t>销售</w:t>
            </w:r>
            <w:r>
              <w:rPr>
                <w:rFonts w:hint="eastAsia" w:ascii="宋体"/>
                <w:u w:val="single"/>
              </w:rPr>
              <w:t>过程：</w:t>
            </w:r>
            <w:r>
              <w:rPr>
                <w:rFonts w:hint="eastAsia" w:ascii="宋体"/>
                <w:u w:val="single"/>
                <w:lang w:val="en-US" w:eastAsia="zh-CN"/>
              </w:rPr>
              <w:t>明确和评审顾客要求、执行</w:t>
            </w:r>
            <w:r>
              <w:rPr>
                <w:rFonts w:hint="eastAsia" w:ascii="宋体"/>
                <w:u w:val="single"/>
              </w:rPr>
              <w:t>合同/协议</w:t>
            </w:r>
            <w:r>
              <w:rPr>
                <w:rFonts w:hint="eastAsia" w:ascii="宋体"/>
                <w:u w:val="single"/>
                <w:lang w:val="en-US" w:eastAsia="zh-CN"/>
              </w:rPr>
              <w:t>/提出</w:t>
            </w:r>
            <w:r>
              <w:rPr>
                <w:rFonts w:hint="eastAsia" w:ascii="宋体"/>
                <w:u w:val="single"/>
              </w:rPr>
              <w:t>要求，</w:t>
            </w:r>
            <w:r>
              <w:rPr>
                <w:rFonts w:hint="eastAsia" w:ascii="宋体"/>
                <w:u w:val="single"/>
                <w:lang w:val="en-US" w:eastAsia="zh-CN"/>
              </w:rPr>
              <w:t>及时准确交付及售后服务，及时进行顾客满意调查</w:t>
            </w:r>
            <w:r>
              <w:rPr>
                <w:rFonts w:hint="eastAsia" w:ascii="宋体"/>
                <w:u w:val="single"/>
              </w:rPr>
              <w:t>。</w:t>
            </w:r>
          </w:p>
          <w:p>
            <w:pPr>
              <w:adjustRightInd w:val="0"/>
              <w:spacing w:line="360" w:lineRule="auto"/>
              <w:ind w:firstLine="420" w:firstLineChars="200"/>
              <w:jc w:val="left"/>
              <w:rPr>
                <w:rFonts w:ascii="宋体" w:hAnsi="宋体"/>
                <w:color w:val="000000"/>
              </w:rPr>
            </w:pPr>
            <w:r>
              <w:rPr>
                <w:rFonts w:hint="eastAsia" w:ascii="宋体"/>
                <w:u w:val="single"/>
              </w:rPr>
              <w:t>以上操作符合要求。</w:t>
            </w:r>
          </w:p>
          <w:p>
            <w:pPr>
              <w:adjustRightInd w:val="0"/>
              <w:spacing w:line="360" w:lineRule="auto"/>
              <w:jc w:val="left"/>
              <w:rPr>
                <w:rFonts w:ascii="宋体" w:hAnsi="宋体"/>
              </w:rPr>
            </w:pPr>
            <w:r>
              <w:rPr>
                <w:rFonts w:hint="eastAsia" w:ascii="宋体" w:hAnsi="宋体"/>
              </w:rPr>
              <w:t xml:space="preserve"> </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w:t>
            </w:r>
            <w:r>
              <w:rPr>
                <w:rFonts w:hint="eastAsia" w:ascii="宋体" w:hAnsi="宋体"/>
                <w:szCs w:val="21"/>
              </w:rPr>
              <w:t>能满足顾客和相关方的要求。</w:t>
            </w:r>
          </w:p>
        </w:tc>
        <w:tc>
          <w:tcPr>
            <w:tcW w:w="1400" w:type="dxa"/>
          </w:tcPr>
          <w:p>
            <w:pPr>
              <w:adjustRightInd w:val="0"/>
              <w:spacing w:line="360" w:lineRule="auto"/>
              <w:jc w:val="left"/>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u w:val="single"/>
              </w:rPr>
              <w:t>固</w:t>
            </w:r>
            <w:r>
              <w:rPr>
                <w:rFonts w:hint="eastAsia" w:ascii="宋体" w:hAnsi="宋体"/>
                <w:u w:val="single"/>
                <w:lang w:val="en-US" w:eastAsia="zh-CN"/>
              </w:rPr>
              <w:t>体</w:t>
            </w:r>
            <w:r>
              <w:rPr>
                <w:rFonts w:hint="eastAsia" w:ascii="宋体" w:hAnsi="宋体"/>
                <w:u w:val="single"/>
              </w:rPr>
              <w:t>废</w:t>
            </w:r>
            <w:r>
              <w:rPr>
                <w:rFonts w:hint="eastAsia" w:ascii="宋体" w:hAnsi="宋体"/>
                <w:u w:val="single"/>
                <w:lang w:val="en-US" w:eastAsia="zh-CN"/>
              </w:rPr>
              <w:t>弃物</w:t>
            </w:r>
            <w:r>
              <w:rPr>
                <w:rFonts w:hint="eastAsia" w:ascii="宋体" w:hAnsi="宋体"/>
                <w:u w:val="single"/>
              </w:rPr>
              <w:t>排放、水电</w:t>
            </w:r>
            <w:r>
              <w:rPr>
                <w:rFonts w:hint="eastAsia" w:ascii="宋体" w:hAnsi="宋体"/>
                <w:u w:val="single"/>
                <w:lang w:val="en-US" w:eastAsia="zh-CN"/>
              </w:rPr>
              <w:t>及办公耗材</w:t>
            </w:r>
            <w:r>
              <w:rPr>
                <w:rFonts w:hint="eastAsia" w:ascii="宋体" w:hAnsi="宋体"/>
                <w:u w:val="single"/>
              </w:rPr>
              <w:t>消耗、火灾</w:t>
            </w:r>
            <w:r>
              <w:rPr>
                <w:rFonts w:hint="eastAsia" w:ascii="宋体" w:hAnsi="宋体"/>
                <w:szCs w:val="21"/>
                <w:u w:val="single"/>
              </w:rPr>
              <w:t>。</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adjustRightInd w:val="0"/>
              <w:spacing w:line="360" w:lineRule="auto"/>
              <w:jc w:val="left"/>
              <w:rPr>
                <w:rFonts w:ascii="宋体" w:hAnsi="宋体"/>
              </w:rPr>
            </w:pPr>
            <w:r>
              <w:rPr>
                <w:rFonts w:hint="eastAsia" w:ascii="宋体" w:hAnsi="宋体"/>
              </w:rPr>
              <w:t>--受控情况：</w:t>
            </w:r>
            <w:r>
              <w:rPr>
                <w:rFonts w:hint="eastAsia" w:ascii="宋体"/>
                <w:u w:val="single"/>
              </w:rPr>
              <w:t>水、电</w:t>
            </w:r>
            <w:r>
              <w:rPr>
                <w:rFonts w:hint="eastAsia" w:ascii="宋体"/>
                <w:u w:val="single"/>
                <w:lang w:eastAsia="zh-CN"/>
              </w:rPr>
              <w:t>、</w:t>
            </w:r>
            <w:r>
              <w:rPr>
                <w:rFonts w:hint="eastAsia" w:ascii="宋体"/>
                <w:u w:val="single"/>
                <w:lang w:val="en-US" w:eastAsia="zh-CN"/>
              </w:rPr>
              <w:t>办公耗材</w:t>
            </w:r>
            <w:r>
              <w:rPr>
                <w:rFonts w:hint="eastAsia" w:ascii="宋体"/>
                <w:u w:val="single"/>
              </w:rPr>
              <w:t>消耗采用</w:t>
            </w:r>
            <w:r>
              <w:rPr>
                <w:rFonts w:hint="eastAsia" w:ascii="宋体"/>
                <w:u w:val="single"/>
                <w:lang w:val="en-US" w:eastAsia="zh-CN"/>
              </w:rPr>
              <w:t>节能</w:t>
            </w:r>
            <w:r>
              <w:rPr>
                <w:rFonts w:hint="eastAsia" w:ascii="宋体"/>
                <w:u w:val="single"/>
              </w:rPr>
              <w:t>设施、日常运行控制；火灾禁止烟火，</w:t>
            </w:r>
            <w:r>
              <w:rPr>
                <w:rFonts w:hint="eastAsia" w:ascii="宋体" w:hAnsi="宋体"/>
                <w:u w:val="single"/>
              </w:rPr>
              <w:t>规范用电防火</w:t>
            </w:r>
            <w:r>
              <w:rPr>
                <w:rFonts w:hint="eastAsia" w:ascii="宋体"/>
                <w:u w:val="single"/>
              </w:rPr>
              <w:t>，配备消防设施；</w:t>
            </w:r>
            <w:r>
              <w:rPr>
                <w:rFonts w:hint="eastAsia" w:ascii="宋体"/>
                <w:u w:val="single"/>
                <w:lang w:val="en-US" w:eastAsia="zh-CN"/>
              </w:rPr>
              <w:t>固体废弃物</w:t>
            </w:r>
            <w:r>
              <w:rPr>
                <w:rFonts w:hint="eastAsia" w:ascii="宋体"/>
                <w:u w:val="single"/>
              </w:rPr>
              <w:t>执行运行控制</w:t>
            </w:r>
            <w:r>
              <w:rPr>
                <w:rFonts w:hint="eastAsia" w:ascii="宋体"/>
                <w:u w:val="single"/>
                <w:lang w:eastAsia="zh-CN"/>
              </w:rPr>
              <w:t>、</w:t>
            </w:r>
            <w:r>
              <w:rPr>
                <w:rFonts w:hint="eastAsia" w:ascii="宋体"/>
                <w:u w:val="single"/>
                <w:lang w:val="en-US" w:eastAsia="zh-CN"/>
              </w:rPr>
              <w:t>分类回收管控及处理，</w:t>
            </w:r>
            <w:r>
              <w:rPr>
                <w:rFonts w:hint="eastAsia" w:ascii="宋体"/>
                <w:u w:val="single"/>
              </w:rPr>
              <w:t>管理方案控制重要环境因素</w:t>
            </w:r>
            <w:r>
              <w:rPr>
                <w:rFonts w:hint="eastAsia" w:ascii="宋体" w:hAnsi="宋体"/>
                <w:u w:val="single"/>
              </w:rPr>
              <w:t>。</w:t>
            </w:r>
          </w:p>
          <w:p>
            <w:pPr>
              <w:adjustRightInd w:val="0"/>
              <w:spacing w:line="360" w:lineRule="auto"/>
              <w:jc w:val="left"/>
              <w:rPr>
                <w:rFonts w:ascii="宋体" w:hAnsi="宋体"/>
              </w:rPr>
            </w:pPr>
            <w:r>
              <w:rPr>
                <w:rFonts w:hint="eastAsia" w:ascii="宋体" w:hAnsi="宋体"/>
              </w:rPr>
              <w:t>--存在问题：</w:t>
            </w:r>
          </w:p>
          <w:p>
            <w:pPr>
              <w:adjustRightInd w:val="0"/>
              <w:spacing w:line="360" w:lineRule="auto"/>
              <w:jc w:val="left"/>
              <w:rPr>
                <w:rFonts w:ascii="宋体" w:hAnsi="宋体"/>
                <w:szCs w:val="21"/>
              </w:rPr>
            </w:pPr>
            <w:r>
              <w:rPr>
                <w:rFonts w:hint="eastAsia" w:ascii="宋体" w:hAnsi="宋体"/>
              </w:rPr>
              <w:t>c.</w:t>
            </w:r>
            <w:r>
              <w:rPr>
                <w:rFonts w:hint="eastAsia" w:ascii="宋体" w:hAnsi="宋体"/>
                <w:szCs w:val="21"/>
              </w:rPr>
              <w:t xml:space="preserve"> 监测报告提供情况：</w:t>
            </w:r>
          </w:p>
          <w:p>
            <w:pPr>
              <w:adjustRightInd w:val="0"/>
              <w:spacing w:line="360" w:lineRule="auto"/>
              <w:jc w:val="left"/>
              <w:rPr>
                <w:rFonts w:ascii="宋体" w:hAnsi="宋体"/>
                <w:szCs w:val="21"/>
              </w:rPr>
            </w:pPr>
            <w:r>
              <w:rPr>
                <w:rFonts w:hint="eastAsia" w:ascii="宋体" w:hAnsi="宋体"/>
                <w:sz w:val="18"/>
                <w:szCs w:val="18"/>
              </w:rPr>
              <w:t>■</w:t>
            </w:r>
            <w:r>
              <w:rPr>
                <w:rFonts w:hint="eastAsia" w:ascii="宋体" w:hAnsi="宋体"/>
                <w:szCs w:val="21"/>
              </w:rPr>
              <w:t>提供了</w:t>
            </w:r>
            <w:r>
              <w:rPr>
                <w:rFonts w:ascii="宋体" w:hAnsi="宋体"/>
                <w:szCs w:val="21"/>
                <w:u w:val="single"/>
              </w:rPr>
              <w:t xml:space="preserve">                  </w:t>
            </w:r>
          </w:p>
          <w:p>
            <w:pPr>
              <w:adjustRightInd w:val="0"/>
              <w:spacing w:line="360" w:lineRule="auto"/>
              <w:jc w:val="left"/>
              <w:rPr>
                <w:rFonts w:ascii="宋体"/>
                <w:szCs w:val="21"/>
              </w:rPr>
            </w:pPr>
            <w:r>
              <w:rPr>
                <w:rFonts w:hint="eastAsia" w:ascii="宋体" w:hAnsi="宋体"/>
                <w:szCs w:val="21"/>
              </w:rPr>
              <w:t>监 测结果为：</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ind w:firstLine="210" w:firstLineChars="100"/>
              <w:jc w:val="left"/>
              <w:rPr>
                <w:rFonts w:hint="eastAsia" w:ascii="宋体" w:hAnsi="宋体"/>
                <w:u w:val="single"/>
              </w:rPr>
            </w:pPr>
            <w:r>
              <w:rPr>
                <w:rFonts w:hint="eastAsia" w:ascii="宋体" w:hAnsi="宋体"/>
                <w:u w:val="single"/>
                <w:lang w:val="en-US" w:eastAsia="zh-CN"/>
              </w:rPr>
              <w:t>重大危险源</w:t>
            </w:r>
            <w:r>
              <w:rPr>
                <w:rFonts w:hint="eastAsia" w:ascii="宋体" w:hAnsi="宋体"/>
                <w:u w:val="single"/>
              </w:rPr>
              <w:t>触电伤害、火灾</w:t>
            </w:r>
            <w:r>
              <w:rPr>
                <w:rFonts w:hint="eastAsia" w:ascii="宋体" w:hAnsi="宋体"/>
                <w:u w:val="single"/>
                <w:lang w:val="en-US" w:eastAsia="zh-CN"/>
              </w:rPr>
              <w:t>发生</w:t>
            </w:r>
            <w:r>
              <w:rPr>
                <w:rFonts w:hint="eastAsia" w:ascii="宋体" w:hAnsi="宋体"/>
                <w:u w:val="single"/>
              </w:rPr>
              <w:t>、</w:t>
            </w:r>
            <w:r>
              <w:rPr>
                <w:rFonts w:hint="eastAsia" w:ascii="宋体" w:hAnsi="宋体"/>
                <w:u w:val="single"/>
                <w:lang w:val="en-US" w:eastAsia="zh-CN"/>
              </w:rPr>
              <w:t>意外伤害（交通事故等</w:t>
            </w:r>
            <w:r>
              <w:rPr>
                <w:rFonts w:hint="eastAsia" w:ascii="宋体" w:hAnsi="宋体"/>
                <w:u w:val="single"/>
                <w:lang w:eastAsia="zh-CN"/>
              </w:rPr>
              <w:t>）</w:t>
            </w:r>
            <w:r>
              <w:rPr>
                <w:rFonts w:hint="eastAsia" w:ascii="宋体" w:hAnsi="宋体"/>
                <w:u w:val="single"/>
                <w:lang w:val="en-US" w:eastAsia="zh-CN"/>
              </w:rPr>
              <w:t>三</w:t>
            </w:r>
            <w:r>
              <w:rPr>
                <w:rFonts w:hint="eastAsia" w:ascii="宋体" w:hAnsi="宋体"/>
                <w:u w:val="single"/>
              </w:rPr>
              <w:t>项重大危险源，</w:t>
            </w:r>
            <w:r>
              <w:rPr>
                <w:rFonts w:hint="eastAsia" w:ascii="宋体" w:hAnsi="宋体"/>
                <w:u w:val="single"/>
              </w:rPr>
              <w:t>企业通过目标指标和管理方案、管理规定、运行控制、应急预案、检查控制、教育培训</w:t>
            </w:r>
            <w:r>
              <w:rPr>
                <w:rFonts w:hint="eastAsia" w:ascii="宋体" w:hAnsi="宋体"/>
                <w:u w:val="single"/>
              </w:rPr>
              <w:t>，控制重大风险的发生。</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 w:val="18"/>
                <w:szCs w:val="18"/>
              </w:rPr>
              <w:t>■</w:t>
            </w:r>
            <w:r>
              <w:rPr>
                <w:rFonts w:hint="eastAsia" w:ascii="宋体" w:hAnsi="宋体"/>
                <w:szCs w:val="21"/>
              </w:rPr>
              <w:t>未提供，说明：</w:t>
            </w:r>
            <w:r>
              <w:rPr>
                <w:rFonts w:ascii="宋体" w:hAnsi="宋体"/>
                <w:szCs w:val="21"/>
                <w:u w:val="single"/>
              </w:rPr>
              <w:t xml:space="preserve">   企业</w:t>
            </w:r>
            <w:r>
              <w:rPr>
                <w:rFonts w:hint="eastAsia" w:ascii="宋体" w:hAnsi="宋体"/>
                <w:szCs w:val="21"/>
                <w:u w:val="single"/>
              </w:rPr>
              <w:t>主要为</w:t>
            </w:r>
            <w:r>
              <w:rPr>
                <w:rFonts w:hint="eastAsia" w:ascii="宋体" w:hAnsi="宋体"/>
                <w:szCs w:val="21"/>
                <w:u w:val="single"/>
                <w:lang w:val="en-US" w:eastAsia="zh-CN"/>
              </w:rPr>
              <w:t>办公及业务活动</w:t>
            </w:r>
            <w:r>
              <w:rPr>
                <w:rFonts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djustRightInd w:val="0"/>
              <w:spacing w:line="360" w:lineRule="auto"/>
              <w:jc w:val="left"/>
            </w:pPr>
          </w:p>
        </w:tc>
        <w:tc>
          <w:tcPr>
            <w:tcW w:w="12297" w:type="dxa"/>
          </w:tcPr>
          <w:p>
            <w:pPr>
              <w:adjustRightInd w:val="0"/>
              <w:spacing w:line="360" w:lineRule="auto"/>
              <w:jc w:val="left"/>
              <w:rPr>
                <w:rFonts w:hint="default" w:ascii="宋体" w:hAnsi="宋体" w:eastAsia="宋体"/>
                <w:szCs w:val="21"/>
                <w:lang w:val="en-US" w:eastAsia="zh-CN"/>
              </w:rPr>
            </w:pPr>
            <w:r>
              <w:rPr>
                <w:rFonts w:hint="eastAsia" w:ascii="宋体" w:hAnsi="宋体"/>
                <w:szCs w:val="21"/>
              </w:rPr>
              <w:t>应急预案及演练，编制了</w:t>
            </w:r>
            <w:r>
              <w:rPr>
                <w:rFonts w:hint="eastAsia" w:ascii="宋体" w:hAnsi="宋体"/>
                <w:szCs w:val="21"/>
                <w:lang w:val="en-US" w:eastAsia="zh-CN"/>
              </w:rPr>
              <w:t>火灾、触电</w:t>
            </w:r>
            <w:r>
              <w:rPr>
                <w:rFonts w:hint="eastAsia" w:ascii="宋体" w:hAnsi="宋体"/>
                <w:szCs w:val="21"/>
              </w:rPr>
              <w:t>应急预案，202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.2</w:t>
            </w:r>
            <w:r>
              <w:rPr>
                <w:rFonts w:hint="eastAsia" w:ascii="宋体" w:hAnsi="宋体"/>
                <w:szCs w:val="21"/>
                <w:lang w:val="en-US" w:eastAsia="zh-CN"/>
              </w:rPr>
              <w:t>5</w:t>
            </w:r>
            <w:r>
              <w:rPr>
                <w:rFonts w:hint="eastAsia" w:ascii="宋体" w:hAnsi="宋体"/>
                <w:szCs w:val="21"/>
              </w:rPr>
              <w:t>日进行了火灾</w:t>
            </w:r>
            <w:r>
              <w:rPr>
                <w:rFonts w:hint="eastAsia" w:ascii="宋体" w:hAnsi="宋体"/>
                <w:szCs w:val="21"/>
                <w:lang w:val="en-US" w:eastAsia="zh-CN"/>
              </w:rPr>
              <w:t>疏散</w:t>
            </w:r>
            <w:r>
              <w:rPr>
                <w:rFonts w:hint="eastAsia" w:ascii="宋体" w:hAnsi="宋体"/>
                <w:szCs w:val="21"/>
              </w:rPr>
              <w:t>应急演练，</w:t>
            </w:r>
            <w:r>
              <w:rPr>
                <w:rFonts w:hint="eastAsia" w:ascii="宋体" w:hAnsi="宋体"/>
                <w:szCs w:val="21"/>
                <w:lang w:val="en-US" w:eastAsia="zh-CN"/>
              </w:rPr>
              <w:t>明确逃生路径</w:t>
            </w:r>
            <w:r>
              <w:rPr>
                <w:rFonts w:hint="eastAsia" w:ascii="宋体" w:hAnsi="宋体"/>
                <w:szCs w:val="21"/>
              </w:rPr>
              <w:t>；现场</w:t>
            </w:r>
            <w:r>
              <w:rPr>
                <w:rFonts w:hint="eastAsia" w:ascii="宋体" w:hAnsi="宋体"/>
                <w:szCs w:val="21"/>
                <w:lang w:val="en-US" w:eastAsia="zh-CN"/>
              </w:rPr>
              <w:t>配备充分</w:t>
            </w:r>
            <w:r>
              <w:rPr>
                <w:rFonts w:hint="eastAsia" w:ascii="宋体" w:hAnsi="宋体"/>
                <w:szCs w:val="21"/>
              </w:rPr>
              <w:t>灭火器</w:t>
            </w:r>
            <w:r>
              <w:rPr>
                <w:rFonts w:hint="eastAsia" w:ascii="宋体" w:hAnsi="宋体"/>
                <w:szCs w:val="21"/>
                <w:lang w:eastAsia="zh-CN"/>
              </w:rPr>
              <w:t>，</w:t>
            </w:r>
            <w:r>
              <w:rPr>
                <w:rFonts w:hint="eastAsia" w:ascii="宋体" w:hAnsi="宋体"/>
                <w:szCs w:val="21"/>
                <w:lang w:val="en-US" w:eastAsia="zh-CN"/>
              </w:rPr>
              <w:t>正常有效。</w:t>
            </w:r>
          </w:p>
        </w:tc>
        <w:tc>
          <w:tcPr>
            <w:tcW w:w="1400" w:type="dxa"/>
          </w:tcPr>
          <w:p>
            <w:pPr>
              <w:adjustRightInd w:val="0"/>
              <w:spacing w:line="360" w:lineRule="auto"/>
              <w:jc w:val="left"/>
            </w:pPr>
            <w:r>
              <w:t>Ok</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60125"/>
    <w:rsid w:val="00074C0E"/>
    <w:rsid w:val="000A06B2"/>
    <w:rsid w:val="000A3CEE"/>
    <w:rsid w:val="000B6248"/>
    <w:rsid w:val="000C3ED3"/>
    <w:rsid w:val="00105A91"/>
    <w:rsid w:val="001074C3"/>
    <w:rsid w:val="00133609"/>
    <w:rsid w:val="001642CB"/>
    <w:rsid w:val="00165349"/>
    <w:rsid w:val="0017125D"/>
    <w:rsid w:val="00171578"/>
    <w:rsid w:val="0017472A"/>
    <w:rsid w:val="0017552D"/>
    <w:rsid w:val="00176F76"/>
    <w:rsid w:val="00180E1D"/>
    <w:rsid w:val="0019618A"/>
    <w:rsid w:val="001A2D7F"/>
    <w:rsid w:val="001A34D1"/>
    <w:rsid w:val="001A7F36"/>
    <w:rsid w:val="001B046E"/>
    <w:rsid w:val="001D4C22"/>
    <w:rsid w:val="001E6427"/>
    <w:rsid w:val="002074BA"/>
    <w:rsid w:val="002414A0"/>
    <w:rsid w:val="00241692"/>
    <w:rsid w:val="0024268F"/>
    <w:rsid w:val="00265D8D"/>
    <w:rsid w:val="002A61EC"/>
    <w:rsid w:val="002E38EC"/>
    <w:rsid w:val="002F73A2"/>
    <w:rsid w:val="00336E81"/>
    <w:rsid w:val="00337922"/>
    <w:rsid w:val="00340867"/>
    <w:rsid w:val="003408A6"/>
    <w:rsid w:val="003428F1"/>
    <w:rsid w:val="0036065E"/>
    <w:rsid w:val="00380837"/>
    <w:rsid w:val="003B5686"/>
    <w:rsid w:val="003C32F3"/>
    <w:rsid w:val="00404565"/>
    <w:rsid w:val="004046D6"/>
    <w:rsid w:val="00406388"/>
    <w:rsid w:val="00410914"/>
    <w:rsid w:val="00415094"/>
    <w:rsid w:val="0044775D"/>
    <w:rsid w:val="00451A33"/>
    <w:rsid w:val="00452599"/>
    <w:rsid w:val="0046123C"/>
    <w:rsid w:val="0047519A"/>
    <w:rsid w:val="004958F9"/>
    <w:rsid w:val="004D31D1"/>
    <w:rsid w:val="004E2167"/>
    <w:rsid w:val="00514870"/>
    <w:rsid w:val="0052036F"/>
    <w:rsid w:val="00523E16"/>
    <w:rsid w:val="00535804"/>
    <w:rsid w:val="00536930"/>
    <w:rsid w:val="00564E53"/>
    <w:rsid w:val="00573DE6"/>
    <w:rsid w:val="005803D3"/>
    <w:rsid w:val="005A4EA8"/>
    <w:rsid w:val="005E60A4"/>
    <w:rsid w:val="00613976"/>
    <w:rsid w:val="00644FE2"/>
    <w:rsid w:val="00647E35"/>
    <w:rsid w:val="006522FC"/>
    <w:rsid w:val="00663E5D"/>
    <w:rsid w:val="00667C55"/>
    <w:rsid w:val="0067640C"/>
    <w:rsid w:val="00686A56"/>
    <w:rsid w:val="006A2397"/>
    <w:rsid w:val="006C013F"/>
    <w:rsid w:val="006E678B"/>
    <w:rsid w:val="006F096F"/>
    <w:rsid w:val="0070379B"/>
    <w:rsid w:val="00720D57"/>
    <w:rsid w:val="00730EDB"/>
    <w:rsid w:val="00732E96"/>
    <w:rsid w:val="0074378E"/>
    <w:rsid w:val="00751C6C"/>
    <w:rsid w:val="007658D0"/>
    <w:rsid w:val="007757F3"/>
    <w:rsid w:val="00776F3F"/>
    <w:rsid w:val="00777A1C"/>
    <w:rsid w:val="0078748A"/>
    <w:rsid w:val="007A5B3A"/>
    <w:rsid w:val="007B7AFA"/>
    <w:rsid w:val="007C67EB"/>
    <w:rsid w:val="007D0127"/>
    <w:rsid w:val="007E311A"/>
    <w:rsid w:val="007E6AEB"/>
    <w:rsid w:val="00806119"/>
    <w:rsid w:val="00824194"/>
    <w:rsid w:val="00826420"/>
    <w:rsid w:val="0084049E"/>
    <w:rsid w:val="00871C15"/>
    <w:rsid w:val="00881E93"/>
    <w:rsid w:val="00895C84"/>
    <w:rsid w:val="008973EE"/>
    <w:rsid w:val="008B0E17"/>
    <w:rsid w:val="008C7D6A"/>
    <w:rsid w:val="008E438A"/>
    <w:rsid w:val="00963B80"/>
    <w:rsid w:val="00971600"/>
    <w:rsid w:val="00977BD1"/>
    <w:rsid w:val="0098311E"/>
    <w:rsid w:val="0099628F"/>
    <w:rsid w:val="009973B4"/>
    <w:rsid w:val="009A750E"/>
    <w:rsid w:val="009B2AC1"/>
    <w:rsid w:val="009B305B"/>
    <w:rsid w:val="009C4740"/>
    <w:rsid w:val="009E6D13"/>
    <w:rsid w:val="009F7EED"/>
    <w:rsid w:val="00A05720"/>
    <w:rsid w:val="00A12B59"/>
    <w:rsid w:val="00A165E5"/>
    <w:rsid w:val="00A25018"/>
    <w:rsid w:val="00A34C54"/>
    <w:rsid w:val="00A36241"/>
    <w:rsid w:val="00A3745D"/>
    <w:rsid w:val="00A6254E"/>
    <w:rsid w:val="00A9257E"/>
    <w:rsid w:val="00AB6A98"/>
    <w:rsid w:val="00AC2307"/>
    <w:rsid w:val="00AC6810"/>
    <w:rsid w:val="00AE6A70"/>
    <w:rsid w:val="00AF0AAB"/>
    <w:rsid w:val="00AF199F"/>
    <w:rsid w:val="00AF776F"/>
    <w:rsid w:val="00B0375D"/>
    <w:rsid w:val="00B07D82"/>
    <w:rsid w:val="00B258C1"/>
    <w:rsid w:val="00B92295"/>
    <w:rsid w:val="00BA7504"/>
    <w:rsid w:val="00BE40B7"/>
    <w:rsid w:val="00BF597E"/>
    <w:rsid w:val="00C0792D"/>
    <w:rsid w:val="00C35618"/>
    <w:rsid w:val="00C51A36"/>
    <w:rsid w:val="00C55228"/>
    <w:rsid w:val="00C8266A"/>
    <w:rsid w:val="00CC0A41"/>
    <w:rsid w:val="00CC2A25"/>
    <w:rsid w:val="00CD1546"/>
    <w:rsid w:val="00CD6EF1"/>
    <w:rsid w:val="00CE315A"/>
    <w:rsid w:val="00D04B22"/>
    <w:rsid w:val="00D057C7"/>
    <w:rsid w:val="00D06F59"/>
    <w:rsid w:val="00D1612F"/>
    <w:rsid w:val="00D22989"/>
    <w:rsid w:val="00D31DB6"/>
    <w:rsid w:val="00D416AC"/>
    <w:rsid w:val="00D8388C"/>
    <w:rsid w:val="00DA6B59"/>
    <w:rsid w:val="00DB1213"/>
    <w:rsid w:val="00DC46BA"/>
    <w:rsid w:val="00DC5ACC"/>
    <w:rsid w:val="00DD373A"/>
    <w:rsid w:val="00DD43A6"/>
    <w:rsid w:val="00DE147C"/>
    <w:rsid w:val="00DE7A72"/>
    <w:rsid w:val="00E221F2"/>
    <w:rsid w:val="00E327DF"/>
    <w:rsid w:val="00E4772D"/>
    <w:rsid w:val="00E94351"/>
    <w:rsid w:val="00EB0164"/>
    <w:rsid w:val="00ED0F62"/>
    <w:rsid w:val="00ED624B"/>
    <w:rsid w:val="00F01B62"/>
    <w:rsid w:val="00F32FD0"/>
    <w:rsid w:val="00F34B8C"/>
    <w:rsid w:val="00F71ED3"/>
    <w:rsid w:val="00F7233D"/>
    <w:rsid w:val="00FA6445"/>
    <w:rsid w:val="00FD517F"/>
    <w:rsid w:val="00FE243A"/>
    <w:rsid w:val="00FE31AB"/>
    <w:rsid w:val="00FE3795"/>
    <w:rsid w:val="00FF0626"/>
    <w:rsid w:val="108219C2"/>
    <w:rsid w:val="155C112E"/>
    <w:rsid w:val="19142F08"/>
    <w:rsid w:val="1ACC7E25"/>
    <w:rsid w:val="1AD50E3D"/>
    <w:rsid w:val="1AF104CA"/>
    <w:rsid w:val="1EE667ED"/>
    <w:rsid w:val="218665C4"/>
    <w:rsid w:val="26D567CD"/>
    <w:rsid w:val="2A9B4AA5"/>
    <w:rsid w:val="32C97927"/>
    <w:rsid w:val="3C6D7E9C"/>
    <w:rsid w:val="434A7422"/>
    <w:rsid w:val="49240F79"/>
    <w:rsid w:val="4A696F93"/>
    <w:rsid w:val="596B1ED0"/>
    <w:rsid w:val="5EA12B9A"/>
    <w:rsid w:val="61606D30"/>
    <w:rsid w:val="66E0730F"/>
    <w:rsid w:val="6A246A6F"/>
    <w:rsid w:val="6A6C18BC"/>
    <w:rsid w:val="6B0708D7"/>
    <w:rsid w:val="71A947C6"/>
    <w:rsid w:val="75596AC5"/>
    <w:rsid w:val="76AC3E79"/>
    <w:rsid w:val="77EE5DAE"/>
    <w:rsid w:val="78DF0225"/>
    <w:rsid w:val="79A0352B"/>
    <w:rsid w:val="79B653C2"/>
    <w:rsid w:val="7ADA418B"/>
    <w:rsid w:val="7CDC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spacing w:line="460" w:lineRule="exact"/>
      <w:outlineLvl w:val="2"/>
    </w:pPr>
    <w:rPr>
      <w:rFonts w:ascii="Verdana" w:hAnsi="Verdana"/>
      <w:b/>
      <w:bCs/>
      <w:color w:val="333333"/>
      <w:sz w:val="20"/>
      <w:szCs w:val="1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333</Words>
  <Characters>1903</Characters>
  <Lines>15</Lines>
  <Paragraphs>4</Paragraphs>
  <TotalTime>14</TotalTime>
  <ScaleCrop>false</ScaleCrop>
  <LinksUpToDate>false</LinksUpToDate>
  <CharactersWithSpaces>2232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cp:lastPrinted>2019-06-14T02:57:00Z</cp:lastPrinted>
  <dcterms:modified xsi:type="dcterms:W3CDTF">2021-08-05T09:00:57Z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48DE683372F4438DBA15755C9C11585D</vt:lpwstr>
  </property>
</Properties>
</file>