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Lines="50" w:line="360" w:lineRule="exact"/>
        <w:jc w:val="center"/>
        <w:rPr>
          <w:rFonts w:asciiTheme="minorEastAsia" w:hAnsiTheme="minorEastAsia" w:eastAsiaTheme="minorEastAsia"/>
          <w:b/>
          <w:sz w:val="18"/>
          <w:szCs w:val="18"/>
        </w:rPr>
      </w:pPr>
      <w:r>
        <w:rPr>
          <w:rFonts w:hint="eastAsia" w:asciiTheme="minorEastAsia" w:hAnsiTheme="minorEastAsia" w:eastAsiaTheme="minorEastAsia"/>
          <w:b/>
          <w:sz w:val="30"/>
          <w:szCs w:val="30"/>
        </w:rPr>
        <w:t>专业培训记录</w:t>
      </w:r>
    </w:p>
    <w:p>
      <w:pPr>
        <w:snapToGrid w:val="0"/>
        <w:spacing w:afterLines="50" w:line="320" w:lineRule="exact"/>
        <w:rPr>
          <w:rFonts w:eastAsia="隶书"/>
          <w:b/>
          <w:sz w:val="22"/>
          <w:szCs w:val="22"/>
        </w:rPr>
      </w:pPr>
      <w:r>
        <w:rPr>
          <w:rFonts w:hint="eastAsia" w:ascii="宋体" w:hAnsi="宋体" w:eastAsia="宋体" w:cs="宋体"/>
          <w:b/>
          <w:sz w:val="22"/>
          <w:szCs w:val="22"/>
        </w:rPr>
        <w:t>█</w:t>
      </w:r>
      <w:r>
        <w:rPr>
          <w:rFonts w:hint="eastAsia"/>
          <w:b/>
          <w:sz w:val="22"/>
          <w:szCs w:val="22"/>
        </w:rPr>
        <w:t xml:space="preserve">QMS  </w:t>
      </w:r>
      <w:r>
        <w:rPr>
          <w:rFonts w:hint="eastAsia" w:ascii="宋体" w:hAnsi="宋体" w:eastAsia="宋体" w:cs="宋体"/>
          <w:b/>
          <w:sz w:val="22"/>
          <w:szCs w:val="22"/>
        </w:rPr>
        <w:t>█</w:t>
      </w:r>
      <w:r>
        <w:rPr>
          <w:rFonts w:hint="eastAsia"/>
          <w:b/>
          <w:sz w:val="22"/>
          <w:szCs w:val="22"/>
        </w:rPr>
        <w:t xml:space="preserve">EMS  </w:t>
      </w:r>
      <w:r>
        <w:rPr>
          <w:rFonts w:hint="eastAsia" w:ascii="宋体" w:hAnsi="宋体" w:eastAsia="宋体" w:cs="宋体"/>
          <w:b/>
          <w:sz w:val="22"/>
          <w:szCs w:val="22"/>
        </w:rPr>
        <w:t>█</w:t>
      </w:r>
      <w:r>
        <w:rPr>
          <w:rFonts w:hint="eastAsia"/>
          <w:b/>
          <w:sz w:val="22"/>
          <w:szCs w:val="22"/>
        </w:rPr>
        <w:t xml:space="preserve">OHSMS </w:t>
      </w:r>
    </w:p>
    <w:tbl>
      <w:tblPr>
        <w:tblStyle w:val="7"/>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374"/>
        <w:gridCol w:w="1156"/>
        <w:gridCol w:w="1290"/>
        <w:gridCol w:w="1406"/>
        <w:gridCol w:w="1819"/>
        <w:gridCol w:w="13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受审核方</w:t>
            </w:r>
          </w:p>
        </w:tc>
        <w:tc>
          <w:tcPr>
            <w:tcW w:w="5226" w:type="dxa"/>
            <w:gridSpan w:val="4"/>
            <w:vAlign w:val="center"/>
          </w:tcPr>
          <w:p>
            <w:pPr>
              <w:snapToGrid w:val="0"/>
              <w:spacing w:line="280" w:lineRule="exact"/>
              <w:jc w:val="center"/>
              <w:rPr>
                <w:b/>
                <w:sz w:val="20"/>
              </w:rPr>
            </w:pPr>
            <w:bookmarkStart w:id="0" w:name="组织名称"/>
            <w:r>
              <w:rPr>
                <w:color w:val="000000"/>
                <w:szCs w:val="21"/>
              </w:rPr>
              <w:t>北京瑞纳旭邦科技有限公司</w:t>
            </w:r>
            <w:bookmarkEnd w:id="0"/>
          </w:p>
        </w:tc>
        <w:tc>
          <w:tcPr>
            <w:tcW w:w="1819" w:type="dxa"/>
            <w:vAlign w:val="center"/>
          </w:tcPr>
          <w:p>
            <w:pPr>
              <w:snapToGrid w:val="0"/>
              <w:spacing w:line="280" w:lineRule="exact"/>
              <w:ind w:left="52"/>
              <w:jc w:val="center"/>
              <w:rPr>
                <w:b/>
                <w:sz w:val="22"/>
                <w:szCs w:val="22"/>
              </w:rPr>
            </w:pPr>
            <w:r>
              <w:rPr>
                <w:rFonts w:hint="eastAsia"/>
                <w:b/>
                <w:sz w:val="22"/>
                <w:szCs w:val="22"/>
              </w:rPr>
              <w:t>专业小类/</w:t>
            </w:r>
          </w:p>
          <w:p>
            <w:pPr>
              <w:snapToGrid w:val="0"/>
              <w:spacing w:line="280" w:lineRule="exact"/>
              <w:ind w:left="52"/>
              <w:jc w:val="center"/>
              <w:rPr>
                <w:b/>
                <w:sz w:val="22"/>
                <w:szCs w:val="22"/>
              </w:rPr>
            </w:pPr>
            <w:r>
              <w:rPr>
                <w:rFonts w:hint="eastAsia"/>
                <w:b/>
                <w:sz w:val="22"/>
                <w:szCs w:val="22"/>
              </w:rPr>
              <w:t>项目代码</w:t>
            </w:r>
          </w:p>
        </w:tc>
        <w:tc>
          <w:tcPr>
            <w:tcW w:w="1379" w:type="dxa"/>
            <w:vAlign w:val="center"/>
          </w:tcPr>
          <w:p>
            <w:pPr>
              <w:snapToGrid w:val="0"/>
              <w:spacing w:line="280" w:lineRule="exact"/>
              <w:ind w:left="52"/>
              <w:jc w:val="center"/>
              <w:rPr>
                <w:b/>
                <w:sz w:val="20"/>
              </w:rPr>
            </w:pPr>
            <w:bookmarkStart w:id="1" w:name="专业代码"/>
            <w:r>
              <w:rPr>
                <w:b/>
                <w:sz w:val="20"/>
              </w:rPr>
              <w:t>Q：19.16.00</w:t>
            </w:r>
          </w:p>
          <w:p>
            <w:pPr>
              <w:snapToGrid w:val="0"/>
              <w:spacing w:line="280" w:lineRule="exact"/>
              <w:ind w:left="52"/>
              <w:jc w:val="center"/>
              <w:rPr>
                <w:b/>
                <w:sz w:val="20"/>
              </w:rPr>
            </w:pPr>
            <w:r>
              <w:rPr>
                <w:b/>
                <w:sz w:val="20"/>
              </w:rPr>
              <w:t>E：19.16.00</w:t>
            </w:r>
          </w:p>
          <w:p>
            <w:pPr>
              <w:snapToGrid w:val="0"/>
              <w:spacing w:line="280" w:lineRule="exact"/>
              <w:ind w:left="52"/>
              <w:jc w:val="center"/>
              <w:rPr>
                <w:rFonts w:hint="default" w:eastAsia="宋体"/>
                <w:b w:val="0"/>
                <w:bCs/>
                <w:sz w:val="21"/>
                <w:szCs w:val="21"/>
                <w:lang w:val="en-US" w:eastAsia="zh-CN"/>
              </w:rPr>
            </w:pPr>
            <w:r>
              <w:rPr>
                <w:b/>
                <w:sz w:val="20"/>
              </w:rPr>
              <w:t>O：19.16.00</w:t>
            </w:r>
            <w:bookmarkEnd w:id="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0" w:type="dxa"/>
            <w:gridSpan w:val="2"/>
            <w:vAlign w:val="center"/>
          </w:tcPr>
          <w:p>
            <w:pPr>
              <w:snapToGrid w:val="0"/>
              <w:spacing w:line="280" w:lineRule="exact"/>
              <w:jc w:val="center"/>
              <w:rPr>
                <w:rFonts w:hint="eastAsia" w:eastAsia="宋体"/>
                <w:b/>
                <w:sz w:val="20"/>
                <w:lang w:val="en-US" w:eastAsia="zh-CN"/>
              </w:rPr>
            </w:pPr>
            <w:r>
              <w:rPr>
                <w:rFonts w:hint="eastAsia"/>
                <w:sz w:val="18"/>
                <w:szCs w:val="18"/>
              </w:rPr>
              <w:t>李京田</w:t>
            </w:r>
          </w:p>
        </w:tc>
        <w:tc>
          <w:tcPr>
            <w:tcW w:w="1290" w:type="dxa"/>
            <w:vAlign w:val="center"/>
          </w:tcPr>
          <w:p>
            <w:pPr>
              <w:snapToGrid w:val="0"/>
              <w:spacing w:line="280" w:lineRule="exact"/>
              <w:jc w:val="center"/>
              <w:rPr>
                <w:b/>
                <w:sz w:val="22"/>
                <w:szCs w:val="22"/>
              </w:rPr>
            </w:pPr>
            <w:r>
              <w:rPr>
                <w:rFonts w:hint="eastAsia"/>
                <w:b/>
                <w:sz w:val="22"/>
                <w:szCs w:val="22"/>
              </w:rPr>
              <w:t>专业</w:t>
            </w:r>
          </w:p>
        </w:tc>
        <w:tc>
          <w:tcPr>
            <w:tcW w:w="1406" w:type="dxa"/>
            <w:vAlign w:val="center"/>
          </w:tcPr>
          <w:p>
            <w:pPr>
              <w:snapToGrid w:val="0"/>
              <w:spacing w:line="280" w:lineRule="exact"/>
              <w:ind w:left="52"/>
              <w:jc w:val="center"/>
              <w:rPr>
                <w:b/>
                <w:sz w:val="20"/>
              </w:rPr>
            </w:pPr>
            <w:r>
              <w:rPr>
                <w:b/>
                <w:sz w:val="20"/>
              </w:rPr>
              <w:t>Q：19.16.00</w:t>
            </w:r>
          </w:p>
          <w:p>
            <w:pPr>
              <w:snapToGrid w:val="0"/>
              <w:spacing w:line="280" w:lineRule="exact"/>
              <w:ind w:left="52"/>
              <w:jc w:val="center"/>
              <w:rPr>
                <w:b/>
                <w:sz w:val="20"/>
              </w:rPr>
            </w:pPr>
            <w:r>
              <w:rPr>
                <w:b/>
                <w:sz w:val="20"/>
              </w:rPr>
              <w:t>E：19.16.00</w:t>
            </w:r>
          </w:p>
          <w:p>
            <w:pPr>
              <w:snapToGrid w:val="0"/>
              <w:spacing w:line="280" w:lineRule="exact"/>
              <w:jc w:val="center"/>
              <w:rPr>
                <w:b/>
                <w:sz w:val="20"/>
              </w:rPr>
            </w:pPr>
            <w:r>
              <w:rPr>
                <w:b/>
                <w:sz w:val="20"/>
              </w:rPr>
              <w:t>O：19.16.00</w:t>
            </w:r>
          </w:p>
        </w:tc>
        <w:tc>
          <w:tcPr>
            <w:tcW w:w="1819" w:type="dxa"/>
            <w:vAlign w:val="center"/>
          </w:tcPr>
          <w:p>
            <w:pPr>
              <w:snapToGrid w:val="0"/>
              <w:spacing w:line="280" w:lineRule="exact"/>
              <w:jc w:val="center"/>
              <w:rPr>
                <w:b/>
                <w:sz w:val="22"/>
                <w:szCs w:val="22"/>
              </w:rPr>
            </w:pPr>
            <w:r>
              <w:rPr>
                <w:rFonts w:hint="eastAsia"/>
                <w:b/>
                <w:sz w:val="22"/>
                <w:szCs w:val="22"/>
              </w:rPr>
              <w:t>培训地点</w:t>
            </w:r>
          </w:p>
        </w:tc>
        <w:tc>
          <w:tcPr>
            <w:tcW w:w="1379" w:type="dxa"/>
            <w:vAlign w:val="center"/>
          </w:tcPr>
          <w:p>
            <w:pPr>
              <w:snapToGrid w:val="0"/>
              <w:spacing w:line="280" w:lineRule="exact"/>
              <w:jc w:val="center"/>
              <w:rPr>
                <w:rFonts w:hint="eastAsia" w:eastAsia="宋体"/>
                <w:b/>
                <w:sz w:val="20"/>
                <w:lang w:eastAsia="zh-CN"/>
              </w:rPr>
            </w:pPr>
            <w:r>
              <w:rPr>
                <w:rFonts w:hint="eastAsia"/>
                <w:b/>
                <w:sz w:val="20"/>
                <w:lang w:eastAsia="zh-CN"/>
              </w:rPr>
              <w:t>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vMerge w:val="restart"/>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tcBorders>
              <w:top w:val="single" w:color="auto" w:sz="4" w:space="0"/>
              <w:left w:val="single" w:color="auto" w:sz="4" w:space="0"/>
            </w:tcBorders>
            <w:vAlign w:val="center"/>
          </w:tcPr>
          <w:p>
            <w:pPr>
              <w:snapToGrid w:val="0"/>
              <w:jc w:val="center"/>
              <w:rPr>
                <w:b/>
                <w:sz w:val="20"/>
              </w:rPr>
            </w:pPr>
            <w:r>
              <w:rPr>
                <w:rFonts w:hint="eastAsia"/>
                <w:b/>
                <w:sz w:val="20"/>
              </w:rPr>
              <w:t>姓名</w:t>
            </w:r>
          </w:p>
        </w:tc>
        <w:tc>
          <w:tcPr>
            <w:tcW w:w="1374" w:type="dxa"/>
            <w:vAlign w:val="center"/>
          </w:tcPr>
          <w:p>
            <w:pPr>
              <w:spacing w:line="240" w:lineRule="exact"/>
              <w:rPr>
                <w:rFonts w:hint="default" w:eastAsia="宋体"/>
                <w:b/>
                <w:sz w:val="20"/>
                <w:lang w:val="en-US" w:eastAsia="zh-CN"/>
              </w:rPr>
            </w:pPr>
            <w:r>
              <w:rPr>
                <w:sz w:val="18"/>
                <w:szCs w:val="18"/>
              </w:rPr>
              <w:t>朱晓丽</w:t>
            </w:r>
          </w:p>
        </w:tc>
        <w:tc>
          <w:tcPr>
            <w:tcW w:w="1156" w:type="dxa"/>
            <w:vAlign w:val="center"/>
          </w:tcPr>
          <w:p>
            <w:pPr>
              <w:snapToGrid w:val="0"/>
              <w:spacing w:line="360" w:lineRule="exact"/>
              <w:jc w:val="center"/>
              <w:rPr>
                <w:b/>
                <w:sz w:val="20"/>
              </w:rPr>
            </w:pPr>
          </w:p>
        </w:tc>
        <w:tc>
          <w:tcPr>
            <w:tcW w:w="1290" w:type="dxa"/>
            <w:vAlign w:val="center"/>
          </w:tcPr>
          <w:p>
            <w:pPr>
              <w:snapToGrid w:val="0"/>
              <w:spacing w:line="360" w:lineRule="exact"/>
              <w:jc w:val="center"/>
              <w:rPr>
                <w:b/>
                <w:sz w:val="20"/>
              </w:rPr>
            </w:pPr>
          </w:p>
        </w:tc>
        <w:tc>
          <w:tcPr>
            <w:tcW w:w="1406" w:type="dxa"/>
            <w:vAlign w:val="center"/>
          </w:tcPr>
          <w:p>
            <w:pPr>
              <w:snapToGrid w:val="0"/>
              <w:spacing w:line="360" w:lineRule="exact"/>
              <w:jc w:val="center"/>
              <w:rPr>
                <w:b/>
                <w:sz w:val="20"/>
              </w:rPr>
            </w:pPr>
          </w:p>
        </w:tc>
        <w:tc>
          <w:tcPr>
            <w:tcW w:w="1819"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09" w:type="dxa"/>
            <w:vMerge w:val="continue"/>
            <w:tcBorders>
              <w:left w:val="single" w:color="auto" w:sz="4" w:space="0"/>
            </w:tcBorders>
            <w:vAlign w:val="center"/>
          </w:tcPr>
          <w:p>
            <w:pPr>
              <w:snapToGrid w:val="0"/>
              <w:spacing w:line="360" w:lineRule="exact"/>
              <w:jc w:val="center"/>
              <w:rPr>
                <w:b/>
                <w:sz w:val="20"/>
              </w:rPr>
            </w:pPr>
          </w:p>
        </w:tc>
        <w:tc>
          <w:tcPr>
            <w:tcW w:w="1340" w:type="dxa"/>
            <w:tcBorders>
              <w:left w:val="single" w:color="auto" w:sz="4" w:space="0"/>
            </w:tcBorders>
            <w:vAlign w:val="center"/>
          </w:tcPr>
          <w:p>
            <w:pPr>
              <w:snapToGrid w:val="0"/>
              <w:spacing w:line="280" w:lineRule="exact"/>
              <w:jc w:val="center"/>
              <w:rPr>
                <w:b/>
                <w:sz w:val="20"/>
              </w:rPr>
            </w:pPr>
            <w:r>
              <w:rPr>
                <w:rFonts w:hint="eastAsia"/>
                <w:b/>
                <w:sz w:val="20"/>
              </w:rPr>
              <w:t>专业代码</w:t>
            </w:r>
          </w:p>
        </w:tc>
        <w:tc>
          <w:tcPr>
            <w:tcW w:w="1374" w:type="dxa"/>
            <w:vAlign w:val="center"/>
          </w:tcPr>
          <w:p>
            <w:pPr>
              <w:snapToGrid w:val="0"/>
              <w:spacing w:line="280" w:lineRule="exact"/>
              <w:ind w:left="52"/>
              <w:jc w:val="center"/>
              <w:rPr>
                <w:rFonts w:hint="eastAsia" w:eastAsia="宋体"/>
                <w:b w:val="0"/>
                <w:bCs/>
                <w:sz w:val="18"/>
                <w:szCs w:val="18"/>
                <w:lang w:val="en-US" w:eastAsia="zh-CN"/>
              </w:rPr>
            </w:pPr>
            <w:r>
              <w:rPr>
                <w:rFonts w:hint="eastAsia"/>
                <w:b w:val="0"/>
                <w:bCs/>
                <w:sz w:val="18"/>
                <w:szCs w:val="18"/>
                <w:lang w:val="en-US" w:eastAsia="zh-CN"/>
              </w:rPr>
              <w:t>无</w:t>
            </w:r>
          </w:p>
        </w:tc>
        <w:tc>
          <w:tcPr>
            <w:tcW w:w="1156" w:type="dxa"/>
            <w:vAlign w:val="center"/>
          </w:tcPr>
          <w:p>
            <w:pPr>
              <w:snapToGrid w:val="0"/>
              <w:spacing w:line="280" w:lineRule="exact"/>
              <w:ind w:left="52"/>
              <w:jc w:val="center"/>
              <w:rPr>
                <w:rFonts w:hint="eastAsia"/>
                <w:b w:val="0"/>
                <w:bCs/>
                <w:sz w:val="18"/>
                <w:szCs w:val="18"/>
              </w:rPr>
            </w:pPr>
          </w:p>
        </w:tc>
        <w:tc>
          <w:tcPr>
            <w:tcW w:w="1290" w:type="dxa"/>
            <w:vAlign w:val="center"/>
          </w:tcPr>
          <w:p>
            <w:pPr>
              <w:snapToGrid w:val="0"/>
              <w:spacing w:line="360" w:lineRule="exact"/>
              <w:jc w:val="center"/>
              <w:rPr>
                <w:b/>
                <w:sz w:val="20"/>
              </w:rPr>
            </w:pPr>
          </w:p>
        </w:tc>
        <w:tc>
          <w:tcPr>
            <w:tcW w:w="1406" w:type="dxa"/>
            <w:vAlign w:val="center"/>
          </w:tcPr>
          <w:p>
            <w:pPr>
              <w:snapToGrid w:val="0"/>
              <w:spacing w:line="360" w:lineRule="exact"/>
              <w:jc w:val="center"/>
              <w:rPr>
                <w:b/>
                <w:sz w:val="20"/>
              </w:rPr>
            </w:pPr>
          </w:p>
        </w:tc>
        <w:tc>
          <w:tcPr>
            <w:tcW w:w="1819"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07"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p>
          <w:p>
            <w:pPr>
              <w:snapToGrid w:val="0"/>
              <w:spacing w:line="280" w:lineRule="exact"/>
              <w:jc w:val="center"/>
              <w:rPr>
                <w:b/>
                <w:sz w:val="20"/>
              </w:rPr>
            </w:pPr>
            <w:r>
              <w:rPr>
                <w:rFonts w:hint="eastAsia"/>
                <w:b/>
                <w:sz w:val="20"/>
              </w:rPr>
              <w:t>服务过程</w:t>
            </w:r>
          </w:p>
        </w:tc>
        <w:tc>
          <w:tcPr>
            <w:tcW w:w="8424" w:type="dxa"/>
            <w:gridSpan w:val="6"/>
            <w:vAlign w:val="center"/>
          </w:tcPr>
          <w:p>
            <w:pPr>
              <w:pStyle w:val="2"/>
              <w:rPr>
                <w:rFonts w:hint="eastAsia" w:ascii="Times New Roman" w:hAnsi="Times New Roman" w:eastAsia="宋体" w:cs="Times New Roman"/>
                <w:bCs w:val="0"/>
                <w:spacing w:val="0"/>
                <w:kern w:val="2"/>
                <w:sz w:val="21"/>
                <w:szCs w:val="21"/>
                <w:lang w:val="en-US" w:eastAsia="zh-CN" w:bidi="ar-SA"/>
              </w:rPr>
            </w:pPr>
            <w:r>
              <w:rPr>
                <w:rFonts w:hint="eastAsia" w:ascii="Times New Roman" w:hAnsi="Times New Roman" w:eastAsia="宋体" w:cs="Times New Roman"/>
                <w:bCs w:val="0"/>
                <w:spacing w:val="0"/>
                <w:kern w:val="2"/>
                <w:sz w:val="21"/>
                <w:szCs w:val="21"/>
                <w:lang w:val="en-US" w:eastAsia="zh-CN" w:bidi="ar-SA"/>
              </w:rPr>
              <w:t>例如电解设备维修流程如下：</w:t>
            </w:r>
          </w:p>
          <w:p>
            <w:pPr>
              <w:rPr>
                <w:rFonts w:hint="eastAsia" w:ascii="Times New Roman" w:hAnsi="Times New Roman" w:eastAsia="宋体" w:cs="Times New Roman"/>
                <w:bCs w:val="0"/>
                <w:spacing w:val="0"/>
                <w:kern w:val="2"/>
                <w:sz w:val="21"/>
                <w:szCs w:val="21"/>
                <w:lang w:val="en-US" w:eastAsia="zh-CN" w:bidi="ar-SA"/>
              </w:rPr>
            </w:pPr>
            <w:r>
              <w:rPr>
                <w:rFonts w:hint="eastAsia" w:ascii="Times New Roman" w:hAnsi="Times New Roman" w:eastAsia="宋体" w:cs="Times New Roman"/>
                <w:bCs w:val="0"/>
                <w:spacing w:val="0"/>
                <w:kern w:val="2"/>
                <w:sz w:val="21"/>
                <w:szCs w:val="21"/>
                <w:lang w:val="en-US" w:eastAsia="zh-CN" w:bidi="ar-SA"/>
              </w:rPr>
              <w:t>签订合同→电解设备维修→打压试漏→更换阳极网、阴极网（无弧点焊机焊接）→冲水打压→检验入库→发货</w:t>
            </w:r>
          </w:p>
          <w:p>
            <w:pPr>
              <w:snapToGrid w:val="0"/>
              <w:spacing w:line="280" w:lineRule="exact"/>
              <w:jc w:val="left"/>
              <w:rPr>
                <w:rFonts w:hint="eastAsia" w:ascii="Times New Roman" w:hAnsi="Times New Roman" w:eastAsia="宋体" w:cs="Times New Roman"/>
                <w:bCs w:val="0"/>
                <w:spacing w:val="0"/>
                <w:kern w:val="2"/>
                <w:sz w:val="21"/>
                <w:szCs w:val="21"/>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生产过程/服务过程</w:t>
            </w:r>
          </w:p>
          <w:p>
            <w:pPr>
              <w:snapToGrid w:val="0"/>
              <w:spacing w:line="280" w:lineRule="exact"/>
              <w:jc w:val="left"/>
              <w:rPr>
                <w:b/>
                <w:sz w:val="20"/>
              </w:rPr>
            </w:pPr>
            <w:r>
              <w:rPr>
                <w:rFonts w:hint="eastAsia"/>
                <w:b/>
                <w:sz w:val="20"/>
              </w:rPr>
              <w:t>的风险及控制措施</w:t>
            </w:r>
          </w:p>
          <w:p>
            <w:pPr>
              <w:snapToGrid w:val="0"/>
              <w:spacing w:line="280" w:lineRule="exact"/>
              <w:jc w:val="left"/>
              <w:rPr>
                <w:b/>
                <w:sz w:val="20"/>
              </w:rPr>
            </w:pPr>
            <w:r>
              <w:rPr>
                <w:rFonts w:hint="eastAsia"/>
                <w:b/>
                <w:sz w:val="20"/>
              </w:rPr>
              <w:t>特殊过程的控制/</w:t>
            </w:r>
          </w:p>
          <w:p>
            <w:pPr>
              <w:snapToGrid w:val="0"/>
              <w:spacing w:line="280" w:lineRule="exact"/>
              <w:jc w:val="left"/>
              <w:rPr>
                <w:b/>
              </w:rPr>
            </w:pPr>
          </w:p>
        </w:tc>
        <w:tc>
          <w:tcPr>
            <w:tcW w:w="8424" w:type="dxa"/>
            <w:gridSpan w:val="6"/>
            <w:vAlign w:val="center"/>
          </w:tcPr>
          <w:p>
            <w:pPr>
              <w:ind w:firstLine="420" w:firstLineChars="200"/>
              <w:rPr>
                <w:rFonts w:hint="eastAsia" w:eastAsia="宋体"/>
                <w:sz w:val="21"/>
                <w:szCs w:val="21"/>
                <w:lang w:eastAsia="zh-CN"/>
              </w:rPr>
            </w:pPr>
            <w:r>
              <w:rPr>
                <w:rFonts w:hint="eastAsia" w:eastAsia="宋体"/>
                <w:sz w:val="21"/>
                <w:szCs w:val="21"/>
                <w:lang w:eastAsia="zh-CN"/>
              </w:rPr>
              <w:t>特殊过程为：（无弧点焊机焊接）过程</w:t>
            </w:r>
          </w:p>
          <w:p>
            <w:pPr>
              <w:ind w:firstLine="420" w:firstLineChars="200"/>
              <w:rPr>
                <w:rFonts w:hint="default" w:eastAsia="宋体"/>
                <w:sz w:val="21"/>
                <w:szCs w:val="21"/>
                <w:lang w:val="en-US" w:eastAsia="zh-CN"/>
              </w:rPr>
            </w:pPr>
            <w:r>
              <w:rPr>
                <w:rFonts w:hint="default" w:eastAsia="宋体"/>
                <w:sz w:val="21"/>
                <w:szCs w:val="21"/>
                <w:lang w:val="en-US" w:eastAsia="zh-CN"/>
              </w:rPr>
              <w:t>本过程需要控制的有：</w:t>
            </w:r>
          </w:p>
          <w:p>
            <w:pPr>
              <w:ind w:firstLine="420" w:firstLineChars="200"/>
              <w:rPr>
                <w:rFonts w:hint="default" w:eastAsia="宋体"/>
                <w:sz w:val="21"/>
                <w:szCs w:val="21"/>
                <w:lang w:val="en-US" w:eastAsia="zh-CN"/>
              </w:rPr>
            </w:pPr>
            <w:r>
              <w:rPr>
                <w:rFonts w:hint="default" w:eastAsia="宋体"/>
                <w:sz w:val="21"/>
                <w:szCs w:val="21"/>
                <w:lang w:val="en-US" w:eastAsia="zh-CN"/>
              </w:rPr>
              <w:t>1．本公司根据该过程，针对现场操作人员编制了《无弧点焊工艺》；</w:t>
            </w:r>
          </w:p>
          <w:p>
            <w:pPr>
              <w:ind w:firstLine="420" w:firstLineChars="200"/>
              <w:rPr>
                <w:rFonts w:hint="default" w:eastAsia="宋体"/>
                <w:sz w:val="21"/>
                <w:szCs w:val="21"/>
                <w:lang w:val="en-US" w:eastAsia="zh-CN"/>
              </w:rPr>
            </w:pPr>
            <w:r>
              <w:rPr>
                <w:rFonts w:hint="default" w:eastAsia="宋体"/>
                <w:sz w:val="21"/>
                <w:szCs w:val="21"/>
                <w:lang w:val="en-US" w:eastAsia="zh-CN"/>
              </w:rPr>
              <w:t>2．针对设备操作进行维护</w:t>
            </w:r>
          </w:p>
          <w:p>
            <w:pPr>
              <w:ind w:firstLine="420" w:firstLineChars="200"/>
              <w:rPr>
                <w:rFonts w:hint="default" w:eastAsia="宋体"/>
                <w:sz w:val="21"/>
                <w:szCs w:val="21"/>
                <w:lang w:val="en-US" w:eastAsia="zh-CN"/>
              </w:rPr>
            </w:pPr>
            <w:r>
              <w:rPr>
                <w:rFonts w:hint="default" w:eastAsia="宋体"/>
                <w:sz w:val="21"/>
                <w:szCs w:val="21"/>
                <w:lang w:val="en-US" w:eastAsia="zh-CN"/>
              </w:rPr>
              <w:t>3．该员工在同行业公司该岗位工作了多年，有丰富的工作经历，工作认真负责。</w:t>
            </w:r>
          </w:p>
          <w:p>
            <w:pPr>
              <w:ind w:firstLine="420" w:firstLineChars="200"/>
              <w:rPr>
                <w:rFonts w:hint="default" w:eastAsia="宋体"/>
                <w:sz w:val="21"/>
                <w:szCs w:val="21"/>
                <w:lang w:val="en-US" w:eastAsia="zh-CN"/>
              </w:rPr>
            </w:pPr>
            <w:r>
              <w:rPr>
                <w:rFonts w:hint="default" w:eastAsia="宋体"/>
                <w:sz w:val="21"/>
                <w:szCs w:val="21"/>
                <w:lang w:val="en-US" w:eastAsia="zh-CN"/>
              </w:rPr>
              <w:t>4．生产过程中严格按照上述工艺标准和作业指导书的要求执行；</w:t>
            </w:r>
          </w:p>
          <w:p>
            <w:pPr>
              <w:ind w:firstLine="420" w:firstLineChars="200"/>
              <w:rPr>
                <w:rFonts w:hint="default" w:eastAsia="宋体"/>
                <w:sz w:val="21"/>
                <w:szCs w:val="21"/>
                <w:lang w:val="en-US" w:eastAsia="zh-CN"/>
              </w:rPr>
            </w:pPr>
            <w:r>
              <w:rPr>
                <w:rFonts w:hint="default" w:eastAsia="宋体"/>
                <w:sz w:val="21"/>
                <w:szCs w:val="21"/>
                <w:lang w:val="en-US" w:eastAsia="zh-CN"/>
              </w:rPr>
              <w:t>5．可以提供该过程的记录及该过程的检验记录。</w:t>
            </w:r>
          </w:p>
          <w:p>
            <w:pPr>
              <w:ind w:firstLine="420" w:firstLineChars="200"/>
              <w:rPr>
                <w:rFonts w:hint="eastAsia" w:eastAsia="宋体"/>
                <w:sz w:val="21"/>
                <w:szCs w:val="21"/>
                <w:lang w:eastAsia="zh-CN"/>
              </w:rPr>
            </w:pPr>
            <w:r>
              <w:rPr>
                <w:rFonts w:hint="default" w:eastAsia="宋体"/>
                <w:sz w:val="21"/>
                <w:szCs w:val="21"/>
                <w:lang w:val="en-US" w:eastAsia="zh-CN"/>
              </w:rPr>
              <w:t>6．该过程的记录及该过程的检验记录均符合本公司上述文件的要求</w:t>
            </w:r>
          </w:p>
          <w:p>
            <w:pPr>
              <w:ind w:firstLine="420" w:firstLineChars="200"/>
              <w:rPr>
                <w:rFonts w:hint="default" w:eastAsia="宋体"/>
                <w:sz w:val="21"/>
                <w:szCs w:val="21"/>
                <w:lang w:val="en-US" w:eastAsia="zh-CN"/>
              </w:rPr>
            </w:pPr>
            <w:r>
              <w:rPr>
                <w:rFonts w:hint="eastAsia" w:eastAsia="宋体"/>
                <w:sz w:val="21"/>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重要环境及控制措施</w:t>
            </w:r>
          </w:p>
        </w:tc>
        <w:tc>
          <w:tcPr>
            <w:tcW w:w="8424" w:type="dxa"/>
            <w:gridSpan w:val="6"/>
            <w:vAlign w:val="center"/>
          </w:tcPr>
          <w:p>
            <w:pPr>
              <w:spacing w:line="394" w:lineRule="exact"/>
              <w:ind w:firstLine="420" w:firstLineChars="200"/>
              <w:rPr>
                <w:rFonts w:hint="eastAsia"/>
                <w:sz w:val="21"/>
                <w:szCs w:val="21"/>
              </w:rPr>
            </w:pPr>
            <w:r>
              <w:rPr>
                <w:rFonts w:hint="eastAsia"/>
                <w:sz w:val="21"/>
                <w:szCs w:val="21"/>
              </w:rPr>
              <w:t>编制了</w:t>
            </w:r>
            <w:r>
              <w:rPr>
                <w:sz w:val="21"/>
                <w:szCs w:val="21"/>
              </w:rPr>
              <w:t>《环境因素的识别与评价控制程序》</w:t>
            </w:r>
            <w:r>
              <w:rPr>
                <w:rFonts w:hint="eastAsia"/>
                <w:sz w:val="21"/>
                <w:szCs w:val="21"/>
              </w:rPr>
              <w:t>符合标准要求.</w:t>
            </w:r>
          </w:p>
          <w:p>
            <w:pPr>
              <w:ind w:firstLine="420" w:firstLineChars="200"/>
              <w:rPr>
                <w:sz w:val="21"/>
                <w:szCs w:val="21"/>
              </w:rPr>
            </w:pPr>
            <w:r>
              <w:rPr>
                <w:rFonts w:hint="eastAsia"/>
                <w:sz w:val="21"/>
                <w:szCs w:val="21"/>
              </w:rPr>
              <w:t>提供的“环境因素识别评价表”“重要环境因素清单”， 评价考虑了三种时态现在、过去、将来、三种状态、异常、正常、紧急考虑了法律法规，并进行了评价，</w:t>
            </w:r>
            <w:r>
              <w:rPr>
                <w:rFonts w:hint="eastAsia"/>
                <w:sz w:val="21"/>
                <w:szCs w:val="21"/>
                <w:lang w:eastAsia="zh-CN"/>
              </w:rPr>
              <w:t>针对</w:t>
            </w:r>
            <w:r>
              <w:rPr>
                <w:rFonts w:hint="eastAsia" w:ascii="Arial" w:hAnsi="Arial" w:cs="Arial"/>
                <w:color w:val="000000"/>
                <w:kern w:val="0"/>
                <w:szCs w:val="21"/>
              </w:rPr>
              <w:t>洗涤服务</w:t>
            </w:r>
            <w:r>
              <w:rPr>
                <w:rFonts w:hint="eastAsia"/>
                <w:sz w:val="21"/>
                <w:szCs w:val="21"/>
              </w:rPr>
              <w:t>过程，用打分法考虑了法规符合性、发生频次、影响范围等, 通过定性判断法，共识别出重大环境因素</w:t>
            </w:r>
            <w:r>
              <w:rPr>
                <w:rFonts w:hint="eastAsia"/>
                <w:sz w:val="21"/>
                <w:szCs w:val="21"/>
                <w:lang w:val="en-US" w:eastAsia="zh-CN"/>
              </w:rPr>
              <w:t>5</w:t>
            </w:r>
            <w:r>
              <w:rPr>
                <w:rFonts w:hint="eastAsia"/>
                <w:sz w:val="21"/>
                <w:szCs w:val="21"/>
              </w:rPr>
              <w:t>项</w:t>
            </w:r>
            <w:r>
              <w:rPr>
                <w:rFonts w:hint="eastAsia"/>
                <w:sz w:val="21"/>
                <w:szCs w:val="21"/>
                <w:lang w:val="en-US" w:eastAsia="zh-CN"/>
              </w:rPr>
              <w:t>:废水、废气、</w:t>
            </w:r>
            <w:r>
              <w:rPr>
                <w:rFonts w:hint="eastAsia"/>
                <w:sz w:val="21"/>
                <w:szCs w:val="21"/>
              </w:rPr>
              <w:t>固废排放、火灾</w:t>
            </w:r>
            <w:r>
              <w:rPr>
                <w:rFonts w:hint="eastAsia"/>
                <w:sz w:val="21"/>
                <w:szCs w:val="21"/>
                <w:lang w:eastAsia="zh-CN"/>
              </w:rPr>
              <w:t>、噪声、</w:t>
            </w:r>
            <w:r>
              <w:rPr>
                <w:rFonts w:hint="eastAsia"/>
                <w:sz w:val="21"/>
                <w:szCs w:val="21"/>
              </w:rPr>
              <w:t>评价符合程序要求及公司的实际情况。</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54"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不可接受风险的危险源及控制措施</w:t>
            </w:r>
          </w:p>
        </w:tc>
        <w:tc>
          <w:tcPr>
            <w:tcW w:w="8424" w:type="dxa"/>
            <w:gridSpan w:val="6"/>
            <w:vAlign w:val="center"/>
          </w:tcPr>
          <w:p>
            <w:pPr>
              <w:ind w:firstLine="420" w:firstLineChars="200"/>
              <w:rPr>
                <w:rFonts w:hint="eastAsia"/>
                <w:sz w:val="21"/>
                <w:szCs w:val="21"/>
              </w:rPr>
            </w:pPr>
            <w:r>
              <w:rPr>
                <w:rFonts w:hint="eastAsia"/>
                <w:sz w:val="21"/>
                <w:szCs w:val="21"/>
                <w:lang w:eastAsia="zh-CN"/>
              </w:rPr>
              <w:t>编制</w:t>
            </w:r>
            <w:r>
              <w:rPr>
                <w:rFonts w:hint="eastAsia"/>
                <w:sz w:val="21"/>
                <w:szCs w:val="21"/>
              </w:rPr>
              <w:t>《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 w:val="21"/>
                <w:szCs w:val="21"/>
              </w:rPr>
            </w:pPr>
            <w:r>
              <w:rPr>
                <w:rFonts w:hint="eastAsia"/>
                <w:sz w:val="21"/>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sz w:val="21"/>
                <w:szCs w:val="21"/>
                <w:lang w:val="en-US" w:eastAsia="zh-CN"/>
              </w:rPr>
              <w:t>3</w:t>
            </w:r>
            <w:r>
              <w:rPr>
                <w:rFonts w:hint="eastAsia"/>
                <w:sz w:val="21"/>
                <w:szCs w:val="21"/>
              </w:rPr>
              <w:t>项，涉及：火灾</w:t>
            </w:r>
            <w:r>
              <w:rPr>
                <w:rFonts w:hint="eastAsia"/>
                <w:sz w:val="21"/>
                <w:szCs w:val="21"/>
                <w:lang w:eastAsia="zh-CN"/>
              </w:rPr>
              <w:t>、</w:t>
            </w:r>
            <w:r>
              <w:rPr>
                <w:rFonts w:hint="eastAsia"/>
                <w:sz w:val="21"/>
                <w:szCs w:val="21"/>
              </w:rPr>
              <w:t>触电</w:t>
            </w:r>
            <w:r>
              <w:rPr>
                <w:rFonts w:hint="eastAsia"/>
                <w:sz w:val="21"/>
                <w:szCs w:val="21"/>
                <w:lang w:eastAsia="zh-CN"/>
              </w:rPr>
              <w:t>、机械伤害。</w:t>
            </w:r>
            <w:r>
              <w:rPr>
                <w:rFonts w:hint="eastAsia"/>
                <w:sz w:val="21"/>
                <w:szCs w:val="21"/>
              </w:rPr>
              <w:t>评价符合程序要求及公司的实际情况。对危险源的控制措施包括制定管理制度、监督检查、应急预案、培训等。</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rPr>
                <w:rFonts w:hint="eastAsia"/>
                <w:sz w:val="21"/>
                <w:szCs w:val="21"/>
              </w:rPr>
            </w:pPr>
            <w:r>
              <w:rPr>
                <w:rFonts w:hint="eastAsia"/>
                <w:b/>
                <w:sz w:val="20"/>
                <w:szCs w:val="22"/>
              </w:rPr>
              <w:t>相关法律法规的要求及产品标准</w:t>
            </w:r>
          </w:p>
        </w:tc>
        <w:tc>
          <w:tcPr>
            <w:tcW w:w="8424" w:type="dxa"/>
            <w:gridSpan w:val="6"/>
            <w:vAlign w:val="center"/>
          </w:tcPr>
          <w:p>
            <w:pPr>
              <w:rPr>
                <w:rFonts w:hint="eastAsia"/>
                <w:szCs w:val="21"/>
              </w:rPr>
            </w:pPr>
            <w:r>
              <w:rPr>
                <w:rFonts w:hint="eastAsia"/>
                <w:szCs w:val="21"/>
              </w:rPr>
              <w:t>YS/T 3001-2010载金活性炭解吸电解设备技术规范</w:t>
            </w:r>
            <w:r>
              <w:rPr>
                <w:rFonts w:hint="eastAsia"/>
                <w:szCs w:val="21"/>
              </w:rPr>
              <w:tab/>
            </w:r>
            <w:r>
              <w:rPr>
                <w:rFonts w:hint="eastAsia"/>
                <w:szCs w:val="21"/>
              </w:rPr>
              <w:t>中华人民共和国工业和信息化部</w:t>
            </w:r>
            <w:r>
              <w:rPr>
                <w:rFonts w:hint="eastAsia"/>
                <w:szCs w:val="21"/>
              </w:rPr>
              <w:tab/>
            </w:r>
            <w:r>
              <w:rPr>
                <w:rFonts w:hint="eastAsia"/>
                <w:szCs w:val="21"/>
              </w:rPr>
              <w:t>2011.3.1</w:t>
            </w:r>
          </w:p>
          <w:p>
            <w:pPr>
              <w:rPr>
                <w:rFonts w:hint="eastAsia"/>
                <w:szCs w:val="21"/>
              </w:rPr>
            </w:pPr>
            <w:r>
              <w:rPr>
                <w:rFonts w:hint="eastAsia"/>
                <w:szCs w:val="21"/>
              </w:rPr>
              <w:t>CB 3521-1993水电解制氢装置通用技术条件</w:t>
            </w:r>
            <w:r>
              <w:rPr>
                <w:rFonts w:hint="eastAsia"/>
                <w:szCs w:val="21"/>
              </w:rPr>
              <w:tab/>
            </w:r>
            <w:r>
              <w:rPr>
                <w:rFonts w:hint="eastAsia"/>
                <w:szCs w:val="21"/>
              </w:rPr>
              <w:tab/>
            </w:r>
            <w:r>
              <w:rPr>
                <w:rFonts w:hint="eastAsia"/>
                <w:szCs w:val="21"/>
              </w:rPr>
              <w:t>1994.05.01</w:t>
            </w:r>
          </w:p>
          <w:p>
            <w:pPr>
              <w:rPr>
                <w:rFonts w:hint="eastAsia"/>
                <w:szCs w:val="21"/>
              </w:rPr>
            </w:pPr>
            <w:r>
              <w:rPr>
                <w:rFonts w:hint="eastAsia"/>
                <w:szCs w:val="21"/>
              </w:rPr>
              <w:t>HG/T 2471-2011电解槽金属阳极涂层</w:t>
            </w:r>
            <w:r>
              <w:rPr>
                <w:rFonts w:hint="eastAsia"/>
                <w:szCs w:val="21"/>
              </w:rPr>
              <w:tab/>
            </w:r>
            <w:r>
              <w:rPr>
                <w:rFonts w:hint="eastAsia"/>
                <w:szCs w:val="21"/>
              </w:rPr>
              <w:t>中华人民共和国工业和信息化部</w:t>
            </w:r>
            <w:r>
              <w:rPr>
                <w:rFonts w:hint="eastAsia"/>
                <w:szCs w:val="21"/>
              </w:rPr>
              <w:tab/>
            </w:r>
            <w:r>
              <w:rPr>
                <w:rFonts w:hint="eastAsia"/>
                <w:szCs w:val="21"/>
              </w:rPr>
              <w:t>2012.7.1</w:t>
            </w:r>
          </w:p>
          <w:p>
            <w:pPr>
              <w:rPr>
                <w:rFonts w:hint="eastAsia"/>
                <w:szCs w:val="21"/>
              </w:rPr>
            </w:pPr>
            <w:r>
              <w:rPr>
                <w:rFonts w:hint="eastAsia"/>
                <w:szCs w:val="21"/>
              </w:rPr>
              <w:t>HG/T 2951-2012隔膜法金属阳极电解槽</w:t>
            </w:r>
            <w:r>
              <w:rPr>
                <w:rFonts w:hint="eastAsia"/>
                <w:szCs w:val="21"/>
              </w:rPr>
              <w:tab/>
            </w:r>
            <w:r>
              <w:rPr>
                <w:rFonts w:hint="eastAsia"/>
                <w:szCs w:val="21"/>
              </w:rPr>
              <w:t>中华人民共和国工业和信息化部</w:t>
            </w:r>
            <w:r>
              <w:rPr>
                <w:rFonts w:hint="eastAsia"/>
                <w:szCs w:val="21"/>
              </w:rPr>
              <w:tab/>
            </w:r>
            <w:r>
              <w:rPr>
                <w:rFonts w:hint="eastAsia"/>
                <w:szCs w:val="21"/>
              </w:rPr>
              <w:t>2013.3.1</w:t>
            </w:r>
          </w:p>
          <w:p>
            <w:pPr>
              <w:rPr>
                <w:rFonts w:hint="eastAsia"/>
                <w:szCs w:val="21"/>
              </w:rPr>
            </w:pPr>
            <w:r>
              <w:rPr>
                <w:rFonts w:hint="eastAsia"/>
                <w:szCs w:val="21"/>
              </w:rPr>
              <w:t>HG/T 3981-2007复极式离子膜电解槽</w:t>
            </w:r>
            <w:r>
              <w:rPr>
                <w:rFonts w:hint="eastAsia"/>
                <w:szCs w:val="21"/>
              </w:rPr>
              <w:tab/>
            </w:r>
            <w:r>
              <w:rPr>
                <w:rFonts w:hint="eastAsia"/>
                <w:szCs w:val="21"/>
              </w:rPr>
              <w:t>中华人民共和国国家发展和改革委员会</w:t>
            </w:r>
            <w:r>
              <w:rPr>
                <w:rFonts w:hint="eastAsia"/>
                <w:szCs w:val="21"/>
              </w:rPr>
              <w:tab/>
            </w:r>
            <w:r>
              <w:rPr>
                <w:rFonts w:hint="eastAsia"/>
                <w:szCs w:val="21"/>
              </w:rPr>
              <w:t>2008.4.1</w:t>
            </w:r>
          </w:p>
          <w:p>
            <w:pPr>
              <w:rPr>
                <w:rFonts w:hint="eastAsia"/>
                <w:szCs w:val="21"/>
              </w:rPr>
            </w:pPr>
            <w:r>
              <w:rPr>
                <w:rFonts w:hint="eastAsia"/>
                <w:szCs w:val="21"/>
              </w:rPr>
              <w:t>HG/T 4592-2014离子膜法金属阳极电解槽电极活性层</w:t>
            </w:r>
            <w:r>
              <w:rPr>
                <w:rFonts w:hint="eastAsia"/>
                <w:szCs w:val="21"/>
              </w:rPr>
              <w:tab/>
            </w:r>
            <w:r>
              <w:rPr>
                <w:rFonts w:hint="eastAsia"/>
                <w:szCs w:val="21"/>
              </w:rPr>
              <w:t>全国化工机械与设备标准化技术委员会</w:t>
            </w:r>
            <w:r>
              <w:rPr>
                <w:rFonts w:hint="eastAsia"/>
                <w:szCs w:val="21"/>
              </w:rPr>
              <w:tab/>
            </w:r>
            <w:r>
              <w:rPr>
                <w:rFonts w:hint="eastAsia"/>
                <w:szCs w:val="21"/>
              </w:rPr>
              <w:t>2014.10.1</w:t>
            </w:r>
          </w:p>
          <w:p>
            <w:pPr>
              <w:ind w:firstLine="420" w:firstLineChars="200"/>
              <w:rPr>
                <w:rFonts w:hint="default"/>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72"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检验和试验项目及要求(如有型式试验要求,要进行说明)</w:t>
            </w:r>
          </w:p>
        </w:tc>
        <w:tc>
          <w:tcPr>
            <w:tcW w:w="8424" w:type="dxa"/>
            <w:gridSpan w:val="6"/>
            <w:vAlign w:val="center"/>
          </w:tcPr>
          <w:p>
            <w:pPr>
              <w:snapToGrid w:val="0"/>
              <w:spacing w:line="280" w:lineRule="exact"/>
              <w:jc w:val="center"/>
              <w:rPr>
                <w:rFonts w:hint="eastAsia" w:eastAsia="宋体"/>
                <w:b/>
                <w:sz w:val="20"/>
                <w:lang w:val="en-US" w:eastAsia="zh-CN"/>
              </w:rPr>
            </w:pPr>
            <w:r>
              <w:rPr>
                <w:rFonts w:hint="eastAsia"/>
                <w:b/>
                <w:sz w:val="20"/>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2249" w:type="dxa"/>
            <w:gridSpan w:val="2"/>
            <w:tcBorders>
              <w:left w:val="single" w:color="auto" w:sz="4"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6"/>
            <w:tcBorders>
              <w:bottom w:val="single" w:color="auto" w:sz="4" w:space="0"/>
            </w:tcBorders>
            <w:vAlign w:val="center"/>
          </w:tcPr>
          <w:p>
            <w:pPr>
              <w:snapToGrid w:val="0"/>
              <w:spacing w:line="280" w:lineRule="exact"/>
              <w:jc w:val="center"/>
              <w:rPr>
                <w:rFonts w:hint="eastAsia" w:eastAsia="宋体"/>
                <w:b/>
                <w:sz w:val="20"/>
                <w:lang w:eastAsia="zh-CN"/>
              </w:rPr>
            </w:pPr>
            <w:r>
              <w:rPr>
                <w:rFonts w:hint="eastAsia"/>
                <w:b/>
                <w:sz w:val="20"/>
                <w:lang w:eastAsia="zh-CN"/>
              </w:rPr>
              <w:t>无</w:t>
            </w:r>
          </w:p>
        </w:tc>
      </w:tr>
    </w:tbl>
    <w:p>
      <w:pPr>
        <w:snapToGrid w:val="0"/>
        <w:rPr>
          <w:rFonts w:ascii="宋体"/>
          <w:b/>
          <w:sz w:val="22"/>
          <w:szCs w:val="22"/>
        </w:rPr>
      </w:pPr>
    </w:p>
    <w:p>
      <w:pPr>
        <w:snapToGrid w:val="0"/>
        <w:rPr>
          <w:rFonts w:hint="default" w:ascii="宋体" w:eastAsia="宋体"/>
          <w:b/>
          <w:sz w:val="22"/>
          <w:szCs w:val="22"/>
          <w:lang w:val="en-US" w:eastAsia="zh-CN"/>
        </w:rPr>
      </w:pPr>
      <w:r>
        <w:rPr>
          <w:rFonts w:hint="eastAsia" w:ascii="宋体"/>
          <w:b/>
          <w:sz w:val="22"/>
          <w:szCs w:val="22"/>
        </w:rPr>
        <w:t>填表人(专业人员)</w:t>
      </w:r>
      <w:r>
        <w:rPr>
          <w:rFonts w:hint="eastAsia" w:ascii="宋体"/>
          <w:b/>
          <w:sz w:val="18"/>
          <w:szCs w:val="18"/>
        </w:rPr>
        <w:t>：</w:t>
      </w:r>
      <w:r>
        <w:rPr>
          <w:rFonts w:hint="eastAsia" w:ascii="宋体"/>
          <w:b/>
          <w:sz w:val="22"/>
          <w:szCs w:val="22"/>
          <w:lang w:eastAsia="zh-CN"/>
        </w:rPr>
        <w:t>李京田</w:t>
      </w:r>
      <w:r>
        <w:rPr>
          <w:rFonts w:hint="eastAsia" w:ascii="宋体"/>
          <w:b/>
          <w:sz w:val="22"/>
          <w:szCs w:val="22"/>
        </w:rPr>
        <w:t xml:space="preserve">  </w:t>
      </w:r>
      <w:r>
        <w:rPr>
          <w:rFonts w:hint="eastAsia"/>
          <w:b/>
          <w:sz w:val="22"/>
          <w:szCs w:val="22"/>
        </w:rPr>
        <w:t>日期</w:t>
      </w:r>
      <w:r>
        <w:rPr>
          <w:rFonts w:hint="eastAsia"/>
          <w:b/>
          <w:sz w:val="18"/>
          <w:szCs w:val="18"/>
        </w:rPr>
        <w:t>：</w:t>
      </w:r>
      <w:r>
        <w:rPr>
          <w:rFonts w:hint="eastAsia" w:ascii="宋体"/>
          <w:b/>
          <w:sz w:val="22"/>
          <w:szCs w:val="22"/>
        </w:rPr>
        <w:t xml:space="preserve"> </w:t>
      </w:r>
      <w:r>
        <w:rPr>
          <w:rFonts w:hint="eastAsia" w:ascii="宋体"/>
          <w:b/>
          <w:sz w:val="22"/>
          <w:szCs w:val="22"/>
          <w:lang w:val="en-US" w:eastAsia="zh-CN"/>
        </w:rPr>
        <w:t>2021.8.2</w:t>
      </w:r>
      <w:r>
        <w:rPr>
          <w:rFonts w:hint="eastAsia" w:ascii="宋体"/>
          <w:b/>
          <w:sz w:val="22"/>
          <w:szCs w:val="22"/>
        </w:rPr>
        <w:t xml:space="preserve">    审核组长</w:t>
      </w:r>
      <w:r>
        <w:rPr>
          <w:rFonts w:hint="eastAsia" w:ascii="宋体"/>
          <w:b/>
          <w:sz w:val="18"/>
          <w:szCs w:val="18"/>
        </w:rPr>
        <w:t>：</w:t>
      </w:r>
      <w:r>
        <w:rPr>
          <w:rFonts w:hint="eastAsia" w:ascii="宋体"/>
          <w:b/>
          <w:sz w:val="22"/>
          <w:szCs w:val="22"/>
          <w:lang w:eastAsia="zh-CN"/>
        </w:rPr>
        <w:t>李京田</w:t>
      </w:r>
      <w:r>
        <w:rPr>
          <w:rFonts w:hint="eastAsia" w:ascii="宋体"/>
          <w:b/>
          <w:sz w:val="22"/>
          <w:szCs w:val="22"/>
        </w:rPr>
        <w:t xml:space="preserve">   </w:t>
      </w:r>
      <w:r>
        <w:rPr>
          <w:rFonts w:hint="eastAsia" w:ascii="宋体"/>
          <w:b/>
          <w:sz w:val="18"/>
          <w:szCs w:val="18"/>
        </w:rPr>
        <w:t xml:space="preserve">             </w:t>
      </w:r>
      <w:r>
        <w:rPr>
          <w:rFonts w:hint="eastAsia"/>
          <w:b/>
          <w:sz w:val="22"/>
          <w:szCs w:val="22"/>
        </w:rPr>
        <w:t>日期</w:t>
      </w:r>
      <w:r>
        <w:rPr>
          <w:rFonts w:hint="eastAsia"/>
          <w:b/>
          <w:sz w:val="18"/>
          <w:szCs w:val="18"/>
        </w:rPr>
        <w:t>：</w:t>
      </w:r>
      <w:r>
        <w:rPr>
          <w:rFonts w:hint="eastAsia"/>
          <w:b/>
          <w:sz w:val="18"/>
          <w:szCs w:val="18"/>
          <w:lang w:val="en-US" w:eastAsia="zh-CN"/>
        </w:rPr>
        <w:t>2021.8.2</w:t>
      </w:r>
      <w:bookmarkStart w:id="2" w:name="_GoBack"/>
      <w:bookmarkEnd w:id="2"/>
    </w:p>
    <w:p>
      <w:pPr>
        <w:snapToGrid w:val="0"/>
        <w:rPr>
          <w:rFonts w:ascii="宋体"/>
          <w:b/>
          <w:spacing w:val="-6"/>
          <w:sz w:val="18"/>
          <w:szCs w:val="18"/>
        </w:rPr>
      </w:pPr>
    </w:p>
    <w:p>
      <w:pPr>
        <w:snapToGrid w:val="0"/>
        <w:rPr>
          <w:rFonts w:hint="eastAsia" w:ascii="宋体"/>
          <w:b/>
          <w:spacing w:val="-6"/>
          <w:sz w:val="21"/>
          <w:szCs w:val="21"/>
        </w:rPr>
      </w:pPr>
      <w:r>
        <w:rPr>
          <w:rFonts w:hint="eastAsia" w:ascii="宋体"/>
          <w:b/>
          <w:spacing w:val="-6"/>
          <w:sz w:val="18"/>
          <w:szCs w:val="18"/>
        </w:rPr>
        <w:t>注：</w:t>
      </w:r>
      <w:r>
        <w:rPr>
          <w:rFonts w:hint="eastAsia" w:ascii="宋体"/>
          <w:b/>
          <w:spacing w:val="-6"/>
          <w:sz w:val="21"/>
          <w:szCs w:val="21"/>
        </w:rPr>
        <w:t>如有其他培训内容或空格不够可另加附页</w:t>
      </w: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snapToGrid w:val="0"/>
        <w:spacing w:beforeLines="50" w:line="360" w:lineRule="exact"/>
        <w:jc w:val="center"/>
        <w:rPr>
          <w:rFonts w:asciiTheme="minorEastAsia" w:hAnsiTheme="minorEastAsia" w:eastAsiaTheme="minorEastAsia"/>
          <w:b/>
          <w:sz w:val="18"/>
          <w:szCs w:val="18"/>
        </w:rPr>
      </w:pPr>
      <w:r>
        <w:rPr>
          <w:rFonts w:hint="eastAsia" w:asciiTheme="minorEastAsia" w:hAnsiTheme="minorEastAsia" w:eastAsiaTheme="minorEastAsia"/>
          <w:b/>
          <w:sz w:val="30"/>
          <w:szCs w:val="30"/>
        </w:rPr>
        <w:t>专业培训记录</w:t>
      </w:r>
    </w:p>
    <w:p>
      <w:pPr>
        <w:snapToGrid w:val="0"/>
        <w:spacing w:afterLines="50" w:line="320" w:lineRule="exact"/>
        <w:rPr>
          <w:rFonts w:eastAsia="隶书"/>
          <w:b/>
          <w:sz w:val="22"/>
          <w:szCs w:val="22"/>
        </w:rPr>
      </w:pPr>
      <w:r>
        <w:rPr>
          <w:rFonts w:hint="eastAsia" w:ascii="宋体" w:hAnsi="宋体" w:eastAsia="宋体" w:cs="宋体"/>
          <w:b/>
          <w:sz w:val="22"/>
          <w:szCs w:val="22"/>
        </w:rPr>
        <w:t>█</w:t>
      </w:r>
      <w:r>
        <w:rPr>
          <w:rFonts w:hint="eastAsia"/>
          <w:b/>
          <w:sz w:val="22"/>
          <w:szCs w:val="22"/>
        </w:rPr>
        <w:t xml:space="preserve">QMS  </w:t>
      </w:r>
      <w:r>
        <w:rPr>
          <w:rFonts w:hint="eastAsia" w:ascii="宋体" w:hAnsi="宋体" w:eastAsia="宋体" w:cs="宋体"/>
          <w:b/>
          <w:sz w:val="22"/>
          <w:szCs w:val="22"/>
        </w:rPr>
        <w:t>█</w:t>
      </w:r>
      <w:r>
        <w:rPr>
          <w:rFonts w:hint="eastAsia"/>
          <w:b/>
          <w:sz w:val="22"/>
          <w:szCs w:val="22"/>
        </w:rPr>
        <w:t xml:space="preserve">EMS  </w:t>
      </w:r>
      <w:r>
        <w:rPr>
          <w:rFonts w:hint="eastAsia" w:ascii="宋体" w:hAnsi="宋体" w:eastAsia="宋体" w:cs="宋体"/>
          <w:b/>
          <w:sz w:val="22"/>
          <w:szCs w:val="22"/>
        </w:rPr>
        <w:t>█</w:t>
      </w:r>
      <w:r>
        <w:rPr>
          <w:rFonts w:hint="eastAsia"/>
          <w:b/>
          <w:sz w:val="22"/>
          <w:szCs w:val="22"/>
        </w:rPr>
        <w:t xml:space="preserve">OHSMS </w:t>
      </w:r>
    </w:p>
    <w:tbl>
      <w:tblPr>
        <w:tblStyle w:val="7"/>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374"/>
        <w:gridCol w:w="1156"/>
        <w:gridCol w:w="1290"/>
        <w:gridCol w:w="1505"/>
        <w:gridCol w:w="1720"/>
        <w:gridCol w:w="13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受审核方</w:t>
            </w:r>
          </w:p>
        </w:tc>
        <w:tc>
          <w:tcPr>
            <w:tcW w:w="5325" w:type="dxa"/>
            <w:gridSpan w:val="4"/>
            <w:vAlign w:val="center"/>
          </w:tcPr>
          <w:p>
            <w:pPr>
              <w:snapToGrid w:val="0"/>
              <w:spacing w:line="280" w:lineRule="exact"/>
              <w:jc w:val="center"/>
              <w:rPr>
                <w:b/>
                <w:sz w:val="20"/>
              </w:rPr>
            </w:pPr>
          </w:p>
        </w:tc>
        <w:tc>
          <w:tcPr>
            <w:tcW w:w="1720" w:type="dxa"/>
            <w:vAlign w:val="center"/>
          </w:tcPr>
          <w:p>
            <w:pPr>
              <w:snapToGrid w:val="0"/>
              <w:spacing w:line="280" w:lineRule="exact"/>
              <w:ind w:left="52"/>
              <w:jc w:val="center"/>
              <w:rPr>
                <w:b/>
                <w:sz w:val="22"/>
                <w:szCs w:val="22"/>
              </w:rPr>
            </w:pPr>
            <w:r>
              <w:rPr>
                <w:rFonts w:hint="eastAsia"/>
                <w:b/>
                <w:sz w:val="22"/>
                <w:szCs w:val="22"/>
              </w:rPr>
              <w:t>专业小类/</w:t>
            </w:r>
          </w:p>
          <w:p>
            <w:pPr>
              <w:snapToGrid w:val="0"/>
              <w:spacing w:line="280" w:lineRule="exact"/>
              <w:ind w:left="52"/>
              <w:jc w:val="center"/>
              <w:rPr>
                <w:b/>
                <w:sz w:val="22"/>
                <w:szCs w:val="22"/>
              </w:rPr>
            </w:pPr>
            <w:r>
              <w:rPr>
                <w:rFonts w:hint="eastAsia"/>
                <w:b/>
                <w:sz w:val="22"/>
                <w:szCs w:val="22"/>
              </w:rPr>
              <w:t>项目代码</w:t>
            </w:r>
          </w:p>
        </w:tc>
        <w:tc>
          <w:tcPr>
            <w:tcW w:w="1379" w:type="dxa"/>
            <w:vAlign w:val="center"/>
          </w:tcPr>
          <w:p>
            <w:pPr>
              <w:snapToGrid w:val="0"/>
              <w:spacing w:line="280" w:lineRule="exact"/>
              <w:ind w:left="52"/>
              <w:jc w:val="center"/>
              <w:rPr>
                <w:b/>
                <w:sz w:val="20"/>
              </w:rPr>
            </w:pPr>
            <w:r>
              <w:rPr>
                <w:rFonts w:hint="eastAsia"/>
                <w:b/>
                <w:szCs w:val="21"/>
              </w:rPr>
              <w:t>29.12.00新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0" w:type="dxa"/>
            <w:gridSpan w:val="2"/>
            <w:vAlign w:val="center"/>
          </w:tcPr>
          <w:p>
            <w:pPr>
              <w:snapToGrid w:val="0"/>
              <w:spacing w:line="280" w:lineRule="exact"/>
              <w:jc w:val="center"/>
              <w:rPr>
                <w:rFonts w:hint="eastAsia" w:eastAsia="宋体"/>
                <w:b/>
                <w:sz w:val="20"/>
                <w:lang w:val="en-US" w:eastAsia="zh-CN"/>
              </w:rPr>
            </w:pPr>
            <w:r>
              <w:rPr>
                <w:rFonts w:hint="eastAsia"/>
                <w:sz w:val="18"/>
                <w:szCs w:val="18"/>
              </w:rPr>
              <w:t>李京田</w:t>
            </w:r>
          </w:p>
        </w:tc>
        <w:tc>
          <w:tcPr>
            <w:tcW w:w="1290" w:type="dxa"/>
            <w:vAlign w:val="center"/>
          </w:tcPr>
          <w:p>
            <w:pPr>
              <w:snapToGrid w:val="0"/>
              <w:spacing w:line="280" w:lineRule="exact"/>
              <w:jc w:val="center"/>
              <w:rPr>
                <w:b/>
                <w:sz w:val="22"/>
                <w:szCs w:val="22"/>
              </w:rPr>
            </w:pPr>
            <w:r>
              <w:rPr>
                <w:rFonts w:hint="eastAsia"/>
                <w:b/>
                <w:sz w:val="22"/>
                <w:szCs w:val="22"/>
              </w:rPr>
              <w:t>专业</w:t>
            </w:r>
          </w:p>
        </w:tc>
        <w:tc>
          <w:tcPr>
            <w:tcW w:w="1505" w:type="dxa"/>
            <w:vAlign w:val="center"/>
          </w:tcPr>
          <w:p>
            <w:pPr>
              <w:snapToGrid w:val="0"/>
              <w:spacing w:line="280" w:lineRule="exact"/>
              <w:jc w:val="center"/>
              <w:rPr>
                <w:b/>
                <w:sz w:val="20"/>
              </w:rPr>
            </w:pPr>
            <w:r>
              <w:rPr>
                <w:rFonts w:hint="eastAsia"/>
                <w:b/>
                <w:szCs w:val="21"/>
              </w:rPr>
              <w:t>29.12.00新</w:t>
            </w:r>
          </w:p>
        </w:tc>
        <w:tc>
          <w:tcPr>
            <w:tcW w:w="1720" w:type="dxa"/>
            <w:vAlign w:val="center"/>
          </w:tcPr>
          <w:p>
            <w:pPr>
              <w:snapToGrid w:val="0"/>
              <w:spacing w:line="280" w:lineRule="exact"/>
              <w:jc w:val="center"/>
              <w:rPr>
                <w:b/>
                <w:sz w:val="22"/>
                <w:szCs w:val="22"/>
              </w:rPr>
            </w:pPr>
            <w:r>
              <w:rPr>
                <w:rFonts w:hint="eastAsia"/>
                <w:b/>
                <w:sz w:val="22"/>
                <w:szCs w:val="22"/>
              </w:rPr>
              <w:t>培训地点</w:t>
            </w:r>
          </w:p>
        </w:tc>
        <w:tc>
          <w:tcPr>
            <w:tcW w:w="1379" w:type="dxa"/>
            <w:vAlign w:val="center"/>
          </w:tcPr>
          <w:p>
            <w:pPr>
              <w:snapToGrid w:val="0"/>
              <w:spacing w:line="280" w:lineRule="exact"/>
              <w:jc w:val="center"/>
              <w:rPr>
                <w:rFonts w:hint="eastAsia" w:eastAsia="宋体"/>
                <w:b/>
                <w:sz w:val="20"/>
                <w:lang w:eastAsia="zh-CN"/>
              </w:rPr>
            </w:pPr>
            <w:r>
              <w:rPr>
                <w:rFonts w:hint="eastAsia"/>
                <w:b/>
                <w:sz w:val="20"/>
                <w:lang w:eastAsia="zh-CN"/>
              </w:rPr>
              <w:t>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vMerge w:val="restart"/>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tcBorders>
              <w:top w:val="single" w:color="auto" w:sz="4" w:space="0"/>
              <w:left w:val="single" w:color="auto" w:sz="4" w:space="0"/>
            </w:tcBorders>
            <w:vAlign w:val="center"/>
          </w:tcPr>
          <w:p>
            <w:pPr>
              <w:snapToGrid w:val="0"/>
              <w:jc w:val="center"/>
              <w:rPr>
                <w:b/>
                <w:sz w:val="20"/>
              </w:rPr>
            </w:pPr>
            <w:r>
              <w:rPr>
                <w:rFonts w:hint="eastAsia"/>
                <w:b/>
                <w:sz w:val="20"/>
              </w:rPr>
              <w:t>姓名</w:t>
            </w:r>
          </w:p>
        </w:tc>
        <w:tc>
          <w:tcPr>
            <w:tcW w:w="1374" w:type="dxa"/>
            <w:vAlign w:val="center"/>
          </w:tcPr>
          <w:p>
            <w:pPr>
              <w:spacing w:line="240" w:lineRule="exact"/>
              <w:rPr>
                <w:b/>
                <w:sz w:val="20"/>
              </w:rPr>
            </w:pPr>
            <w:r>
              <w:rPr>
                <w:rFonts w:hint="eastAsia"/>
                <w:sz w:val="18"/>
                <w:szCs w:val="18"/>
              </w:rPr>
              <w:t>伍光华</w:t>
            </w:r>
          </w:p>
        </w:tc>
        <w:tc>
          <w:tcPr>
            <w:tcW w:w="1156" w:type="dxa"/>
            <w:vAlign w:val="center"/>
          </w:tcPr>
          <w:p>
            <w:pPr>
              <w:snapToGrid w:val="0"/>
              <w:spacing w:line="360" w:lineRule="exact"/>
              <w:jc w:val="center"/>
              <w:rPr>
                <w:b/>
                <w:sz w:val="20"/>
              </w:rPr>
            </w:pPr>
            <w:r>
              <w:rPr>
                <w:rFonts w:hint="eastAsia"/>
                <w:sz w:val="18"/>
                <w:szCs w:val="18"/>
              </w:rPr>
              <w:t>张晓芳</w:t>
            </w: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09" w:type="dxa"/>
            <w:vMerge w:val="continue"/>
            <w:tcBorders>
              <w:left w:val="single" w:color="auto" w:sz="4" w:space="0"/>
            </w:tcBorders>
            <w:vAlign w:val="center"/>
          </w:tcPr>
          <w:p>
            <w:pPr>
              <w:snapToGrid w:val="0"/>
              <w:spacing w:line="360" w:lineRule="exact"/>
              <w:jc w:val="center"/>
              <w:rPr>
                <w:b/>
                <w:sz w:val="20"/>
              </w:rPr>
            </w:pPr>
          </w:p>
        </w:tc>
        <w:tc>
          <w:tcPr>
            <w:tcW w:w="1340" w:type="dxa"/>
            <w:tcBorders>
              <w:left w:val="single" w:color="auto" w:sz="4" w:space="0"/>
            </w:tcBorders>
            <w:vAlign w:val="center"/>
          </w:tcPr>
          <w:p>
            <w:pPr>
              <w:snapToGrid w:val="0"/>
              <w:spacing w:line="280" w:lineRule="exact"/>
              <w:jc w:val="center"/>
              <w:rPr>
                <w:b/>
                <w:sz w:val="20"/>
              </w:rPr>
            </w:pPr>
            <w:r>
              <w:rPr>
                <w:rFonts w:hint="eastAsia"/>
                <w:b/>
                <w:sz w:val="20"/>
              </w:rPr>
              <w:t>专业代码</w:t>
            </w:r>
          </w:p>
        </w:tc>
        <w:tc>
          <w:tcPr>
            <w:tcW w:w="1374" w:type="dxa"/>
            <w:vAlign w:val="center"/>
          </w:tcPr>
          <w:p>
            <w:pPr>
              <w:snapToGrid w:val="0"/>
              <w:spacing w:line="360" w:lineRule="exact"/>
              <w:jc w:val="center"/>
              <w:rPr>
                <w:b/>
                <w:sz w:val="20"/>
              </w:rPr>
            </w:pPr>
            <w:r>
              <w:rPr>
                <w:rFonts w:hint="eastAsia"/>
                <w:b/>
                <w:szCs w:val="21"/>
              </w:rPr>
              <w:t>29.12.00新</w:t>
            </w:r>
          </w:p>
        </w:tc>
        <w:tc>
          <w:tcPr>
            <w:tcW w:w="1156" w:type="dxa"/>
            <w:vAlign w:val="center"/>
          </w:tcPr>
          <w:p>
            <w:pPr>
              <w:snapToGrid w:val="0"/>
              <w:spacing w:line="360" w:lineRule="exact"/>
              <w:jc w:val="center"/>
              <w:rPr>
                <w:b/>
                <w:sz w:val="20"/>
              </w:rPr>
            </w:pPr>
            <w:r>
              <w:rPr>
                <w:rFonts w:hint="eastAsia"/>
                <w:b/>
                <w:szCs w:val="21"/>
              </w:rPr>
              <w:t>29.12.00新</w:t>
            </w: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07"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p>
          <w:p>
            <w:pPr>
              <w:snapToGrid w:val="0"/>
              <w:spacing w:line="280" w:lineRule="exact"/>
              <w:jc w:val="center"/>
              <w:rPr>
                <w:b/>
                <w:sz w:val="20"/>
              </w:rPr>
            </w:pPr>
            <w:r>
              <w:rPr>
                <w:rFonts w:hint="eastAsia"/>
                <w:b/>
                <w:sz w:val="20"/>
              </w:rPr>
              <w:t>服务过程</w:t>
            </w:r>
          </w:p>
        </w:tc>
        <w:tc>
          <w:tcPr>
            <w:tcW w:w="8424" w:type="dxa"/>
            <w:gridSpan w:val="6"/>
            <w:vAlign w:val="center"/>
          </w:tcPr>
          <w:p>
            <w:pPr>
              <w:snapToGrid w:val="0"/>
              <w:spacing w:line="280" w:lineRule="exact"/>
              <w:jc w:val="left"/>
              <w:rPr>
                <w:rFonts w:hint="eastAsia"/>
                <w:b/>
                <w:sz w:val="20"/>
              </w:rPr>
            </w:pPr>
            <w:r>
              <w:rPr>
                <w:rFonts w:hint="eastAsia"/>
                <w:b/>
                <w:sz w:val="20"/>
              </w:rPr>
              <w:t>销售典型的工艺流程如下：</w:t>
            </w:r>
          </w:p>
          <w:p>
            <w:pPr>
              <w:snapToGrid w:val="0"/>
              <w:spacing w:line="280" w:lineRule="exact"/>
              <w:jc w:val="left"/>
              <w:rPr>
                <w:rFonts w:hint="eastAsia"/>
                <w:b/>
                <w:sz w:val="20"/>
              </w:rPr>
            </w:pPr>
            <w:r>
              <w:rPr>
                <w:rFonts w:hint="eastAsia"/>
                <w:b/>
                <w:sz w:val="20"/>
              </w:rPr>
              <w:t>岗前培训-与客户前期沟通―签订协议―评审确认-顾客定货-出配送单-供货―交付―</w:t>
            </w:r>
          </w:p>
          <w:p>
            <w:pPr>
              <w:snapToGrid w:val="0"/>
              <w:spacing w:line="280" w:lineRule="exact"/>
              <w:jc w:val="left"/>
              <w:rPr>
                <w:b/>
                <w:sz w:val="20"/>
              </w:rPr>
            </w:pPr>
            <w:r>
              <w:rPr>
                <w:rFonts w:hint="eastAsia"/>
                <w:b/>
                <w:sz w:val="20"/>
              </w:rPr>
              <w:t>售后维护回访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生产过程/服务过程</w:t>
            </w:r>
          </w:p>
          <w:p>
            <w:pPr>
              <w:snapToGrid w:val="0"/>
              <w:spacing w:line="280" w:lineRule="exact"/>
              <w:jc w:val="left"/>
              <w:rPr>
                <w:b/>
                <w:sz w:val="20"/>
              </w:rPr>
            </w:pPr>
            <w:r>
              <w:rPr>
                <w:rFonts w:hint="eastAsia"/>
                <w:b/>
                <w:sz w:val="20"/>
              </w:rPr>
              <w:t>的风险及控制措施</w:t>
            </w:r>
          </w:p>
          <w:p>
            <w:pPr>
              <w:snapToGrid w:val="0"/>
              <w:spacing w:line="280" w:lineRule="exact"/>
              <w:jc w:val="left"/>
              <w:rPr>
                <w:b/>
                <w:sz w:val="20"/>
              </w:rPr>
            </w:pPr>
            <w:r>
              <w:rPr>
                <w:rFonts w:hint="eastAsia"/>
                <w:b/>
                <w:sz w:val="20"/>
              </w:rPr>
              <w:t>特殊过程的控制/</w:t>
            </w:r>
          </w:p>
          <w:p>
            <w:pPr>
              <w:snapToGrid w:val="0"/>
              <w:spacing w:line="280" w:lineRule="exact"/>
              <w:jc w:val="left"/>
              <w:rPr>
                <w:b/>
              </w:rPr>
            </w:pPr>
          </w:p>
        </w:tc>
        <w:tc>
          <w:tcPr>
            <w:tcW w:w="8424" w:type="dxa"/>
            <w:gridSpan w:val="6"/>
            <w:vAlign w:val="center"/>
          </w:tcPr>
          <w:p>
            <w:pPr>
              <w:snapToGrid w:val="0"/>
              <w:spacing w:line="280" w:lineRule="exact"/>
              <w:jc w:val="left"/>
              <w:rPr>
                <w:rFonts w:hint="eastAsia"/>
                <w:b w:val="0"/>
                <w:bCs/>
                <w:sz w:val="20"/>
                <w:szCs w:val="22"/>
              </w:rPr>
            </w:pPr>
            <w:r>
              <w:rPr>
                <w:rFonts w:hint="eastAsia"/>
                <w:b w:val="0"/>
                <w:bCs/>
                <w:sz w:val="20"/>
                <w:szCs w:val="22"/>
              </w:rPr>
              <w:t>关键过程为：销售服务</w:t>
            </w:r>
          </w:p>
          <w:p>
            <w:pPr>
              <w:snapToGrid w:val="0"/>
              <w:spacing w:line="280" w:lineRule="exact"/>
              <w:jc w:val="left"/>
              <w:rPr>
                <w:rFonts w:hint="eastAsia"/>
                <w:b w:val="0"/>
                <w:bCs/>
                <w:sz w:val="20"/>
                <w:szCs w:val="22"/>
              </w:rPr>
            </w:pPr>
            <w:r>
              <w:rPr>
                <w:rFonts w:hint="eastAsia"/>
                <w:b w:val="0"/>
                <w:bCs/>
                <w:sz w:val="20"/>
                <w:szCs w:val="22"/>
              </w:rPr>
              <w:t>特殊过程为：销售服务</w:t>
            </w:r>
          </w:p>
          <w:p>
            <w:pPr>
              <w:snapToGrid w:val="0"/>
              <w:spacing w:line="280" w:lineRule="exact"/>
              <w:jc w:val="left"/>
              <w:rPr>
                <w:rFonts w:hint="eastAsia"/>
                <w:b w:val="0"/>
                <w:bCs/>
                <w:sz w:val="20"/>
                <w:szCs w:val="22"/>
              </w:rPr>
            </w:pPr>
            <w:r>
              <w:rPr>
                <w:rFonts w:hint="eastAsia"/>
                <w:b w:val="0"/>
                <w:bCs/>
                <w:sz w:val="20"/>
                <w:szCs w:val="22"/>
              </w:rPr>
              <w:t>销售主要质量指标：熟悉行业规范、具备执业素养、具有亲和力与良好的沟通能</w:t>
            </w:r>
          </w:p>
          <w:p>
            <w:pPr>
              <w:snapToGrid w:val="0"/>
              <w:spacing w:line="280" w:lineRule="exact"/>
              <w:jc w:val="left"/>
              <w:rPr>
                <w:rFonts w:hint="eastAsia"/>
                <w:b w:val="0"/>
                <w:bCs/>
                <w:sz w:val="20"/>
                <w:szCs w:val="22"/>
              </w:rPr>
            </w:pPr>
            <w:r>
              <w:rPr>
                <w:rFonts w:hint="eastAsia"/>
                <w:b w:val="0"/>
                <w:bCs/>
                <w:sz w:val="20"/>
                <w:szCs w:val="22"/>
              </w:rPr>
              <w:t>力，了解顾客对公司的需求情况及顾客明示或隐含的要求</w:t>
            </w:r>
          </w:p>
          <w:p>
            <w:pPr>
              <w:snapToGrid w:val="0"/>
              <w:spacing w:line="280" w:lineRule="exact"/>
              <w:jc w:val="left"/>
              <w:rPr>
                <w:rFonts w:hint="eastAsia"/>
                <w:b w:val="0"/>
                <w:bCs/>
                <w:sz w:val="20"/>
                <w:szCs w:val="22"/>
              </w:rPr>
            </w:pPr>
            <w:r>
              <w:rPr>
                <w:rFonts w:hint="eastAsia"/>
                <w:b w:val="0"/>
                <w:bCs/>
                <w:sz w:val="20"/>
                <w:szCs w:val="22"/>
              </w:rPr>
              <w:t>熟悉关键原材料进厂检验、产品特性及客户的要求</w:t>
            </w:r>
          </w:p>
          <w:p>
            <w:pPr>
              <w:snapToGrid w:val="0"/>
              <w:spacing w:line="280" w:lineRule="exact"/>
              <w:jc w:val="left"/>
              <w:rPr>
                <w:rFonts w:hint="eastAsia"/>
                <w:b w:val="0"/>
                <w:bCs/>
                <w:sz w:val="20"/>
                <w:szCs w:val="22"/>
              </w:rPr>
            </w:pPr>
            <w:r>
              <w:rPr>
                <w:rFonts w:hint="eastAsia"/>
                <w:b w:val="0"/>
                <w:bCs/>
                <w:sz w:val="20"/>
                <w:szCs w:val="22"/>
              </w:rPr>
              <w:t>根据客户要求制定销售计划</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重要环境及控制措施</w:t>
            </w:r>
          </w:p>
        </w:tc>
        <w:tc>
          <w:tcPr>
            <w:tcW w:w="8424" w:type="dxa"/>
            <w:gridSpan w:val="6"/>
            <w:vAlign w:val="center"/>
          </w:tcPr>
          <w:p>
            <w:pPr>
              <w:spacing w:line="394" w:lineRule="exact"/>
              <w:ind w:firstLine="420" w:firstLineChars="200"/>
              <w:rPr>
                <w:rFonts w:hint="eastAsia"/>
                <w:sz w:val="21"/>
                <w:szCs w:val="21"/>
              </w:rPr>
            </w:pPr>
            <w:r>
              <w:rPr>
                <w:rFonts w:hint="eastAsia"/>
                <w:sz w:val="21"/>
                <w:szCs w:val="21"/>
              </w:rPr>
              <w:t>编制了</w:t>
            </w:r>
            <w:r>
              <w:rPr>
                <w:sz w:val="21"/>
                <w:szCs w:val="21"/>
              </w:rPr>
              <w:t>《环境因素的识别与评价控制程序》</w:t>
            </w:r>
            <w:r>
              <w:rPr>
                <w:rFonts w:hint="eastAsia"/>
                <w:sz w:val="21"/>
                <w:szCs w:val="21"/>
              </w:rPr>
              <w:t>符合标准要求.</w:t>
            </w:r>
          </w:p>
          <w:p>
            <w:pPr>
              <w:ind w:firstLine="420" w:firstLineChars="200"/>
              <w:rPr>
                <w:sz w:val="21"/>
                <w:szCs w:val="21"/>
              </w:rPr>
            </w:pPr>
            <w:r>
              <w:rPr>
                <w:rFonts w:hint="eastAsia"/>
                <w:sz w:val="21"/>
                <w:szCs w:val="21"/>
              </w:rPr>
              <w:t>提供的“环境因素识别评价表”“重要环境因素清单”， 评价考虑了三种时态现在、过去、将来、三种状态、异常、正常、紧急考虑了法律法规，并进行了评价，</w:t>
            </w:r>
            <w:r>
              <w:rPr>
                <w:rFonts w:hint="eastAsia"/>
                <w:sz w:val="21"/>
                <w:szCs w:val="21"/>
                <w:lang w:eastAsia="zh-CN"/>
              </w:rPr>
              <w:t>针对</w:t>
            </w:r>
            <w:r>
              <w:rPr>
                <w:rFonts w:hint="eastAsia" w:ascii="宋体" w:hAnsi="宋体" w:cs="宋体"/>
                <w:kern w:val="0"/>
                <w:szCs w:val="21"/>
              </w:rPr>
              <w:t>服装机械设备及零配件的销售</w:t>
            </w:r>
            <w:r>
              <w:rPr>
                <w:rFonts w:hint="eastAsia"/>
                <w:sz w:val="21"/>
                <w:szCs w:val="21"/>
              </w:rPr>
              <w:t>过程，用打分法考虑了法规符合性、发生频次、影响范围等, 通过定性判断法，共识别出重大环境因素</w:t>
            </w:r>
            <w:r>
              <w:rPr>
                <w:rFonts w:hint="eastAsia"/>
                <w:sz w:val="21"/>
                <w:szCs w:val="21"/>
                <w:lang w:val="en-US" w:eastAsia="zh-CN"/>
              </w:rPr>
              <w:t>3</w:t>
            </w:r>
            <w:r>
              <w:rPr>
                <w:rFonts w:hint="eastAsia"/>
                <w:sz w:val="21"/>
                <w:szCs w:val="21"/>
              </w:rPr>
              <w:t>项：固废排放、火灾</w:t>
            </w:r>
            <w:r>
              <w:rPr>
                <w:rFonts w:hint="eastAsia"/>
                <w:sz w:val="21"/>
                <w:szCs w:val="21"/>
                <w:lang w:eastAsia="zh-CN"/>
              </w:rPr>
              <w:t>、噪声、</w:t>
            </w:r>
            <w:r>
              <w:rPr>
                <w:rFonts w:hint="eastAsia"/>
                <w:sz w:val="21"/>
                <w:szCs w:val="21"/>
              </w:rPr>
              <w:t>评价符合程序要求及公司的实际情况。</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54"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不可接受风险的危险源及控制措施</w:t>
            </w:r>
          </w:p>
        </w:tc>
        <w:tc>
          <w:tcPr>
            <w:tcW w:w="8424" w:type="dxa"/>
            <w:gridSpan w:val="6"/>
            <w:vAlign w:val="center"/>
          </w:tcPr>
          <w:p>
            <w:pPr>
              <w:ind w:firstLine="420" w:firstLineChars="200"/>
              <w:rPr>
                <w:rFonts w:hint="eastAsia"/>
                <w:sz w:val="21"/>
                <w:szCs w:val="21"/>
              </w:rPr>
            </w:pPr>
            <w:r>
              <w:rPr>
                <w:rFonts w:hint="eastAsia"/>
                <w:sz w:val="21"/>
                <w:szCs w:val="21"/>
                <w:lang w:eastAsia="zh-CN"/>
              </w:rPr>
              <w:t>编制</w:t>
            </w:r>
            <w:r>
              <w:rPr>
                <w:rFonts w:hint="eastAsia"/>
                <w:sz w:val="21"/>
                <w:szCs w:val="21"/>
              </w:rPr>
              <w:t>《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 w:val="21"/>
                <w:szCs w:val="21"/>
              </w:rPr>
            </w:pPr>
            <w:r>
              <w:rPr>
                <w:rFonts w:hint="eastAsia"/>
                <w:sz w:val="21"/>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sz w:val="21"/>
                <w:szCs w:val="21"/>
                <w:lang w:val="en-US" w:eastAsia="zh-CN"/>
              </w:rPr>
              <w:t>4</w:t>
            </w:r>
            <w:r>
              <w:rPr>
                <w:rFonts w:hint="eastAsia"/>
                <w:sz w:val="21"/>
                <w:szCs w:val="21"/>
              </w:rPr>
              <w:t>项，涉及：火灾</w:t>
            </w:r>
            <w:r>
              <w:rPr>
                <w:rFonts w:hint="eastAsia"/>
                <w:sz w:val="21"/>
                <w:szCs w:val="21"/>
                <w:lang w:eastAsia="zh-CN"/>
              </w:rPr>
              <w:t>、</w:t>
            </w:r>
            <w:r>
              <w:rPr>
                <w:rFonts w:hint="eastAsia"/>
                <w:sz w:val="21"/>
                <w:szCs w:val="21"/>
              </w:rPr>
              <w:t>触电</w:t>
            </w:r>
            <w:r>
              <w:rPr>
                <w:rFonts w:hint="eastAsia"/>
                <w:sz w:val="21"/>
                <w:szCs w:val="21"/>
                <w:lang w:eastAsia="zh-CN"/>
              </w:rPr>
              <w:t>、机械伤害、起重伤害。</w:t>
            </w:r>
            <w:r>
              <w:rPr>
                <w:rFonts w:hint="eastAsia"/>
                <w:sz w:val="21"/>
                <w:szCs w:val="21"/>
              </w:rPr>
              <w:t>评价符合程序要求及公司的实际情况。对危险源的控制措施包括制定管理制度、监督检查、应急预案、培训等。</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相关法律法规的要求及产品标准</w:t>
            </w:r>
          </w:p>
        </w:tc>
        <w:tc>
          <w:tcPr>
            <w:tcW w:w="8424" w:type="dxa"/>
            <w:gridSpan w:val="6"/>
            <w:vAlign w:val="center"/>
          </w:tcPr>
          <w:p>
            <w:pPr>
              <w:pStyle w:val="6"/>
              <w:keepNext w:val="0"/>
              <w:keepLines w:val="0"/>
              <w:widowControl/>
              <w:suppressLineNumbers w:val="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GB/T 678-2002 化学试剂 乙醇</w:t>
            </w:r>
          </w:p>
          <w:p>
            <w:pPr>
              <w:pStyle w:val="6"/>
              <w:keepNext w:val="0"/>
              <w:keepLines w:val="0"/>
              <w:widowControl/>
              <w:suppressLineNumbers w:val="0"/>
              <w:rPr>
                <w:rFonts w:hint="eastAsia"/>
                <w:lang w:eastAsia="zh-CN"/>
              </w:rPr>
            </w:pPr>
            <w:r>
              <w:rPr>
                <w:rFonts w:hint="eastAsia" w:ascii="Times New Roman" w:hAnsi="Times New Roman" w:eastAsia="宋体" w:cs="Times New Roman"/>
                <w:kern w:val="2"/>
                <w:sz w:val="21"/>
                <w:szCs w:val="21"/>
                <w:lang w:val="en-US" w:eastAsia="zh-CN" w:bidi="ar-SA"/>
              </w:rPr>
              <w:t>GB18583-2008  室内装修材料胶粘剂中有害物质限量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72"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检验和试验项目及要求(如有型式试验要求,要进行说明)</w:t>
            </w:r>
          </w:p>
        </w:tc>
        <w:tc>
          <w:tcPr>
            <w:tcW w:w="8424" w:type="dxa"/>
            <w:gridSpan w:val="6"/>
            <w:vAlign w:val="center"/>
          </w:tcPr>
          <w:p>
            <w:pPr>
              <w:snapToGrid w:val="0"/>
              <w:spacing w:line="280" w:lineRule="exact"/>
              <w:jc w:val="center"/>
              <w:rPr>
                <w:rFonts w:hint="eastAsia" w:eastAsia="宋体"/>
                <w:b/>
                <w:sz w:val="20"/>
                <w:lang w:eastAsia="zh-CN"/>
              </w:rPr>
            </w:pPr>
            <w:r>
              <w:rPr>
                <w:rFonts w:hint="eastAsia"/>
                <w:b/>
                <w:sz w:val="20"/>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2249" w:type="dxa"/>
            <w:gridSpan w:val="2"/>
            <w:tcBorders>
              <w:left w:val="single" w:color="auto" w:sz="4"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6"/>
            <w:tcBorders>
              <w:bottom w:val="single" w:color="auto" w:sz="4" w:space="0"/>
            </w:tcBorders>
            <w:vAlign w:val="center"/>
          </w:tcPr>
          <w:p>
            <w:pPr>
              <w:snapToGrid w:val="0"/>
              <w:spacing w:line="280" w:lineRule="exact"/>
              <w:jc w:val="center"/>
              <w:rPr>
                <w:rFonts w:hint="eastAsia" w:eastAsia="宋体"/>
                <w:b/>
                <w:sz w:val="20"/>
                <w:lang w:eastAsia="zh-CN"/>
              </w:rPr>
            </w:pPr>
            <w:r>
              <w:rPr>
                <w:rFonts w:hint="eastAsia"/>
                <w:b/>
                <w:sz w:val="20"/>
                <w:lang w:eastAsia="zh-CN"/>
              </w:rPr>
              <w:t>无</w:t>
            </w:r>
          </w:p>
        </w:tc>
      </w:tr>
    </w:tbl>
    <w:p>
      <w:pPr>
        <w:snapToGrid w:val="0"/>
        <w:rPr>
          <w:rFonts w:ascii="宋体"/>
          <w:b/>
          <w:sz w:val="22"/>
          <w:szCs w:val="22"/>
        </w:rPr>
      </w:pPr>
    </w:p>
    <w:p>
      <w:pPr>
        <w:snapToGrid w:val="0"/>
        <w:rPr>
          <w:rFonts w:hint="default" w:ascii="宋体" w:eastAsia="宋体"/>
          <w:b/>
          <w:sz w:val="22"/>
          <w:szCs w:val="22"/>
          <w:lang w:val="en-US" w:eastAsia="zh-CN"/>
        </w:rPr>
      </w:pPr>
      <w:r>
        <w:rPr>
          <w:rFonts w:hint="eastAsia" w:ascii="宋体"/>
          <w:b/>
          <w:sz w:val="22"/>
          <w:szCs w:val="22"/>
        </w:rPr>
        <w:t>填表人(专业人员)</w:t>
      </w:r>
      <w:r>
        <w:rPr>
          <w:rFonts w:hint="eastAsia" w:ascii="宋体"/>
          <w:b/>
          <w:sz w:val="18"/>
          <w:szCs w:val="18"/>
        </w:rPr>
        <w:t>：</w:t>
      </w:r>
      <w:r>
        <w:rPr>
          <w:rFonts w:hint="eastAsia"/>
          <w:b/>
          <w:sz w:val="22"/>
          <w:szCs w:val="22"/>
        </w:rPr>
        <w:t>日期</w:t>
      </w:r>
      <w:r>
        <w:rPr>
          <w:rFonts w:hint="eastAsia"/>
          <w:b/>
          <w:sz w:val="18"/>
          <w:szCs w:val="18"/>
        </w:rPr>
        <w:t>：</w:t>
      </w:r>
      <w:r>
        <w:rPr>
          <w:rFonts w:hint="eastAsia" w:ascii="宋体"/>
          <w:b/>
          <w:sz w:val="22"/>
          <w:szCs w:val="22"/>
        </w:rPr>
        <w:t xml:space="preserve"> </w:t>
      </w:r>
      <w:r>
        <w:rPr>
          <w:rFonts w:hint="eastAsia" w:ascii="宋体"/>
          <w:b/>
          <w:sz w:val="22"/>
          <w:szCs w:val="22"/>
          <w:lang w:eastAsia="zh-CN"/>
        </w:rPr>
        <w:t>李京田</w:t>
      </w:r>
      <w:r>
        <w:rPr>
          <w:rFonts w:hint="eastAsia" w:ascii="宋体"/>
          <w:b/>
          <w:sz w:val="22"/>
          <w:szCs w:val="22"/>
        </w:rPr>
        <w:t xml:space="preserve">            审核组长</w:t>
      </w:r>
      <w:r>
        <w:rPr>
          <w:rFonts w:hint="eastAsia" w:ascii="宋体"/>
          <w:b/>
          <w:sz w:val="18"/>
          <w:szCs w:val="18"/>
        </w:rPr>
        <w:t xml:space="preserve">：   </w:t>
      </w:r>
      <w:r>
        <w:rPr>
          <w:rFonts w:hint="eastAsia" w:ascii="宋体"/>
          <w:b/>
          <w:sz w:val="22"/>
          <w:szCs w:val="22"/>
        </w:rPr>
        <w:t xml:space="preserve"> </w:t>
      </w:r>
      <w:r>
        <w:rPr>
          <w:rFonts w:hint="eastAsia" w:ascii="宋体"/>
          <w:b/>
          <w:sz w:val="22"/>
          <w:szCs w:val="22"/>
          <w:lang w:eastAsia="zh-CN"/>
        </w:rPr>
        <w:t>李京田</w:t>
      </w:r>
      <w:r>
        <w:rPr>
          <w:rFonts w:hint="eastAsia" w:ascii="宋体"/>
          <w:b/>
          <w:sz w:val="22"/>
          <w:szCs w:val="22"/>
        </w:rPr>
        <w:t xml:space="preserve">  </w:t>
      </w:r>
      <w:r>
        <w:rPr>
          <w:rFonts w:hint="eastAsia" w:ascii="宋体"/>
          <w:b/>
          <w:sz w:val="18"/>
          <w:szCs w:val="18"/>
        </w:rPr>
        <w:t xml:space="preserve">             </w:t>
      </w:r>
      <w:r>
        <w:rPr>
          <w:rFonts w:hint="eastAsia"/>
          <w:b/>
          <w:sz w:val="22"/>
          <w:szCs w:val="22"/>
        </w:rPr>
        <w:t>日期</w:t>
      </w:r>
      <w:r>
        <w:rPr>
          <w:rFonts w:hint="eastAsia"/>
          <w:b/>
          <w:sz w:val="18"/>
          <w:szCs w:val="18"/>
        </w:rPr>
        <w:t>：</w:t>
      </w:r>
      <w:r>
        <w:rPr>
          <w:rFonts w:hint="eastAsia"/>
          <w:b/>
          <w:sz w:val="18"/>
          <w:szCs w:val="18"/>
          <w:lang w:val="en-US" w:eastAsia="zh-CN"/>
        </w:rPr>
        <w:t>2019.5.29</w:t>
      </w:r>
    </w:p>
    <w:p>
      <w:pPr>
        <w:snapToGrid w:val="0"/>
        <w:rPr>
          <w:rFonts w:ascii="宋体"/>
          <w:b/>
          <w:spacing w:val="-6"/>
          <w:sz w:val="18"/>
          <w:szCs w:val="18"/>
        </w:rPr>
      </w:pPr>
    </w:p>
    <w:p>
      <w:pPr>
        <w:snapToGrid w:val="0"/>
        <w:rPr>
          <w:rFonts w:ascii="宋体"/>
          <w:b/>
          <w:spacing w:val="-6"/>
          <w:sz w:val="20"/>
        </w:rPr>
      </w:pPr>
      <w:r>
        <w:rPr>
          <w:rFonts w:hint="eastAsia" w:ascii="宋体"/>
          <w:b/>
          <w:spacing w:val="-6"/>
          <w:sz w:val="18"/>
          <w:szCs w:val="18"/>
        </w:rPr>
        <w:t>注：</w:t>
      </w:r>
      <w:r>
        <w:rPr>
          <w:rFonts w:hint="eastAsia" w:ascii="宋体"/>
          <w:b/>
          <w:spacing w:val="-6"/>
          <w:sz w:val="21"/>
          <w:szCs w:val="21"/>
        </w:rPr>
        <w:t>如有其他培训内容或空格不够可另加附页</w:t>
      </w:r>
    </w:p>
    <w:p>
      <w:pPr>
        <w:pStyle w:val="2"/>
        <w:rPr>
          <w:rFonts w:hint="eastAsia" w:ascii="宋体"/>
          <w:b/>
          <w:spacing w:val="-6"/>
          <w:sz w:val="21"/>
          <w:szCs w:val="21"/>
        </w:rPr>
      </w:pPr>
    </w:p>
    <w:sectPr>
      <w:headerReference r:id="rId3" w:type="default"/>
      <w:pgSz w:w="11906" w:h="16838"/>
      <w:pgMar w:top="1440" w:right="1080" w:bottom="1440" w:left="1080" w:header="56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_x0000_s3073" o:spid="_x0000_s3073" o:spt="202" type="#_x0000_t202" style="position:absolute;left:0pt;margin-left:325.25pt;margin-top:2.2pt;height:20.2pt;width:159.25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ind w:firstLine="360" w:firstLineChars="200"/>
                </w:pPr>
                <w:r>
                  <w:rPr>
                    <w:rFonts w:hint="eastAsia"/>
                    <w:sz w:val="18"/>
                    <w:szCs w:val="18"/>
                  </w:rPr>
                  <w:t>ISC-B-I-15 专业培训记录(03版)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rPr>
        <w:rFonts w:hint="eastAsia"/>
      </w:rPr>
    </w:pPr>
    <w:r>
      <w:rPr>
        <w:rFonts w:hint="eastAsia"/>
      </w:rPr>
      <w:pict>
        <v:shape id="_x0000_s3074" o:spid="_x0000_s3074"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
      <o:rules v:ext="edit">
        <o:r id="V:Rule1" type="connector" idref="#_x0000_s3074"/>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E3011"/>
    <w:rsid w:val="00100E4C"/>
    <w:rsid w:val="00131FD1"/>
    <w:rsid w:val="00236D1A"/>
    <w:rsid w:val="002B54AD"/>
    <w:rsid w:val="00315455"/>
    <w:rsid w:val="003C6FC5"/>
    <w:rsid w:val="0044725C"/>
    <w:rsid w:val="00477A1B"/>
    <w:rsid w:val="004E3011"/>
    <w:rsid w:val="00500E96"/>
    <w:rsid w:val="0059187A"/>
    <w:rsid w:val="005F092E"/>
    <w:rsid w:val="0060532A"/>
    <w:rsid w:val="00632E1D"/>
    <w:rsid w:val="00922324"/>
    <w:rsid w:val="00955C6E"/>
    <w:rsid w:val="009D1743"/>
    <w:rsid w:val="009D185D"/>
    <w:rsid w:val="00A077ED"/>
    <w:rsid w:val="00BA17F9"/>
    <w:rsid w:val="00BF25A4"/>
    <w:rsid w:val="00D062D3"/>
    <w:rsid w:val="00D635DF"/>
    <w:rsid w:val="00E04B4E"/>
    <w:rsid w:val="00E13E47"/>
    <w:rsid w:val="00E628C3"/>
    <w:rsid w:val="00E76B89"/>
    <w:rsid w:val="00EA2818"/>
    <w:rsid w:val="00EB1B24"/>
    <w:rsid w:val="00F61886"/>
    <w:rsid w:val="0A814EE2"/>
    <w:rsid w:val="0B4A7BD4"/>
    <w:rsid w:val="0E375945"/>
    <w:rsid w:val="0F4E6BC6"/>
    <w:rsid w:val="12CE5B2B"/>
    <w:rsid w:val="1D2E6271"/>
    <w:rsid w:val="1DC537ED"/>
    <w:rsid w:val="2EAC33F8"/>
    <w:rsid w:val="303F4B65"/>
    <w:rsid w:val="30972AB7"/>
    <w:rsid w:val="348A54C1"/>
    <w:rsid w:val="39226E2A"/>
    <w:rsid w:val="430E59E1"/>
    <w:rsid w:val="444C2ED8"/>
    <w:rsid w:val="496A0EBF"/>
    <w:rsid w:val="49846477"/>
    <w:rsid w:val="4C044200"/>
    <w:rsid w:val="59154E70"/>
    <w:rsid w:val="635C1D4A"/>
    <w:rsid w:val="6505503D"/>
    <w:rsid w:val="67C67A81"/>
    <w:rsid w:val="6D9011DE"/>
    <w:rsid w:val="6DB66D19"/>
    <w:rsid w:val="78274FC6"/>
    <w:rsid w:val="78A13223"/>
    <w:rsid w:val="79761111"/>
    <w:rsid w:val="7DDC7C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44</Words>
  <Characters>251</Characters>
  <Lines>2</Lines>
  <Paragraphs>1</Paragraphs>
  <TotalTime>0</TotalTime>
  <ScaleCrop>false</ScaleCrop>
  <LinksUpToDate>false</LinksUpToDate>
  <CharactersWithSpaces>294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叶子</cp:lastModifiedBy>
  <dcterms:modified xsi:type="dcterms:W3CDTF">2021-08-01T15:05:19Z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12A0E72E55FE4802B46F5BEA3CDA9AE8</vt:lpwstr>
  </property>
</Properties>
</file>