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恒百锐供应链管理股份有限公司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王清文、王璐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郭丽梅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李凤仪、</w:t>
            </w:r>
            <w:r>
              <w:rPr>
                <w:rFonts w:hint="eastAsia"/>
                <w:color w:val="000000"/>
                <w:sz w:val="24"/>
                <w:szCs w:val="24"/>
              </w:rPr>
              <w:t>滕宇飞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2021年08月24日 上午至2021年08月2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上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bookmarkStart w:id="3" w:name="机构代码"/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>9121024272884381X1</w:t>
            </w:r>
            <w:bookmarkEnd w:id="3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危险化学品经营，成品油批发（限危险化学品），有毒化学品进出口等。。。。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auto"/>
                <w:sz w:val="20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审核范围"/>
            <w:r>
              <w:rPr>
                <w:color w:val="auto"/>
                <w:sz w:val="20"/>
                <w:u w:val="single"/>
              </w:rPr>
              <w:t>Q：二甲苯、甲基叔丁基醚的销售（资质许可范围内）</w:t>
            </w:r>
          </w:p>
          <w:p>
            <w:pPr>
              <w:rPr>
                <w:color w:val="auto"/>
                <w:sz w:val="20"/>
                <w:u w:val="single"/>
              </w:rPr>
            </w:pPr>
            <w:r>
              <w:rPr>
                <w:color w:val="auto"/>
                <w:sz w:val="20"/>
                <w:u w:val="single"/>
              </w:rPr>
              <w:t>E：二甲苯、甲基叔丁基醚的销售（资质许可范围内）所涉及场所的相关环境管理活动</w:t>
            </w:r>
          </w:p>
          <w:p>
            <w:pPr>
              <w:spacing w:line="320" w:lineRule="exact"/>
              <w:ind w:firstLine="400" w:firstLineChars="200"/>
              <w:rPr>
                <w:color w:val="000000"/>
              </w:rPr>
            </w:pPr>
            <w:r>
              <w:rPr>
                <w:color w:val="auto"/>
                <w:sz w:val="20"/>
                <w:u w:val="single"/>
              </w:rPr>
              <w:t>O：二甲苯、甲基叔丁基醚的销售（资质许可范围内）所涉及场所的相关职业健康安全管理活动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危险化学品经营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pStyle w:val="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>大保安经字（2018）0160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  <w:lang w:val="en-US" w:eastAsia="zh-CN"/>
              </w:rPr>
              <w:t>2021年11月19日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覆盖认证范围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5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u w:val="single"/>
                <w:lang w:val="en-GB" w:eastAsia="zh-CN" w:bidi="ar-SA"/>
              </w:rPr>
              <w:t>辽宁省大连保税区慧能大厦708B</w:t>
            </w:r>
            <w:bookmarkEnd w:id="5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6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u w:val="single"/>
                <w:lang w:val="en-GB" w:eastAsia="zh-CN" w:bidi="ar-SA"/>
              </w:rPr>
              <w:t>大连市中山区五五路港湾中心2415</w:t>
            </w:r>
            <w:bookmarkEnd w:id="6"/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2" o:spid="_x0000_s1035" o:spt="202" type="#_x0000_t202" style="position:absolute;left:0pt;margin-left:5.3pt;margin-top:13.7pt;height:28.15pt;width:51.2pt;z-index:25166540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询单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8" o:spid="_x0000_s1031" o:spt="202" type="#_x0000_t202" style="position:absolute;left:0pt;margin-left:335.65pt;margin-top:15.3pt;height:22.3pt;width:50.6pt;z-index:2516613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检验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18"/>
              </w:rPr>
              <w:pict>
                <v:shape id="文本框 111" o:spid="_x0000_s1034" o:spt="202" type="#_x0000_t202" style="position:absolute;left:0pt;margin-left:248.7pt;margin-top:10.8pt;height:23.65pt;width:52.55pt;z-index:2516592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采购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3" o:spid="_x0000_s1026" o:spt="32" type="#_x0000_t32" style="position:absolute;left:0pt;flip:y;margin-left:229.75pt;margin-top:22.9pt;height:0.95pt;width:19.55pt;z-index:251670528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文本框 82" o:spid="_x0000_s1025" o:spt="202" type="#_x0000_t202" style="position:absolute;left:0pt;margin-left:168.1pt;margin-top:10.7pt;height:23.55pt;width:62.95pt;z-index:25166950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签订合同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5" o:spid="_x0000_s1028" o:spt="32" type="#_x0000_t32" style="position:absolute;left:0pt;margin-left:145.3pt;margin-top:23.05pt;height:1.15pt;width:21.85pt;z-index:251668480;mso-width-relative:page;mso-height-relative:page;" filled="f" stroked="t" coordsize="21600,21600">
                  <v:path arrowok="t"/>
                  <v:fill on="f" focussize="0,0"/>
                  <v:stroke color="#000000" joinstyle="round" endarrow="block"/>
                  <v:imagedata o:title=""/>
                  <o:lock v:ext="edit" aspectratio="f"/>
                </v:shape>
              </w:pict>
            </w:r>
            <w:r>
              <w:rPr>
                <w:color w:val="000000"/>
              </w:rPr>
              <w:pict>
                <v:shape id="自选图形 113" o:spid="_x0000_s1036" o:spt="32" type="#_x0000_t32" style="position:absolute;left:0pt;margin-left:58.4pt;margin-top:27.4pt;height:0pt;width:30pt;z-index:251666432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04" o:spid="_x0000_s1027" o:spt="202" type="#_x0000_t202" style="position:absolute;left:0pt;margin-left:85.65pt;margin-top:14.5pt;height:25.55pt;width:59pt;z-index:25166745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合同评审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文本框 106" o:spid="_x0000_s1029" o:spt="202" type="#_x0000_t202" style="position:absolute;left:0pt;margin-left:418.6pt;margin-top:15.8pt;height:21.65pt;width:50.6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发货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07" o:spid="_x0000_s1030" o:spt="32" type="#_x0000_t32" style="position:absolute;left:0pt;margin-left:470.45pt;margin-top:24.35pt;height:0pt;width:30pt;z-index:251664384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自选图形 109" o:spid="_x0000_s1032" o:spt="32" type="#_x0000_t32" style="position:absolute;left:0pt;margin-left:386.85pt;margin-top:23.85pt;height:0pt;width:30pt;z-index:251662336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  <w:szCs w:val="18"/>
              </w:rPr>
              <w:pict>
                <v:shape id="自选图形 110" o:spid="_x0000_s1033" o:spt="32" type="#_x0000_t32" style="position:absolute;left:0pt;margin-left:302.5pt;margin-top:23.95pt;height:0pt;width:30pt;z-index:251660288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</w:rPr>
              <w:pict>
                <v:shape id="文本框 115" o:spid="_x0000_s1038" o:spt="202" type="#_x0000_t202" style="position:absolute;left:0pt;margin-left:5.05pt;margin-top:4.75pt;height:25.55pt;width:50.6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验收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自选图形 114" o:spid="_x0000_s1037" o:spt="32" type="#_x0000_t32" style="position:absolute;left:0pt;margin-left:55.6pt;margin-top:12pt;height:0pt;width:30pt;z-index:251673600;mso-width-relative:page;mso-height-relative:page;" filled="f" stroked="t" coordsize="21600,21600">
                  <v:path arrowok="t"/>
                  <v:fill on="f" focussize="0,0"/>
                  <v:stroke joinstyle="round" endarrow="block"/>
                  <v:imagedata o:title=""/>
                  <o:lock v:ext="edit"/>
                </v:shape>
              </w:pict>
            </w:r>
            <w:r>
              <w:rPr>
                <w:color w:val="000000"/>
              </w:rPr>
              <w:pict>
                <v:shape id="文本框 121" o:spid="_x0000_s1044" o:spt="202" type="#_x0000_t202" style="position:absolute;left:0pt;margin-left:84.35pt;margin-top:3.55pt;height:23.55pt;width:50.6pt;z-index:2516715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color w:val="000000"/>
                          </w:rPr>
                          <w:t>售后服务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产品运输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cs="宋体"/>
                <w:b/>
                <w:color w:val="000000"/>
                <w:u w:val="single"/>
              </w:rPr>
              <w:t>守法诚信追求质量，预防污染保护环境； 关爱员工健康安全，持续改进追求卓越</w:t>
            </w:r>
            <w:r>
              <w:rPr>
                <w:rFonts w:hint="eastAsia" w:cs="宋体"/>
                <w:b/>
                <w:color w:val="000000"/>
                <w:u w:val="single"/>
                <w:lang w:eastAsia="zh-CN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pStyle w:val="5"/>
              <w:rPr>
                <w:color w:val="000000"/>
                <w:szCs w:val="18"/>
                <w:u w:val="single"/>
              </w:rPr>
            </w:pPr>
          </w:p>
          <w:tbl>
            <w:tblPr>
              <w:tblStyle w:val="8"/>
              <w:tblpPr w:leftFromText="180" w:rightFromText="180" w:vertAnchor="text" w:horzAnchor="page" w:tblpX="783" w:tblpY="549"/>
              <w:tblOverlap w:val="never"/>
              <w:tblW w:w="106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029"/>
              <w:gridCol w:w="3691"/>
              <w:gridCol w:w="1030"/>
              <w:gridCol w:w="24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1）销售产品合格率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val="en-US" w:eastAsia="zh-CN" w:bidi="ar"/>
                    </w:rPr>
                    <w:t>100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%；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销售产品质量合格率=销售产品质量合格次数/销售产品总次数×100%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2）产品交付及时率100%；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产品交付及时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/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产品交付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总次数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×100%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3）合同评审率100%；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合同评审率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val="en-US" w:eastAsia="zh-CN" w:bidi="ar"/>
                    </w:rPr>
                    <w:t>=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合同评审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次数/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合同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签订总数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×100%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2443" w:type="dxa"/>
                </w:tcPr>
                <w:p>
                  <w:pPr>
                    <w:widowControl/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4）顾客满意率95%以上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顾客满意率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val="en-US" w:eastAsia="zh-CN" w:bidi="ar"/>
                    </w:rPr>
                    <w:t>=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bidi="ar"/>
                    </w:rPr>
                    <w:t>满意度调查分数/总分数*100%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96%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5)固体废弃物100%分类，合理处理；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固废分类率=分类次数/固废处理总数×100%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100%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val="en-US" w:eastAsia="zh-CN" w:bidi="ar"/>
                    </w:rPr>
                    <w:t>分类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6）环境污染事故发生率为零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  <w:t>环境污染事故发生率=环境污染事故发生数/100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autoSpaceDE w:val="0"/>
                    <w:autoSpaceDN w:val="0"/>
                    <w:adjustRightInd w:val="0"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7）各类重伤以上事故发生率为零；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每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季度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初对上一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季度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的</w:t>
                  </w:r>
                  <w:r>
                    <w:rPr>
                      <w:rFonts w:hint="eastAsia" w:ascii="宋体" w:hAnsi="宋体" w:eastAsia="宋体"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意外伤害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人次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进行统计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highlight w:val="none"/>
                      <w:lang w:bidi="ar"/>
                    </w:rPr>
                    <w:t>8）火灾事故发生率为零。</w:t>
                  </w:r>
                </w:p>
              </w:tc>
              <w:tc>
                <w:tcPr>
                  <w:tcW w:w="102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  <w:tc>
                <w:tcPr>
                  <w:tcW w:w="369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宋体" w:hAnsi="宋体" w:cs="宋体"/>
                      <w:color w:val="auto"/>
                      <w:kern w:val="0"/>
                      <w:szCs w:val="22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每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季度初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对上一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季度</w:t>
                  </w:r>
                  <w:r>
                    <w:rPr>
                      <w:rFonts w:hint="eastAsia" w:ascii="宋体" w:hAnsi="宋体"/>
                      <w:bCs/>
                      <w:color w:val="auto"/>
                      <w:sz w:val="22"/>
                      <w:szCs w:val="22"/>
                      <w:highlight w:val="none"/>
                    </w:rPr>
                    <w:t>的火灾事故进行统计</w:t>
                  </w:r>
                </w:p>
              </w:tc>
              <w:tc>
                <w:tcPr>
                  <w:tcW w:w="1030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auto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246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18"/>
                      <w:highlight w:val="none"/>
                      <w:lang w:val="en-US" w:eastAsia="zh-CN"/>
                    </w:rPr>
                    <w:t>每季度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Q8.3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pStyle w:val="6"/>
              <w:spacing w:line="320" w:lineRule="exact"/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合理理由的详细说明： 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公司所销售产品均按照国家标准、行业标准或顾客要求提供，不存在产品的设计和开发过程。故</w:t>
            </w:r>
            <w:r>
              <w:rPr>
                <w:rFonts w:hint="eastAsia" w:hAnsi="宋体"/>
                <w:color w:val="auto"/>
                <w:sz w:val="21"/>
                <w:szCs w:val="21"/>
                <w:u w:val="single"/>
              </w:rPr>
              <w:t>Q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single"/>
              </w:rPr>
              <w:t>8.3条款不适用。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销售服务过程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</w:rPr>
              <w:t>人员技能、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</w:rPr>
              <w:t>设备能力、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</w:rPr>
              <w:t>原料控制、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</w:rPr>
              <w:t>工艺方法、</w:t>
            </w:r>
            <w:r>
              <w:rPr>
                <w:rFonts w:hint="eastAsia"/>
                <w:color w:val="000000"/>
                <w:szCs w:val="21"/>
                <w:u w:val="singl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single"/>
              </w:rPr>
              <w:t>工作环境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销售服务过程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其他：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出厂检验报告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  <w:r>
              <w:rPr>
                <w:rFonts w:hint="eastAsia"/>
                <w:color w:val="000000"/>
                <w:lang w:val="en-US" w:eastAsia="zh-CN"/>
              </w:rPr>
              <w:t>石油混合二甲苯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中石化石家庄炼化分公司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lang w:val="en-US" w:eastAsia="zh-CN"/>
              </w:rPr>
              <w:t>SJZLH-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JLB-1003-167-2020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lang w:val="en-US" w:eastAsia="zh-CN"/>
              </w:rPr>
              <w:t>2021-5-12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GB/T3407-2019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  <w:r>
              <w:rPr>
                <w:rFonts w:hint="eastAsia"/>
                <w:color w:val="auto"/>
                <w:lang w:val="en-US" w:eastAsia="zh-CN"/>
              </w:rPr>
              <w:t>石油混合二甲苯</w:t>
            </w:r>
          </w:p>
          <w:p>
            <w:pPr>
              <w:widowControl/>
              <w:jc w:val="left"/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东明前海化工有限公司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lang w:val="en-US" w:eastAsia="zh-CN"/>
              </w:rPr>
              <w:t>DDJ/JLZJHY2-67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lang w:val="en-US" w:eastAsia="zh-CN"/>
              </w:rPr>
              <w:t>2021-7-14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Q/1728DQH 01-2020标准 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电脑、打印机、投影仪等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无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公司为销售类公司现由供方提供试验报告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公司无</w:t>
            </w:r>
            <w:r>
              <w:rPr>
                <w:rFonts w:hint="eastAsia"/>
                <w:color w:val="000000"/>
              </w:rPr>
              <w:t>特种设备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不涉及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销售类公司不涉及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销售类公司不涉及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销售类公司不涉及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销售类公司不涉及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销售类公司不涉及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已收集MSDS报告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 xml:space="preserve"> 了解特种作业人员的状况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不涉及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不涉及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  <w:r>
              <w:rPr>
                <w:rFonts w:hint="eastAsia"/>
                <w:color w:val="000000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不涉及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bookmarkStart w:id="7" w:name="_GoBack"/>
            <w:bookmarkEnd w:id="7"/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2D4F68"/>
    <w:rsid w:val="1D5C1C29"/>
    <w:rsid w:val="21C21DDE"/>
    <w:rsid w:val="2470557D"/>
    <w:rsid w:val="3FE74FE9"/>
    <w:rsid w:val="4E756F73"/>
    <w:rsid w:val="514B6E0E"/>
    <w:rsid w:val="529A0F02"/>
    <w:rsid w:val="535041FC"/>
    <w:rsid w:val="6C3E38EC"/>
    <w:rsid w:val="79827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03"/>
        <o:r id="V:Rule2" type="connector" idref="#自选图形 105"/>
        <o:r id="V:Rule3" type="connector" idref="#自选图形 107"/>
        <o:r id="V:Rule4" type="connector" idref="#自选图形 109"/>
        <o:r id="V:Rule5" type="connector" idref="#自选图形 110"/>
        <o:r id="V:Rule6" type="connector" idref="#自选图形 113"/>
        <o:r id="V:Rule7" type="connector" idref="#自选图形 1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5"/>
    <customShpInfo spid="_x0000_s1031"/>
    <customShpInfo spid="_x0000_s1034"/>
    <customShpInfo spid="_x0000_s1026"/>
    <customShpInfo spid="_x0000_s1025"/>
    <customShpInfo spid="_x0000_s1028"/>
    <customShpInfo spid="_x0000_s1036"/>
    <customShpInfo spid="_x0000_s1027"/>
    <customShpInfo spid="_x0000_s1029"/>
    <customShpInfo spid="_x0000_s1030"/>
    <customShpInfo spid="_x0000_s1032"/>
    <customShpInfo spid="_x0000_s1033"/>
    <customShpInfo spid="_x0000_s1038"/>
    <customShpInfo spid="_x0000_s1037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4</TotalTime>
  <ScaleCrop>false</ScaleCrop>
  <LinksUpToDate>false</LinksUpToDate>
  <CharactersWithSpaces>18099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李凤仪</cp:lastModifiedBy>
  <dcterms:modified xsi:type="dcterms:W3CDTF">2021-09-03T14:29:16Z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2052-11.1.0.10700</vt:lpwstr>
  </property>
</Properties>
</file>