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8"/>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439"/>
        <w:gridCol w:w="1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中国石化长城能源化工（宁夏）有限公司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hint="default" w:ascii="Arial" w:hAnsi="Arial" w:eastAsia="宋体" w:cs="Arial"/>
                <w:b/>
                <w:sz w:val="30"/>
                <w:szCs w:val="30"/>
                <w:lang w:val="en-US" w:eastAsia="zh-CN"/>
              </w:rPr>
            </w:pPr>
            <w:bookmarkStart w:id="1" w:name="Q勾选"/>
            <w:r>
              <w:rPr>
                <w:rFonts w:hint="eastAsia"/>
                <w:b/>
                <w:szCs w:val="21"/>
              </w:rPr>
              <w:t>□</w:t>
            </w:r>
            <w:bookmarkEnd w:id="1"/>
            <w:r>
              <w:rPr>
                <w:b/>
                <w:spacing w:val="-2"/>
                <w:szCs w:val="21"/>
              </w:rPr>
              <w:t>QMS</w:t>
            </w:r>
            <w:r>
              <w:rPr>
                <w:rFonts w:hint="eastAsia"/>
                <w:b/>
                <w:spacing w:val="-2"/>
                <w:szCs w:val="21"/>
              </w:rPr>
              <w:t>　　</w:t>
            </w:r>
            <w:bookmarkStart w:id="2" w:name="E勾选"/>
            <w:r>
              <w:rPr>
                <w:rFonts w:hint="eastAsia"/>
                <w:b/>
                <w:szCs w:val="21"/>
              </w:rPr>
              <w:t>□</w:t>
            </w:r>
            <w:bookmarkEnd w:id="2"/>
            <w:r>
              <w:rPr>
                <w:b/>
                <w:spacing w:val="-2"/>
                <w:szCs w:val="21"/>
              </w:rPr>
              <w:t>EMS</w:t>
            </w:r>
            <w:r>
              <w:rPr>
                <w:rFonts w:hint="eastAsia"/>
                <w:b/>
                <w:spacing w:val="-2"/>
                <w:szCs w:val="21"/>
              </w:rPr>
              <w:t>　　　</w:t>
            </w:r>
            <w:bookmarkStart w:id="3" w:name="S勾选"/>
            <w:r>
              <w:rPr>
                <w:rFonts w:hint="eastAsia"/>
                <w:b/>
                <w:szCs w:val="21"/>
              </w:rPr>
              <w:t>□</w:t>
            </w:r>
            <w:bookmarkEnd w:id="3"/>
            <w:r>
              <w:rPr>
                <w:b/>
                <w:spacing w:val="-2"/>
                <w:szCs w:val="21"/>
              </w:rPr>
              <w:t>OHSMS</w:t>
            </w:r>
            <w:r>
              <w:rPr>
                <w:rFonts w:hint="eastAsia"/>
                <w:b/>
                <w:spacing w:val="-2"/>
                <w:szCs w:val="21"/>
                <w:lang w:val="en-US" w:eastAsia="zh-CN"/>
              </w:rPr>
              <w:t xml:space="preserve">   </w:t>
            </w:r>
            <w:r>
              <w:rPr>
                <w:rFonts w:hint="eastAsia"/>
                <w:b/>
                <w:szCs w:val="21"/>
              </w:rPr>
              <w:sym w:font="Wingdings 2" w:char="0052"/>
            </w:r>
            <w:r>
              <w:rPr>
                <w:b/>
                <w:spacing w:val="-2"/>
                <w:szCs w:val="21"/>
              </w:rPr>
              <w:t>E</w:t>
            </w:r>
            <w:r>
              <w:rPr>
                <w:rFonts w:hint="eastAsia"/>
                <w:b/>
                <w:spacing w:val="-2"/>
                <w:szCs w:val="21"/>
                <w:lang w:val="en-US" w:eastAsia="zh-CN"/>
              </w:rPr>
              <w:t>n</w:t>
            </w:r>
            <w:r>
              <w:rPr>
                <w:b/>
                <w:spacing w:val="-2"/>
                <w:szCs w:val="21"/>
              </w:rPr>
              <w:t>MS</w:t>
            </w:r>
          </w:p>
          <w:p>
            <w:bookmarkStart w:id="4" w:name="审核类型ZB"/>
            <w:r>
              <w:rPr>
                <w:rFonts w:hint="eastAsia"/>
                <w:b/>
                <w:szCs w:val="21"/>
              </w:rPr>
              <w:t>能源管理体系：初次认证第（二）阶段</w:t>
            </w:r>
            <w:bookmarkEnd w:id="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7382"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1641"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exact"/>
          <w:jc w:val="center"/>
        </w:trPr>
        <w:tc>
          <w:tcPr>
            <w:tcW w:w="90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1</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在设备管理制度中明确了在合理的区间运行的要求，未对设备运行测试提出要求；建议逐步完善</w:t>
            </w:r>
          </w:p>
          <w:p>
            <w:pPr>
              <w:jc w:val="left"/>
              <w:rPr>
                <w:rFonts w:hint="eastAsia"/>
                <w:lang w:val="en-US" w:eastAsia="zh-CN"/>
              </w:rPr>
            </w:pP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设备工程部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exact"/>
          <w:jc w:val="center"/>
        </w:trPr>
        <w:tc>
          <w:tcPr>
            <w:tcW w:w="90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2</w:t>
            </w:r>
          </w:p>
        </w:tc>
        <w:tc>
          <w:tcPr>
            <w:tcW w:w="7382" w:type="dxa"/>
            <w:gridSpan w:val="2"/>
            <w:tcBorders>
              <w:left w:val="single" w:color="auto" w:sz="4" w:space="0"/>
              <w:right w:val="single" w:color="auto" w:sz="4" w:space="0"/>
            </w:tcBorders>
            <w:vAlign w:val="center"/>
          </w:tcPr>
          <w:p>
            <w:pPr>
              <w:jc w:val="left"/>
              <w:rPr>
                <w:rFonts w:hint="eastAsia"/>
                <w:lang w:val="en-US" w:eastAsia="zh-CN"/>
              </w:rPr>
            </w:pPr>
            <w:r>
              <w:rPr>
                <w:rFonts w:hint="eastAsia"/>
                <w:lang w:val="en-US" w:eastAsia="zh-CN"/>
              </w:rPr>
              <w:t>机泵运行效率测试工作正在开展，目前尚未进行机、泵的运行效率测试，部分运行部的运行效率，如GTR4高压泵A电机效率达到96%；二级反渗透高压泵电机效率达到95%，数据可信度差。</w:t>
            </w:r>
          </w:p>
          <w:p>
            <w:pPr>
              <w:jc w:val="left"/>
              <w:rPr>
                <w:rFonts w:hint="eastAsia"/>
                <w:lang w:val="en-US" w:eastAsia="zh-CN"/>
              </w:rPr>
            </w:pP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设备工程部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exact"/>
          <w:jc w:val="center"/>
        </w:trPr>
        <w:tc>
          <w:tcPr>
            <w:tcW w:w="90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3</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建议企业逐步考虑换热器的运行效率的测试工作。</w:t>
            </w:r>
          </w:p>
          <w:p>
            <w:pPr>
              <w:jc w:val="left"/>
              <w:rPr>
                <w:rFonts w:hint="eastAsia"/>
                <w:lang w:val="en-US" w:eastAsia="zh-CN"/>
              </w:rPr>
            </w:pP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设备工程部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7" w:hRule="exact"/>
          <w:jc w:val="center"/>
        </w:trPr>
        <w:tc>
          <w:tcPr>
            <w:tcW w:w="90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宋体" w:cs="Times New Roman" w:asciiTheme="minorEastAsia" w:hAnsiTheme="minorEastAsia"/>
                <w:kern w:val="2"/>
                <w:sz w:val="24"/>
                <w:szCs w:val="24"/>
                <w:lang w:val="en-US" w:eastAsia="zh-CN" w:bidi="ar-SA"/>
              </w:rPr>
            </w:pPr>
            <w:r>
              <w:rPr>
                <w:rFonts w:hint="eastAsia" w:eastAsia="宋体" w:cs="Times New Roman" w:asciiTheme="minorEastAsia" w:hAnsiTheme="minorEastAsia"/>
                <w:kern w:val="2"/>
                <w:sz w:val="24"/>
                <w:szCs w:val="24"/>
                <w:lang w:val="en-US" w:eastAsia="zh-CN" w:bidi="ar-SA"/>
              </w:rPr>
              <w:t>4</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提供的“1#所用变TM1变压器运行状态能耗测试表”，测试时间：2021.07.05，未提供评价性结论。</w:t>
            </w:r>
          </w:p>
          <w:p>
            <w:pPr>
              <w:jc w:val="left"/>
              <w:rPr>
                <w:rFonts w:hint="eastAsia"/>
                <w:lang w:val="en-US" w:eastAsia="zh-CN"/>
              </w:rPr>
            </w:pP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设备工程部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5</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查报告中编制依据“GB/T 2588-2000 设备热效率计算通则”已作废</w:t>
            </w:r>
          </w:p>
          <w:p>
            <w:pPr>
              <w:jc w:val="left"/>
              <w:rPr>
                <w:rFonts w:hint="eastAsia"/>
                <w:lang w:val="en-US" w:eastAsia="zh-CN"/>
              </w:rPr>
            </w:pPr>
          </w:p>
        </w:tc>
        <w:tc>
          <w:tcPr>
            <w:tcW w:w="1641" w:type="dxa"/>
            <w:tcBorders>
              <w:left w:val="single" w:color="auto" w:sz="4" w:space="0"/>
            </w:tcBorders>
            <w:vAlign w:val="center"/>
          </w:tcPr>
          <w:p>
            <w:pPr>
              <w:jc w:val="center"/>
              <w:rPr>
                <w:rFonts w:hint="default"/>
                <w:lang w:val="en-US" w:eastAsia="zh-CN"/>
              </w:rPr>
            </w:pPr>
            <w:r>
              <w:rPr>
                <w:rFonts w:hint="eastAsia"/>
                <w:lang w:val="en-US" w:eastAsia="zh-CN"/>
              </w:rPr>
              <w:t>乙炔运行部/BDO运行部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6</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乙炔装置的能源评审报告未确定运行部级能源绩效参数和能源基准及能源目标，建议乙炔装置的能源绩效参数增加单位产品氮气消耗、单位产品循环水消耗和冷冻水消耗等。</w:t>
            </w:r>
          </w:p>
          <w:p>
            <w:pPr>
              <w:jc w:val="left"/>
              <w:rPr>
                <w:rFonts w:hint="eastAsia"/>
                <w:lang w:val="en-US" w:eastAsia="zh-CN"/>
              </w:rPr>
            </w:pPr>
            <w:r>
              <w:rPr>
                <w:rFonts w:hint="eastAsia"/>
                <w:lang w:val="en-US" w:eastAsia="zh-CN"/>
              </w:rPr>
              <w:t>，</w:t>
            </w:r>
          </w:p>
          <w:p>
            <w:pPr>
              <w:jc w:val="left"/>
              <w:rPr>
                <w:rFonts w:hint="default"/>
                <w:lang w:val="en-US" w:eastAsia="zh-CN"/>
              </w:rPr>
            </w:pP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乙炔运行部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7382" w:type="dxa"/>
            <w:gridSpan w:val="2"/>
            <w:tcBorders>
              <w:left w:val="single" w:color="auto" w:sz="4" w:space="0"/>
              <w:right w:val="single" w:color="auto" w:sz="4" w:space="0"/>
            </w:tcBorders>
            <w:vAlign w:val="center"/>
          </w:tcPr>
          <w:p>
            <w:pPr>
              <w:jc w:val="left"/>
              <w:rPr>
                <w:rFonts w:hint="eastAsia"/>
                <w:lang w:val="en-US" w:eastAsia="zh-CN"/>
              </w:rPr>
            </w:pPr>
            <w:r>
              <w:rPr>
                <w:rFonts w:hint="eastAsia"/>
                <w:lang w:val="en-US" w:eastAsia="zh-CN"/>
              </w:rPr>
              <w:t>根据“企业各主要产品综合能源消耗统计表 ”乙炔运行部电石生产过程是主要用能工序，石灰</w:t>
            </w:r>
            <w:r>
              <w:rPr>
                <w:rFonts w:hint="default"/>
                <w:lang w:eastAsia="zh-CN"/>
              </w:rPr>
              <w:t>工序比</w:t>
            </w:r>
            <w:r>
              <w:rPr>
                <w:rFonts w:hint="eastAsia"/>
                <w:lang w:val="en-US" w:eastAsia="zh-CN"/>
              </w:rPr>
              <w:t>乙炔工序用能</w:t>
            </w:r>
            <w:r>
              <w:rPr>
                <w:rFonts w:hint="default"/>
                <w:lang w:eastAsia="zh-CN"/>
              </w:rPr>
              <w:t>大</w:t>
            </w:r>
            <w:r>
              <w:rPr>
                <w:rFonts w:hint="eastAsia"/>
                <w:lang w:val="en-US" w:eastAsia="zh-CN"/>
              </w:rPr>
              <w:t>。建议乙炔运行部编制原料车间的能源评审报告</w:t>
            </w: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乙炔运行部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9"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8</w:t>
            </w:r>
          </w:p>
        </w:tc>
        <w:tc>
          <w:tcPr>
            <w:tcW w:w="7382" w:type="dxa"/>
            <w:gridSpan w:val="2"/>
            <w:tcBorders>
              <w:left w:val="single" w:color="auto" w:sz="4" w:space="0"/>
              <w:right w:val="single" w:color="auto" w:sz="4" w:space="0"/>
            </w:tcBorders>
            <w:vAlign w:val="center"/>
          </w:tcPr>
          <w:p>
            <w:pPr>
              <w:jc w:val="left"/>
              <w:rPr>
                <w:rFonts w:hint="eastAsia"/>
                <w:lang w:val="en-US" w:eastAsia="zh-CN"/>
              </w:rPr>
            </w:pPr>
            <w:r>
              <w:rPr>
                <w:rFonts w:hint="eastAsia"/>
                <w:lang w:val="en-US" w:eastAsia="zh-CN"/>
              </w:rPr>
              <w:t>变压器效率测试“变压器效率（%）”，按照《GB 20052-2020 电力变压器能效限定值及能效等级》标准应描述为“空载损耗”、“负载损耗”</w:t>
            </w:r>
          </w:p>
        </w:tc>
        <w:tc>
          <w:tcPr>
            <w:tcW w:w="1641" w:type="dxa"/>
            <w:tcBorders>
              <w:left w:val="single" w:color="auto" w:sz="4" w:space="0"/>
            </w:tcBorders>
            <w:vAlign w:val="center"/>
          </w:tcPr>
          <w:p>
            <w:pPr>
              <w:jc w:val="center"/>
              <w:rPr>
                <w:rFonts w:hint="default"/>
                <w:lang w:val="en-US" w:eastAsia="zh-CN"/>
              </w:rPr>
            </w:pPr>
            <w:r>
              <w:rPr>
                <w:rFonts w:hint="eastAsia"/>
                <w:lang w:val="en-US" w:eastAsia="zh-CN"/>
              </w:rPr>
              <w:t>乙炔运行部/BDO运行部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5" w:hRule="exact"/>
          <w:jc w:val="center"/>
        </w:trPr>
        <w:tc>
          <w:tcPr>
            <w:tcW w:w="900" w:type="dxa"/>
            <w:tcBorders>
              <w:right w:val="single" w:color="auto" w:sz="4" w:space="0"/>
            </w:tcBorders>
            <w:vAlign w:val="center"/>
          </w:tcPr>
          <w:p>
            <w:pPr>
              <w:jc w:val="center"/>
              <w:rPr>
                <w:rFonts w:hint="eastAsia" w:eastAsia="宋体"/>
                <w:lang w:val="en-US" w:eastAsia="zh-CN"/>
              </w:rPr>
            </w:pPr>
            <w:r>
              <w:rPr>
                <w:rFonts w:hint="eastAsia"/>
                <w:lang w:val="en-US" w:eastAsia="zh-CN"/>
              </w:rPr>
              <w:t>9</w:t>
            </w:r>
          </w:p>
        </w:tc>
        <w:tc>
          <w:tcPr>
            <w:tcW w:w="7382" w:type="dxa"/>
            <w:gridSpan w:val="2"/>
            <w:tcBorders>
              <w:left w:val="single" w:color="auto" w:sz="4" w:space="0"/>
              <w:right w:val="single" w:color="auto" w:sz="4" w:space="0"/>
            </w:tcBorders>
            <w:vAlign w:val="center"/>
          </w:tcPr>
          <w:p>
            <w:pPr>
              <w:jc w:val="left"/>
              <w:rPr>
                <w:rFonts w:hint="default"/>
                <w:lang w:eastAsia="zh-CN"/>
              </w:rPr>
            </w:pPr>
            <w:r>
              <w:rPr>
                <w:rFonts w:hint="default"/>
                <w:lang w:eastAsia="zh-CN"/>
              </w:rPr>
              <w:t>1）</w:t>
            </w:r>
            <w:r>
              <w:rPr>
                <w:rFonts w:hint="eastAsia"/>
                <w:lang w:val="en-US" w:eastAsia="zh-CN"/>
              </w:rPr>
              <w:t>查看乙炔装置能源网络图，无蒸汽使用的描述</w:t>
            </w:r>
            <w:r>
              <w:rPr>
                <w:rFonts w:hint="default"/>
                <w:lang w:eastAsia="zh-CN"/>
              </w:rPr>
              <w:t>；2）</w:t>
            </w:r>
            <w:r>
              <w:rPr>
                <w:rFonts w:hint="eastAsia"/>
                <w:lang w:val="en-US" w:eastAsia="zh-CN"/>
              </w:rPr>
              <w:t>二三级计量器具配备率未提供电力计量的配备情况</w:t>
            </w:r>
            <w:r>
              <w:rPr>
                <w:rFonts w:hint="default"/>
                <w:lang w:eastAsia="zh-CN"/>
              </w:rPr>
              <w:t>；3）</w:t>
            </w:r>
            <w:r>
              <w:rPr>
                <w:rFonts w:hint="eastAsia"/>
                <w:lang w:val="en-US" w:eastAsia="zh-CN"/>
              </w:rPr>
              <w:t>《装置能源二级计量台账》中的检定/校准日期未填写</w:t>
            </w:r>
          </w:p>
          <w:p>
            <w:pPr>
              <w:jc w:val="left"/>
              <w:rPr>
                <w:rFonts w:hint="default"/>
                <w:lang w:eastAsia="zh-CN"/>
              </w:rPr>
            </w:pPr>
          </w:p>
          <w:p>
            <w:pPr>
              <w:jc w:val="left"/>
              <w:rPr>
                <w:rFonts w:hint="eastAsia"/>
                <w:lang w:val="en-US" w:eastAsia="zh-CN"/>
              </w:rPr>
            </w:pPr>
          </w:p>
        </w:tc>
        <w:tc>
          <w:tcPr>
            <w:tcW w:w="1641" w:type="dxa"/>
            <w:tcBorders>
              <w:left w:val="single" w:color="auto" w:sz="4" w:space="0"/>
            </w:tcBorders>
            <w:vAlign w:val="center"/>
          </w:tcPr>
          <w:p>
            <w:pPr>
              <w:jc w:val="center"/>
              <w:rPr>
                <w:rFonts w:hint="default"/>
                <w:lang w:val="en-US" w:eastAsia="zh-CN"/>
              </w:rPr>
            </w:pPr>
            <w:r>
              <w:rPr>
                <w:rFonts w:hint="eastAsia"/>
                <w:lang w:val="en-US" w:eastAsia="zh-CN"/>
              </w:rPr>
              <w:t>乙炔运行部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10</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乙炔运行部压力容器持证人员有54人 有效期在2021年8月8号，企业已提交相关资料给至银川市质量技术监督局，目前还未回复，提示企业加快督促。</w:t>
            </w:r>
          </w:p>
          <w:p>
            <w:pPr>
              <w:jc w:val="left"/>
              <w:rPr>
                <w:rFonts w:hint="eastAsia"/>
                <w:lang w:val="en-US" w:eastAsia="zh-CN"/>
              </w:rPr>
            </w:pPr>
          </w:p>
        </w:tc>
        <w:tc>
          <w:tcPr>
            <w:tcW w:w="1641" w:type="dxa"/>
            <w:tcBorders>
              <w:left w:val="single" w:color="auto" w:sz="4" w:space="0"/>
            </w:tcBorders>
            <w:vAlign w:val="center"/>
          </w:tcPr>
          <w:p>
            <w:pPr>
              <w:jc w:val="center"/>
              <w:rPr>
                <w:rFonts w:hint="default"/>
                <w:lang w:val="en-US" w:eastAsia="zh-CN"/>
              </w:rPr>
            </w:pPr>
            <w:r>
              <w:rPr>
                <w:rFonts w:hint="eastAsia"/>
                <w:lang w:val="en-US" w:eastAsia="zh-CN"/>
              </w:rPr>
              <w:t>乙炔运行部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7"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11</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提供机泵能效测试情况：未提供测试方法或准则</w:t>
            </w:r>
          </w:p>
          <w:p>
            <w:pPr>
              <w:jc w:val="left"/>
              <w:rPr>
                <w:rFonts w:hint="eastAsia"/>
                <w:lang w:val="en-US" w:eastAsia="zh-CN"/>
              </w:rPr>
            </w:pPr>
            <w:r>
              <w:rPr>
                <w:rFonts w:hint="eastAsia"/>
                <w:lang w:val="en-US" w:eastAsia="zh-CN"/>
              </w:rPr>
              <w:t>提供变压器测试情况：无评价结论</w:t>
            </w:r>
          </w:p>
        </w:tc>
        <w:tc>
          <w:tcPr>
            <w:tcW w:w="1641" w:type="dxa"/>
            <w:tcBorders>
              <w:left w:val="single" w:color="auto" w:sz="4" w:space="0"/>
            </w:tcBorders>
            <w:vAlign w:val="center"/>
          </w:tcPr>
          <w:p>
            <w:pPr>
              <w:jc w:val="center"/>
              <w:rPr>
                <w:rFonts w:hint="default"/>
                <w:lang w:val="en-US" w:eastAsia="zh-CN"/>
              </w:rPr>
            </w:pPr>
            <w:r>
              <w:rPr>
                <w:rFonts w:hint="eastAsia"/>
                <w:lang w:val="en-US" w:eastAsia="zh-CN"/>
              </w:rPr>
              <w:t>BDO运行部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12</w:t>
            </w:r>
          </w:p>
        </w:tc>
        <w:tc>
          <w:tcPr>
            <w:tcW w:w="7382" w:type="dxa"/>
            <w:gridSpan w:val="2"/>
            <w:tcBorders>
              <w:left w:val="single" w:color="auto" w:sz="4" w:space="0"/>
              <w:right w:val="single" w:color="auto" w:sz="4" w:space="0"/>
            </w:tcBorders>
            <w:vAlign w:val="center"/>
          </w:tcPr>
          <w:p>
            <w:pPr>
              <w:jc w:val="left"/>
              <w:rPr>
                <w:rFonts w:hint="eastAsia"/>
                <w:lang w:val="en-US" w:eastAsia="zh-CN"/>
              </w:rPr>
            </w:pPr>
            <w:r>
              <w:rPr>
                <w:rFonts w:hint="eastAsia"/>
                <w:lang w:val="en-US" w:eastAsia="zh-CN"/>
              </w:rPr>
              <w:t>主要用能设备的电表配备率为90.03%，不满足GB17167标准95%的要求。</w:t>
            </w:r>
          </w:p>
        </w:tc>
        <w:tc>
          <w:tcPr>
            <w:tcW w:w="1641" w:type="dxa"/>
            <w:tcBorders>
              <w:left w:val="single" w:color="auto" w:sz="4" w:space="0"/>
            </w:tcBorders>
            <w:vAlign w:val="center"/>
          </w:tcPr>
          <w:p>
            <w:pPr>
              <w:jc w:val="center"/>
              <w:rPr>
                <w:rFonts w:hint="eastAsia"/>
                <w:lang w:val="en-US" w:eastAsia="zh-CN"/>
              </w:rPr>
            </w:pPr>
            <w:r>
              <w:rPr>
                <w:rFonts w:hint="eastAsia"/>
                <w:lang w:val="en-US" w:eastAsia="zh-CN"/>
              </w:rPr>
              <w:t>电气仪表中心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13</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能源风险识别缺少：装置非计划停工和装置负荷偏低</w:t>
            </w:r>
          </w:p>
        </w:tc>
        <w:tc>
          <w:tcPr>
            <w:tcW w:w="1641" w:type="dxa"/>
            <w:tcBorders>
              <w:left w:val="single" w:color="auto" w:sz="4" w:space="0"/>
            </w:tcBorders>
            <w:vAlign w:val="center"/>
          </w:tcPr>
          <w:p>
            <w:pPr>
              <w:ind w:firstLine="210" w:firstLineChars="100"/>
              <w:rPr>
                <w:rFonts w:hint="eastAsia"/>
                <w:lang w:val="en-US" w:eastAsia="zh-CN"/>
              </w:rPr>
            </w:pPr>
            <w:r>
              <w:rPr>
                <w:rFonts w:hint="eastAsia"/>
                <w:lang w:val="en-US" w:eastAsia="zh-CN"/>
              </w:rPr>
              <w:t>甲醇运行部</w:t>
            </w:r>
          </w:p>
          <w:p>
            <w:pPr>
              <w:pStyle w:val="2"/>
              <w:rPr>
                <w:rFonts w:hint="default"/>
                <w:lang w:val="en-US" w:eastAsia="zh-CN"/>
              </w:rPr>
            </w:pPr>
            <w:r>
              <w:rPr>
                <w:rFonts w:hint="eastAsia"/>
                <w:lang w:val="en-US" w:eastAsia="zh-CN"/>
              </w:rPr>
              <w:t>热电运行部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eastAsia="宋体"/>
                <w:lang w:val="en-US" w:eastAsia="zh-CN"/>
              </w:rPr>
            </w:pPr>
            <w:r>
              <w:rPr>
                <w:rFonts w:hint="eastAsia"/>
                <w:lang w:val="en-US" w:eastAsia="zh-CN"/>
              </w:rPr>
              <w:t>14</w:t>
            </w:r>
          </w:p>
        </w:tc>
        <w:tc>
          <w:tcPr>
            <w:tcW w:w="7382" w:type="dxa"/>
            <w:gridSpan w:val="2"/>
            <w:tcBorders>
              <w:left w:val="single" w:color="auto" w:sz="4" w:space="0"/>
              <w:right w:val="single" w:color="auto" w:sz="4" w:space="0"/>
            </w:tcBorders>
            <w:vAlign w:val="center"/>
          </w:tcPr>
          <w:p>
            <w:pPr>
              <w:jc w:val="left"/>
              <w:rPr>
                <w:rFonts w:hint="default"/>
                <w:lang w:val="en-US" w:eastAsia="zh-CN"/>
              </w:rPr>
            </w:pPr>
            <w:r>
              <w:rPr>
                <w:rFonts w:hint="eastAsia"/>
                <w:lang w:val="en-US" w:eastAsia="zh-CN"/>
              </w:rPr>
              <w:t>应加强对“节能专业知识”和“GB/T23331-2020/ISO50001:2018标准”的学习</w:t>
            </w:r>
          </w:p>
        </w:tc>
        <w:tc>
          <w:tcPr>
            <w:tcW w:w="1641" w:type="dxa"/>
            <w:tcBorders>
              <w:left w:val="single" w:color="auto" w:sz="4" w:space="0"/>
            </w:tcBorders>
            <w:vAlign w:val="center"/>
          </w:tcPr>
          <w:p>
            <w:pPr>
              <w:rPr>
                <w:rFonts w:hint="default" w:eastAsia="宋体"/>
                <w:lang w:val="en-US" w:eastAsia="zh-CN"/>
              </w:rPr>
            </w:pPr>
            <w:r>
              <w:rPr>
                <w:rFonts w:hint="eastAsia"/>
                <w:lang w:val="en-US" w:eastAsia="zh-CN"/>
              </w:rPr>
              <w:t xml:space="preserve">    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15</w:t>
            </w:r>
          </w:p>
          <w:p>
            <w:pPr>
              <w:pStyle w:val="2"/>
              <w:rPr>
                <w:rFonts w:hint="default"/>
                <w:b w:val="0"/>
                <w:bCs w:val="0"/>
                <w:lang w:val="en-US" w:eastAsia="zh-CN"/>
              </w:rPr>
            </w:pPr>
          </w:p>
        </w:tc>
        <w:tc>
          <w:tcPr>
            <w:tcW w:w="7382" w:type="dxa"/>
            <w:gridSpan w:val="2"/>
            <w:tcBorders>
              <w:left w:val="single" w:color="auto" w:sz="4" w:space="0"/>
              <w:right w:val="single" w:color="auto" w:sz="4" w:space="0"/>
            </w:tcBorders>
            <w:vAlign w:val="center"/>
          </w:tcPr>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提供的管理评审输入材料不明晰，纠正措施持续改进的计划责任落实不明确。</w:t>
            </w:r>
            <w:r>
              <w:rPr>
                <w:rFonts w:hint="eastAsia" w:ascii="方正仿宋简体" w:hAnsi="Times New Roman" w:eastAsia="方正仿宋简体" w:cs="Times New Roman"/>
                <w:b w:val="0"/>
                <w:bCs w:val="0"/>
                <w:szCs w:val="21"/>
              </w:rPr>
              <w:t>E</w:t>
            </w:r>
            <w:r>
              <w:rPr>
                <w:rFonts w:hint="eastAsia" w:ascii="方正仿宋简体" w:hAnsi="Times New Roman" w:eastAsia="方正仿宋简体" w:cs="Times New Roman"/>
                <w:b w:val="0"/>
                <w:bCs w:val="0"/>
                <w:szCs w:val="21"/>
                <w:lang w:val="en-US" w:eastAsia="zh-CN"/>
              </w:rPr>
              <w:t>n/9.3</w:t>
            </w:r>
          </w:p>
        </w:tc>
        <w:tc>
          <w:tcPr>
            <w:tcW w:w="1641" w:type="dxa"/>
            <w:tcBorders>
              <w:left w:val="single" w:color="auto" w:sz="4" w:space="0"/>
            </w:tcBorders>
            <w:vAlign w:val="center"/>
          </w:tcPr>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eastAsia="方正仿宋简体" w:cs="Times New Roman"/>
                <w:b w:val="0"/>
                <w:bCs w:val="0"/>
                <w:szCs w:val="21"/>
                <w:lang w:val="en-US" w:eastAsia="zh-CN"/>
              </w:rPr>
              <w:t>企管部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pStyle w:val="2"/>
              <w:rPr>
                <w:rFonts w:hint="default"/>
                <w:b w:val="0"/>
                <w:bCs w:val="0"/>
                <w:lang w:val="en-US" w:eastAsia="zh-CN"/>
              </w:rPr>
            </w:pPr>
            <w:r>
              <w:rPr>
                <w:rFonts w:hint="eastAsia"/>
                <w:b w:val="0"/>
                <w:bCs w:val="0"/>
                <w:lang w:val="en-US" w:eastAsia="zh-CN"/>
              </w:rPr>
              <w:t>16</w:t>
            </w:r>
          </w:p>
        </w:tc>
        <w:tc>
          <w:tcPr>
            <w:tcW w:w="7382" w:type="dxa"/>
            <w:gridSpan w:val="2"/>
            <w:tcBorders>
              <w:left w:val="single" w:color="auto" w:sz="4" w:space="0"/>
              <w:right w:val="single" w:color="auto" w:sz="4" w:space="0"/>
            </w:tcBorders>
            <w:vAlign w:val="center"/>
          </w:tcPr>
          <w:p>
            <w:pPr>
              <w:jc w:val="left"/>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能源三级计量器具台账中压缩空气、电没有分区域登记</w:t>
            </w:r>
            <w:r>
              <w:rPr>
                <w:rFonts w:hint="eastAsia" w:ascii="方正仿宋简体" w:eastAsia="方正仿宋简体" w:cs="Times New Roman"/>
                <w:b w:val="0"/>
                <w:bCs w:val="0"/>
                <w:szCs w:val="21"/>
                <w:lang w:val="en-US" w:eastAsia="zh-CN"/>
              </w:rPr>
              <w:t>。</w:t>
            </w:r>
          </w:p>
        </w:tc>
        <w:tc>
          <w:tcPr>
            <w:tcW w:w="1641" w:type="dxa"/>
            <w:tcBorders>
              <w:left w:val="single" w:color="auto" w:sz="4" w:space="0"/>
            </w:tcBorders>
            <w:vAlign w:val="center"/>
          </w:tcPr>
          <w:p>
            <w:pPr>
              <w:jc w:val="center"/>
              <w:rPr>
                <w:rFonts w:hint="eastAsia" w:ascii="Times New Roman" w:hAnsi="Times New Roman" w:eastAsia="宋体" w:cs="Times New Roman"/>
                <w:b w:val="0"/>
                <w:bCs w:val="0"/>
                <w:kern w:val="2"/>
                <w:sz w:val="21"/>
                <w:szCs w:val="24"/>
                <w:lang w:val="en-US" w:eastAsia="zh-CN" w:bidi="ar-SA"/>
              </w:rPr>
            </w:pPr>
            <w:r>
              <w:rPr>
                <w:rFonts w:hint="eastAsia" w:ascii="方正仿宋简体" w:hAnsi="Times New Roman" w:eastAsia="方正仿宋简体" w:cs="Times New Roman"/>
                <w:b w:val="0"/>
                <w:bCs w:val="0"/>
                <w:szCs w:val="21"/>
                <w:lang w:val="en-US" w:eastAsia="zh-CN"/>
              </w:rPr>
              <w:t>环保建材部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pStyle w:val="2"/>
              <w:rPr>
                <w:rFonts w:hint="default"/>
                <w:b w:val="0"/>
                <w:bCs w:val="0"/>
                <w:lang w:val="en-US" w:eastAsia="zh-CN"/>
              </w:rPr>
            </w:pPr>
            <w:r>
              <w:rPr>
                <w:rFonts w:hint="eastAsia"/>
                <w:b w:val="0"/>
                <w:bCs w:val="0"/>
                <w:lang w:val="en-US" w:eastAsia="zh-CN"/>
              </w:rPr>
              <w:t>17</w:t>
            </w:r>
          </w:p>
        </w:tc>
        <w:tc>
          <w:tcPr>
            <w:tcW w:w="7382" w:type="dxa"/>
            <w:gridSpan w:val="2"/>
            <w:tcBorders>
              <w:left w:val="single" w:color="auto" w:sz="4" w:space="0"/>
              <w:right w:val="single" w:color="auto" w:sz="4" w:space="0"/>
            </w:tcBorders>
            <w:vAlign w:val="center"/>
          </w:tcPr>
          <w:p>
            <w:pPr>
              <w:jc w:val="left"/>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eastAsia="方正仿宋简体" w:cs="Times New Roman"/>
                <w:b w:val="0"/>
                <w:bCs w:val="0"/>
                <w:szCs w:val="21"/>
                <w:lang w:val="en-US" w:eastAsia="zh-CN"/>
              </w:rPr>
              <w:t>装置、主要用能设备边界输出计量点界定内容不全。</w:t>
            </w:r>
            <w:bookmarkStart w:id="5" w:name="_GoBack"/>
            <w:bookmarkEnd w:id="5"/>
          </w:p>
        </w:tc>
        <w:tc>
          <w:tcPr>
            <w:tcW w:w="1641" w:type="dxa"/>
            <w:tcBorders>
              <w:left w:val="single" w:color="auto" w:sz="4" w:space="0"/>
            </w:tcBorders>
            <w:vAlign w:val="center"/>
          </w:tcPr>
          <w:p>
            <w:pPr>
              <w:jc w:val="center"/>
              <w:rPr>
                <w:rFonts w:hint="eastAsia" w:ascii="Times New Roman" w:hAnsi="Times New Roman" w:eastAsia="宋体" w:cs="Times New Roman"/>
                <w:b w:val="0"/>
                <w:bCs w:val="0"/>
                <w:kern w:val="2"/>
                <w:sz w:val="21"/>
                <w:szCs w:val="24"/>
                <w:lang w:val="en-US" w:eastAsia="zh-CN" w:bidi="ar-SA"/>
              </w:rPr>
            </w:pPr>
            <w:r>
              <w:rPr>
                <w:rFonts w:hint="eastAsia" w:ascii="方正仿宋简体" w:hAnsi="Times New Roman" w:eastAsia="方正仿宋简体" w:cs="Times New Roman"/>
                <w:b w:val="0"/>
                <w:bCs w:val="0"/>
                <w:szCs w:val="21"/>
                <w:lang w:val="en-US" w:eastAsia="zh-CN"/>
              </w:rPr>
              <w:t>环保建材部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pStyle w:val="2"/>
              <w:rPr>
                <w:rFonts w:hint="default"/>
                <w:b w:val="0"/>
                <w:bCs w:val="0"/>
                <w:lang w:val="en-US" w:eastAsia="zh-CN"/>
              </w:rPr>
            </w:pPr>
            <w:r>
              <w:rPr>
                <w:rFonts w:hint="eastAsia"/>
                <w:b w:val="0"/>
                <w:bCs w:val="0"/>
                <w:lang w:val="en-US" w:eastAsia="zh-CN"/>
              </w:rPr>
              <w:t>18</w:t>
            </w:r>
          </w:p>
        </w:tc>
        <w:tc>
          <w:tcPr>
            <w:tcW w:w="7382" w:type="dxa"/>
            <w:gridSpan w:val="2"/>
            <w:tcBorders>
              <w:left w:val="single" w:color="auto" w:sz="4" w:space="0"/>
              <w:right w:val="single" w:color="auto" w:sz="4" w:space="0"/>
            </w:tcBorders>
            <w:vAlign w:val="center"/>
          </w:tcPr>
          <w:p>
            <w:pPr>
              <w:jc w:val="left"/>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eastAsia="方正仿宋简体" w:cs="Times New Roman"/>
                <w:b w:val="0"/>
                <w:bCs w:val="0"/>
                <w:szCs w:val="21"/>
                <w:lang w:val="en-US" w:eastAsia="zh-CN"/>
              </w:rPr>
              <w:t>变压器能效测试中评价结论无内容。</w:t>
            </w:r>
          </w:p>
        </w:tc>
        <w:tc>
          <w:tcPr>
            <w:tcW w:w="1641" w:type="dxa"/>
            <w:tcBorders>
              <w:left w:val="single" w:color="auto" w:sz="4" w:space="0"/>
            </w:tcBorders>
            <w:vAlign w:val="center"/>
          </w:tcPr>
          <w:p>
            <w:pPr>
              <w:jc w:val="center"/>
              <w:rPr>
                <w:rFonts w:hint="eastAsia" w:ascii="Times New Roman" w:hAnsi="Times New Roman" w:eastAsia="宋体" w:cs="Times New Roman"/>
                <w:b w:val="0"/>
                <w:bCs w:val="0"/>
                <w:kern w:val="2"/>
                <w:sz w:val="21"/>
                <w:szCs w:val="24"/>
                <w:lang w:val="en-US" w:eastAsia="zh-CN" w:bidi="ar-SA"/>
              </w:rPr>
            </w:pPr>
            <w:r>
              <w:rPr>
                <w:rFonts w:hint="eastAsia" w:ascii="方正仿宋简体" w:hAnsi="Times New Roman" w:eastAsia="方正仿宋简体" w:cs="Times New Roman"/>
                <w:b w:val="0"/>
                <w:bCs w:val="0"/>
                <w:szCs w:val="21"/>
                <w:lang w:val="en-US" w:eastAsia="zh-CN"/>
              </w:rPr>
              <w:t>环保建材部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19</w:t>
            </w:r>
          </w:p>
        </w:tc>
        <w:tc>
          <w:tcPr>
            <w:tcW w:w="7382" w:type="dxa"/>
            <w:gridSpan w:val="2"/>
            <w:tcBorders>
              <w:left w:val="single" w:color="auto" w:sz="4" w:space="0"/>
              <w:right w:val="single" w:color="auto" w:sz="4" w:space="0"/>
            </w:tcBorders>
            <w:vAlign w:val="center"/>
          </w:tcPr>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查：能源绩效参数的熟料产品燃煤消耗，相关变量：入窑煤粉水分(%)，指标：≤3，实际值：6.49(时间：2021年5月17日12:00) 、实际值：6.99(时间：2021年7月21日10:00)。</w:t>
            </w:r>
          </w:p>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查：能源绩效参数的熟料产品燃煤消耗，相关变量：入窑物料配料(%)，指标：KH:0.95±0.02，N：2.50±0.1，P：1.20±0.1；(时间：2021年4月25日13:00)分别为：0.86、2.68、1.42 ，(时间：2021年6月16日1:00)分别为：0.85、2.61、1.56。</w:t>
            </w:r>
          </w:p>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p>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p>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10:00)。</w:t>
            </w:r>
          </w:p>
          <w:p>
            <w:pPr>
              <w:jc w:val="left"/>
              <w:rPr>
                <w:rFonts w:hint="eastAsia" w:ascii="方正仿宋简体" w:hAnsi="Times New Roman" w:eastAsia="方正仿宋简体" w:cs="Times New Roman"/>
                <w:b w:val="0"/>
                <w:bCs w:val="0"/>
                <w:color w:val="000000" w:themeColor="text1"/>
                <w:kern w:val="2"/>
                <w:sz w:val="21"/>
                <w:szCs w:val="21"/>
                <w:lang w:val="en-US" w:eastAsia="zh-CN" w:bidi="ar-SA"/>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 xml:space="preserve">    查：能源绩效参数的熟料产品燃煤消耗</w:t>
            </w:r>
            <w:r>
              <w:rPr>
                <w:rFonts w:hint="eastAsia" w:ascii="宋体"/>
                <w:b w:val="0"/>
                <w:bCs w:val="0"/>
                <w:color w:val="000000" w:themeColor="text1"/>
                <w:spacing w:val="-6"/>
                <w:sz w:val="21"/>
                <w:szCs w:val="21"/>
                <w:lang w:val="en-US" w:eastAsia="zh-CN"/>
                <w14:textFill>
                  <w14:solidFill>
                    <w14:schemeClr w14:val="tx1"/>
                  </w14:solidFill>
                </w14:textFill>
              </w:rPr>
              <w:tab/>
            </w:r>
            <w:r>
              <w:rPr>
                <w:rFonts w:hint="eastAsia" w:ascii="宋体"/>
                <w:b w:val="0"/>
                <w:bCs w:val="0"/>
                <w:color w:val="000000" w:themeColor="text1"/>
                <w:spacing w:val="-6"/>
                <w:sz w:val="21"/>
                <w:szCs w:val="21"/>
                <w:lang w:val="en-US" w:eastAsia="zh-CN"/>
                <w14:textFill>
                  <w14:solidFill>
                    <w14:schemeClr w14:val="tx1"/>
                  </w14:solidFill>
                </w14:textFill>
              </w:rPr>
              <w:t>，相关变量：入窑物料配料(%)，指标：H:0.95±0.02，N：2.50±0.1，P：1.20±0.1；(时间：2021年4月25日13:00)分别为：0.86、2.68、1.42 ，(时间：2021年6月16日1:00)分别为：0.85、2.61、1.56。</w:t>
            </w:r>
          </w:p>
        </w:tc>
        <w:tc>
          <w:tcPr>
            <w:tcW w:w="1641" w:type="dxa"/>
            <w:tcBorders>
              <w:left w:val="single" w:color="auto" w:sz="4" w:space="0"/>
            </w:tcBorders>
            <w:vAlign w:val="center"/>
          </w:tcPr>
          <w:p>
            <w:pPr>
              <w:jc w:val="center"/>
              <w:rPr>
                <w:rFonts w:hint="eastAsia" w:ascii="Times New Roman" w:hAnsi="Times New Roman" w:eastAsia="宋体" w:cs="Times New Roman"/>
                <w:b w:val="0"/>
                <w:bCs w:val="0"/>
                <w:kern w:val="2"/>
                <w:sz w:val="21"/>
                <w:szCs w:val="24"/>
                <w:lang w:val="en-US" w:eastAsia="zh-CN" w:bidi="ar-SA"/>
              </w:rPr>
            </w:pPr>
            <w:r>
              <w:rPr>
                <w:rFonts w:hint="eastAsia" w:ascii="方正仿宋简体" w:hAnsi="Times New Roman" w:eastAsia="方正仿宋简体" w:cs="Times New Roman"/>
                <w:b w:val="0"/>
                <w:bCs w:val="0"/>
                <w:szCs w:val="21"/>
                <w:lang w:val="en-US" w:eastAsia="zh-CN"/>
              </w:rPr>
              <w:t>环保建材部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20</w:t>
            </w:r>
          </w:p>
        </w:tc>
        <w:tc>
          <w:tcPr>
            <w:tcW w:w="7382" w:type="dxa"/>
            <w:gridSpan w:val="2"/>
            <w:tcBorders>
              <w:left w:val="single" w:color="auto" w:sz="4" w:space="0"/>
              <w:right w:val="single" w:color="auto" w:sz="4" w:space="0"/>
            </w:tcBorders>
            <w:vAlign w:val="center"/>
          </w:tcPr>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抽查：定量包装称，型号：LCS-25-DL，出厂编号;CE11001-WCL.BU-1-B,检定有效期：2021-6-27，正在联系接受。</w:t>
            </w:r>
          </w:p>
        </w:tc>
        <w:tc>
          <w:tcPr>
            <w:tcW w:w="16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21</w:t>
            </w:r>
          </w:p>
        </w:tc>
        <w:tc>
          <w:tcPr>
            <w:tcW w:w="7382" w:type="dxa"/>
            <w:gridSpan w:val="2"/>
            <w:tcBorders>
              <w:left w:val="single" w:color="auto" w:sz="4" w:space="0"/>
              <w:right w:val="single" w:color="auto" w:sz="4" w:space="0"/>
            </w:tcBorders>
            <w:vAlign w:val="center"/>
          </w:tcPr>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r>
              <w:rPr>
                <w:rFonts w:hint="eastAsia" w:ascii="方正仿宋简体" w:eastAsia="方正仿宋简体" w:cs="Times New Roman"/>
                <w:b w:val="0"/>
                <w:bCs w:val="0"/>
                <w:szCs w:val="21"/>
                <w:lang w:val="en-US" w:eastAsia="zh-CN"/>
              </w:rPr>
              <w:t>装置、主要用能设备边界输出计量点界定内容不全。</w:t>
            </w:r>
          </w:p>
        </w:tc>
        <w:tc>
          <w:tcPr>
            <w:tcW w:w="16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22</w:t>
            </w:r>
          </w:p>
        </w:tc>
        <w:tc>
          <w:tcPr>
            <w:tcW w:w="7382" w:type="dxa"/>
            <w:gridSpan w:val="2"/>
            <w:tcBorders>
              <w:left w:val="single" w:color="auto" w:sz="4" w:space="0"/>
              <w:right w:val="single" w:color="auto" w:sz="4" w:space="0"/>
            </w:tcBorders>
            <w:vAlign w:val="center"/>
          </w:tcPr>
          <w:p>
            <w:pPr>
              <w:pStyle w:val="13"/>
              <w:spacing w:before="120" w:after="48" w:line="360" w:lineRule="exact"/>
              <w:jc w:val="both"/>
              <w:rPr>
                <w:rFonts w:hint="default" w:ascii="方正仿宋简体" w:hAnsi="Times New Roman" w:eastAsia="方正仿宋简体" w:cs="Times New Roman"/>
                <w:b w:val="0"/>
                <w:bCs w:val="0"/>
                <w:kern w:val="2"/>
                <w:sz w:val="21"/>
                <w:szCs w:val="21"/>
                <w:lang w:val="en-US" w:eastAsia="zh-CN" w:bidi="ar-SA"/>
              </w:rPr>
            </w:pPr>
            <w:r>
              <w:rPr>
                <w:rFonts w:hint="eastAsia" w:ascii="宋体"/>
                <w:b w:val="0"/>
                <w:bCs w:val="0"/>
                <w:color w:val="000000" w:themeColor="text1"/>
                <w:spacing w:val="-6"/>
                <w:sz w:val="21"/>
                <w:szCs w:val="21"/>
                <w:lang w:val="en-US" w:eastAsia="zh-CN"/>
                <w14:textFill>
                  <w14:solidFill>
                    <w14:schemeClr w14:val="tx1"/>
                  </w14:solidFill>
                </w14:textFill>
              </w:rPr>
              <w:t>抽查聚乙烯醇能源评审报告中</w:t>
            </w:r>
            <w:r>
              <w:rPr>
                <w:rFonts w:hint="eastAsia" w:ascii="方正仿宋简体" w:hAnsi="Times New Roman" w:eastAsia="方正仿宋简体" w:cs="Times New Roman"/>
                <w:b w:val="0"/>
                <w:bCs w:val="0"/>
                <w:kern w:val="2"/>
                <w:sz w:val="21"/>
                <w:szCs w:val="21"/>
                <w:lang w:val="en-US" w:eastAsia="zh-CN" w:bidi="ar-SA"/>
              </w:rPr>
              <w:t>“表3-2  车间用能趋势分析”，实际值与基准值倒置。</w:t>
            </w:r>
          </w:p>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p>
        </w:tc>
        <w:tc>
          <w:tcPr>
            <w:tcW w:w="16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23</w:t>
            </w:r>
          </w:p>
        </w:tc>
        <w:tc>
          <w:tcPr>
            <w:tcW w:w="7382" w:type="dxa"/>
            <w:gridSpan w:val="2"/>
            <w:tcBorders>
              <w:left w:val="single" w:color="auto" w:sz="4" w:space="0"/>
              <w:right w:val="single" w:color="auto" w:sz="4" w:space="0"/>
            </w:tcBorders>
            <w:vAlign w:val="center"/>
          </w:tcPr>
          <w:p>
            <w:pPr>
              <w:snapToGrid w:val="0"/>
              <w:jc w:val="left"/>
              <w:rPr>
                <w:rFonts w:hint="eastAsia" w:ascii="宋体"/>
                <w:b w:val="0"/>
                <w:bCs w:val="0"/>
                <w:color w:val="000000" w:themeColor="text1"/>
                <w:spacing w:val="-6"/>
                <w:sz w:val="21"/>
                <w:szCs w:val="21"/>
                <w:lang w:val="en-US" w:eastAsia="zh-CN"/>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抽</w:t>
            </w:r>
            <w:r>
              <w:rPr>
                <w:rFonts w:hint="eastAsia" w:ascii="宋体" w:hAnsi="宋体" w:eastAsia="宋体" w:cs="Times New Roman"/>
                <w:b w:val="0"/>
                <w:bCs w:val="0"/>
                <w:color w:val="000000" w:themeColor="text1"/>
                <w:spacing w:val="-6"/>
                <w:kern w:val="2"/>
                <w:sz w:val="21"/>
                <w:szCs w:val="21"/>
                <w:lang w:val="en-US" w:eastAsia="zh-CN" w:bidi="ar-SA"/>
                <w14:textFill>
                  <w14:solidFill>
                    <w14:schemeClr w14:val="tx1"/>
                  </w14:solidFill>
                </w14:textFill>
              </w:rPr>
              <w:t>查：5度离心式冷水机组，位号；C0669721A-C，型号：YKZ1Z2K75DKG，介质：R-134a</w:t>
            </w:r>
            <w:r>
              <w:rPr>
                <w:rFonts w:hint="eastAsia" w:ascii="宋体"/>
                <w:b w:val="0"/>
                <w:bCs w:val="0"/>
                <w:color w:val="000000" w:themeColor="text1"/>
                <w:spacing w:val="-6"/>
                <w:sz w:val="21"/>
                <w:szCs w:val="21"/>
                <w:lang w:val="en-US" w:eastAsia="zh-CN"/>
                <w14:textFill>
                  <w14:solidFill>
                    <w14:schemeClr w14:val="tx1"/>
                  </w14:solidFill>
                </w14:textFill>
              </w:rPr>
              <w:t>；</w:t>
            </w:r>
          </w:p>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r>
              <w:rPr>
                <w:rFonts w:hint="default" w:ascii="宋体"/>
                <w:b w:val="0"/>
                <w:bCs w:val="0"/>
                <w:color w:val="000000" w:themeColor="text1"/>
                <w:spacing w:val="-6"/>
                <w:sz w:val="21"/>
                <w:szCs w:val="21"/>
                <w:lang w:val="en-US" w:eastAsia="zh-CN"/>
                <w14:textFill>
                  <w14:solidFill>
                    <w14:schemeClr w14:val="tx1"/>
                  </w14:solidFill>
                </w14:textFill>
              </w:rPr>
              <w:t>负载率%，效率％</w:t>
            </w:r>
          </w:p>
        </w:tc>
        <w:tc>
          <w:tcPr>
            <w:tcW w:w="16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24</w:t>
            </w:r>
          </w:p>
        </w:tc>
        <w:tc>
          <w:tcPr>
            <w:tcW w:w="7382" w:type="dxa"/>
            <w:gridSpan w:val="2"/>
            <w:tcBorders>
              <w:left w:val="single" w:color="auto" w:sz="4" w:space="0"/>
              <w:right w:val="single" w:color="auto" w:sz="4" w:space="0"/>
            </w:tcBorders>
            <w:vAlign w:val="center"/>
          </w:tcPr>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抽查：</w:t>
            </w:r>
            <w:r>
              <w:rPr>
                <w:rFonts w:hint="eastAsia" w:ascii="宋体" w:hAnsi="宋体" w:eastAsia="宋体" w:cs="Times New Roman"/>
                <w:b w:val="0"/>
                <w:bCs w:val="0"/>
                <w:color w:val="000000" w:themeColor="text1"/>
                <w:spacing w:val="-6"/>
                <w:kern w:val="2"/>
                <w:sz w:val="21"/>
                <w:szCs w:val="21"/>
                <w:lang w:val="en-US" w:eastAsia="zh-CN" w:bidi="ar-SA"/>
                <w14:textFill>
                  <w14:solidFill>
                    <w14:schemeClr w14:val="tx1"/>
                  </w14:solidFill>
                </w14:textFill>
              </w:rPr>
              <w:t>变压器运行状态能耗测试表，测试时间：2020.05，设备位号：聚乙烯醇三修厂房干变</w:t>
            </w:r>
            <w:r>
              <w:rPr>
                <w:rFonts w:hint="eastAsia" w:ascii="宋体" w:hAnsi="宋体" w:eastAsia="宋体" w:cs="Times New Roman"/>
                <w:b w:val="0"/>
                <w:bCs w:val="0"/>
                <w:color w:val="000000" w:themeColor="text1"/>
                <w:spacing w:val="-6"/>
                <w:kern w:val="2"/>
                <w:sz w:val="21"/>
                <w:szCs w:val="21"/>
                <w:lang w:val="en-US" w:eastAsia="zh-CN" w:bidi="ar-SA"/>
                <w14:textFill>
                  <w14:solidFill>
                    <w14:schemeClr w14:val="tx1"/>
                  </w14:solidFill>
                </w14:textFill>
              </w:rPr>
              <w:tab/>
            </w:r>
            <w:r>
              <w:rPr>
                <w:rFonts w:hint="eastAsia" w:ascii="宋体" w:hAnsi="宋体" w:eastAsia="宋体" w:cs="Times New Roman"/>
                <w:b w:val="0"/>
                <w:bCs w:val="0"/>
                <w:color w:val="000000" w:themeColor="text1"/>
                <w:spacing w:val="-6"/>
                <w:kern w:val="2"/>
                <w:sz w:val="21"/>
                <w:szCs w:val="21"/>
                <w:lang w:val="en-US" w:eastAsia="zh-CN" w:bidi="ar-SA"/>
                <w14:textFill>
                  <w14:solidFill>
                    <w14:schemeClr w14:val="tx1"/>
                  </w14:solidFill>
                </w14:textFill>
              </w:rPr>
              <w:t>设备名称：聚乙烯醇三修厂房干变，设备型号：SCB10-630/10；评价结论：负载率0/630=0％，无结论说明。</w:t>
            </w:r>
          </w:p>
        </w:tc>
        <w:tc>
          <w:tcPr>
            <w:tcW w:w="16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b w:val="0"/>
                <w:bCs w:val="0"/>
                <w:lang w:val="en-US" w:eastAsia="zh-CN"/>
              </w:rPr>
            </w:pPr>
            <w:r>
              <w:rPr>
                <w:rFonts w:hint="eastAsia"/>
                <w:b w:val="0"/>
                <w:bCs w:val="0"/>
                <w:lang w:val="en-US" w:eastAsia="zh-CN"/>
              </w:rPr>
              <w:t>25</w:t>
            </w:r>
          </w:p>
        </w:tc>
        <w:tc>
          <w:tcPr>
            <w:tcW w:w="7382" w:type="dxa"/>
            <w:gridSpan w:val="2"/>
            <w:tcBorders>
              <w:left w:val="single" w:color="auto" w:sz="4" w:space="0"/>
              <w:right w:val="single" w:color="auto" w:sz="4" w:space="0"/>
            </w:tcBorders>
            <w:vAlign w:val="center"/>
          </w:tcPr>
          <w:p>
            <w:pPr>
              <w:snapToGrid w:val="0"/>
              <w:jc w:val="left"/>
              <w:rPr>
                <w:rFonts w:hint="eastAsia" w:ascii="宋体" w:hAnsi="Times New Roman" w:eastAsia="宋体" w:cs="Times New Roman"/>
                <w:b w:val="0"/>
                <w:bCs w:val="0"/>
                <w:color w:val="000000" w:themeColor="text1"/>
                <w:spacing w:val="-6"/>
                <w:kern w:val="2"/>
                <w:sz w:val="21"/>
                <w:szCs w:val="21"/>
                <w:lang w:val="en-US" w:eastAsia="zh-CN" w:bidi="ar-SA"/>
                <w14:textFill>
                  <w14:solidFill>
                    <w14:schemeClr w14:val="tx1"/>
                  </w14:solidFill>
                </w14:textFill>
              </w:rPr>
            </w:pPr>
            <w:r>
              <w:rPr>
                <w:rFonts w:hint="eastAsia" w:ascii="宋体"/>
                <w:b w:val="0"/>
                <w:bCs w:val="0"/>
                <w:color w:val="000000" w:themeColor="text1"/>
                <w:spacing w:val="-6"/>
                <w:sz w:val="21"/>
                <w:szCs w:val="21"/>
                <w:lang w:val="en-US" w:eastAsia="zh-CN"/>
                <w14:textFill>
                  <w14:solidFill>
                    <w14:schemeClr w14:val="tx1"/>
                  </w14:solidFill>
                </w14:textFill>
              </w:rPr>
              <w:t>查阅聚乙烯醇装置、水泥装置主要能源使用能源数据收集的计划，未能针对装置的主要能源使用</w:t>
            </w:r>
          </w:p>
        </w:tc>
        <w:tc>
          <w:tcPr>
            <w:tcW w:w="1641" w:type="dxa"/>
            <w:tcBorders>
              <w:left w:val="single" w:color="auto" w:sz="4" w:space="0"/>
            </w:tcBorders>
            <w:vAlign w:val="center"/>
          </w:tcPr>
          <w:p>
            <w:pPr>
              <w:jc w:val="center"/>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环保建材部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简体" w:hAnsi="Times New Roman" w:eastAsia="方正仿宋简体" w:cs="Times New Roman"/>
                <w:b w:val="0"/>
                <w:bCs w:val="0"/>
                <w:szCs w:val="21"/>
                <w:lang w:val="en-US" w:eastAsia="zh-CN"/>
              </w:rPr>
            </w:pPr>
            <w:r>
              <w:rPr>
                <w:rFonts w:hint="eastAsia" w:ascii="方正仿宋简体" w:hAnsi="Times New Roman" w:eastAsia="方正仿宋简体" w:cs="Times New Roman"/>
                <w:b w:val="0"/>
                <w:bCs w:val="0"/>
                <w:szCs w:val="21"/>
                <w:lang w:val="en-US" w:eastAsia="zh-CN"/>
              </w:rPr>
              <w:t>聚乙烯醇</w:t>
            </w:r>
          </w:p>
          <w:p>
            <w:pPr>
              <w:jc w:val="center"/>
              <w:rPr>
                <w:rFonts w:hint="eastAsia" w:ascii="方正仿宋简体" w:hAnsi="Times New Roman" w:eastAsia="方正仿宋简体" w:cs="Times New Roman"/>
                <w:b w:val="0"/>
                <w:bCs w:val="0"/>
                <w:kern w:val="2"/>
                <w:sz w:val="21"/>
                <w:szCs w:val="21"/>
                <w:lang w:val="en-US" w:eastAsia="zh-CN" w:bidi="ar-SA"/>
              </w:rPr>
            </w:pPr>
            <w:r>
              <w:rPr>
                <w:rFonts w:hint="eastAsia" w:ascii="方正仿宋简体" w:hAnsi="Times New Roman" w:eastAsia="方正仿宋简体" w:cs="Times New Roman"/>
                <w:b w:val="0"/>
                <w:bCs w:val="0"/>
                <w:szCs w:val="21"/>
                <w:lang w:val="en-US" w:eastAsia="zh-CN"/>
              </w:rPr>
              <w:t>运行部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lang w:val="en-US" w:eastAsia="zh-CN"/>
              </w:rPr>
            </w:pPr>
          </w:p>
        </w:tc>
        <w:tc>
          <w:tcPr>
            <w:tcW w:w="7382" w:type="dxa"/>
            <w:gridSpan w:val="2"/>
            <w:tcBorders>
              <w:left w:val="single" w:color="auto" w:sz="4" w:space="0"/>
              <w:right w:val="single" w:color="auto" w:sz="4" w:space="0"/>
            </w:tcBorders>
            <w:vAlign w:val="center"/>
          </w:tcPr>
          <w:p>
            <w:pPr>
              <w:jc w:val="left"/>
              <w:rPr>
                <w:rFonts w:hint="eastAsia"/>
                <w:lang w:val="en-US" w:eastAsia="zh-CN"/>
              </w:rPr>
            </w:pPr>
          </w:p>
        </w:tc>
        <w:tc>
          <w:tcPr>
            <w:tcW w:w="1641" w:type="dxa"/>
            <w:tcBorders>
              <w:left w:val="single" w:color="auto" w:sz="4" w:space="0"/>
            </w:tcBorders>
            <w:vAlign w:val="center"/>
          </w:tcPr>
          <w:p>
            <w:pPr>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lang w:val="en-US" w:eastAsia="zh-CN"/>
              </w:rPr>
            </w:pPr>
          </w:p>
        </w:tc>
        <w:tc>
          <w:tcPr>
            <w:tcW w:w="7382" w:type="dxa"/>
            <w:gridSpan w:val="2"/>
            <w:tcBorders>
              <w:left w:val="single" w:color="auto" w:sz="4" w:space="0"/>
              <w:right w:val="single" w:color="auto" w:sz="4" w:space="0"/>
            </w:tcBorders>
            <w:vAlign w:val="center"/>
          </w:tcPr>
          <w:p>
            <w:pPr>
              <w:jc w:val="left"/>
              <w:rPr>
                <w:rFonts w:hint="eastAsia"/>
                <w:lang w:val="en-US" w:eastAsia="zh-CN"/>
              </w:rPr>
            </w:pPr>
          </w:p>
        </w:tc>
        <w:tc>
          <w:tcPr>
            <w:tcW w:w="1641" w:type="dxa"/>
            <w:tcBorders>
              <w:left w:val="single" w:color="auto" w:sz="4" w:space="0"/>
            </w:tcBorders>
            <w:vAlign w:val="center"/>
          </w:tcPr>
          <w:p>
            <w:pPr>
              <w:rPr>
                <w:rFonts w:hint="eastAsia"/>
                <w:lang w:val="en-US" w:eastAsia="zh-CN"/>
              </w:rPr>
            </w:pPr>
          </w:p>
        </w:tc>
      </w:tr>
    </w:tbl>
    <w:p/>
    <w:sectPr>
      <w:headerReference r:id="rId5" w:type="first"/>
      <w:footerReference r:id="rId7" w:type="first"/>
      <w:headerReference r:id="rId3" w:type="default"/>
      <w:headerReference r:id="rId4" w:type="even"/>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sz w:val="18"/>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sz w:val="18"/>
      </w:rPr>
      <w:t>北京国标联合认证有限公司</w:t>
    </w:r>
    <w:r>
      <w:rPr>
        <w:rStyle w:val="12"/>
        <w:rFonts w:hint="default"/>
        <w:sz w:val="18"/>
      </w:rPr>
      <w:tab/>
    </w:r>
    <w:r>
      <w:rPr>
        <w:rStyle w:val="12"/>
        <w:rFonts w:hint="default"/>
        <w:sz w:val="18"/>
      </w:rPr>
      <w:tab/>
    </w:r>
    <w:r>
      <w:rPr>
        <w:rStyle w:val="12"/>
        <w:rFonts w:hint="default"/>
        <w:sz w:val="18"/>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3988435</wp:posOffset>
              </wp:positionH>
              <wp:positionV relativeFrom="paragraph">
                <wp:posOffset>27940</wp:posOffset>
              </wp:positionV>
              <wp:extent cx="2136140" cy="252730"/>
              <wp:effectExtent l="0" t="0" r="10160" b="1270"/>
              <wp:wrapNone/>
              <wp:docPr id="2" name="文本框 1"/>
              <wp:cNvGraphicFramePr/>
              <a:graphic xmlns:a="http://schemas.openxmlformats.org/drawingml/2006/main">
                <a:graphicData uri="http://schemas.microsoft.com/office/word/2010/wordprocessingShape">
                  <wps:wsp>
                    <wps:cNvSpPr txBox="1"/>
                    <wps:spPr>
                      <a:xfrm>
                        <a:off x="0" y="0"/>
                        <a:ext cx="2136140" cy="25273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-37观察项（建议项）03版)</w:t>
                          </w:r>
                        </w:p>
                      </w:txbxContent>
                    </wps:txbx>
                    <wps:bodyPr upright="1"/>
                  </wps:wsp>
                </a:graphicData>
              </a:graphic>
            </wp:anchor>
          </w:drawing>
        </mc:Choice>
        <mc:Fallback>
          <w:pict>
            <v:shape id="文本框 1" o:spid="_x0000_s1026" o:spt="202" type="#_x0000_t202" style="position:absolute;left:0pt;margin-left:314.05pt;margin-top:2.2pt;height:19.9pt;width:168.2pt;z-index:251659264;mso-width-relative:page;mso-height-relative:page;" fillcolor="#FFFFFF" filled="t" stroked="f" coordsize="21600,21600" o:gfxdata="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sKu/3WAAAACAEAAA8AAAAAAAAAAQAgAAAAIgAAAGRycy9kb3ducmV2Lnht&#10;bFBLAQIUABQAAAAIAIdO4kAXc9sb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-37观察项（建议项）03版)</w:t>
                    </w:r>
                  </w:p>
                </w:txbxContent>
              </v:textbox>
            </v:shape>
          </w:pict>
        </mc:Fallback>
      </mc:AlternateContent>
    </w:r>
    <w:r>
      <w:rPr>
        <w:rStyle w:val="12"/>
        <w:rFonts w:hint="default"/>
        <w:w w:val="90"/>
        <w:sz w:val="18"/>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10935" cy="0"/>
              <wp:effectExtent l="0" t="0" r="0" b="0"/>
              <wp:wrapNone/>
              <wp:docPr id="3" name="自选图形 2"/>
              <wp:cNvGraphicFramePr/>
              <a:graphic xmlns:a="http://schemas.openxmlformats.org/drawingml/2006/main">
                <a:graphicData uri="http://schemas.microsoft.com/office/word/2010/wordprocessingShape">
                  <wps:wsp>
                    <wps:cNvCnPr/>
                    <wps:spPr>
                      <a:xfrm>
                        <a:off x="0" y="0"/>
                        <a:ext cx="62109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05pt;z-index:251660288;mso-width-relative:page;mso-height-relative:page;" filled="f" stroked="t" coordsize="21600,21600" o:gfxdata="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tRdW1QAAAAcBAAAPAAAAAAAAAAEAIAAAACIAAABkcnMvZG93bnJldi54bWxQSwECFAAU&#10;AAAACACHTuJAFLMgV/QBAADjAwAADgAAAAAAAAABACAAAAAkAQAAZHJzL2Uyb0RvYy54bWxQSwUG&#10;AAAAAAYABgBZAQAAigU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F6C3B"/>
    <w:rsid w:val="0E131563"/>
    <w:rsid w:val="113148A9"/>
    <w:rsid w:val="1581795A"/>
    <w:rsid w:val="335900B1"/>
    <w:rsid w:val="3B617D0F"/>
    <w:rsid w:val="53575D1F"/>
    <w:rsid w:val="60310D35"/>
    <w:rsid w:val="69126C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qFormat/>
    <w:uiPriority w:val="99"/>
    <w:rPr>
      <w:rFonts w:ascii="Times New Roman" w:hAnsi="Times New Roman" w:eastAsia="宋体" w:cs="Times New Roman"/>
      <w:kern w:val="2"/>
      <w:sz w:val="18"/>
      <w:szCs w:val="18"/>
    </w:rPr>
  </w:style>
  <w:style w:type="character" w:customStyle="1" w:styleId="11">
    <w:name w:val="页脚 字符"/>
    <w:basedOn w:val="9"/>
    <w:link w:val="4"/>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头"/>
    <w:basedOn w:val="1"/>
    <w:next w:val="1"/>
    <w:qFormat/>
    <w:uiPriority w:val="99"/>
    <w:pPr>
      <w:spacing w:beforeLines="50" w:afterLines="20"/>
      <w:jc w:val="center"/>
      <w:textAlignment w:val="center"/>
    </w:pPr>
    <w:rPr>
      <w:rFonts w:ascii="宋体" w:hAnsi="宋体"/>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26</Words>
  <Characters>149</Characters>
  <Lines>1</Lines>
  <Paragraphs>1</Paragraphs>
  <TotalTime>0</TotalTime>
  <ScaleCrop>false</ScaleCrop>
  <LinksUpToDate>false</LinksUpToDate>
  <CharactersWithSpaces>174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mmjj</cp:lastModifiedBy>
  <dcterms:modified xsi:type="dcterms:W3CDTF">2021-08-08T17:58:31Z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B31F9E62F3B44C51B4A0787961C6CB0A</vt:lpwstr>
  </property>
</Properties>
</file>