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37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rPr>
              <w:t xml:space="preserve">主管领导： </w:t>
            </w:r>
            <w:r>
              <w:rPr>
                <w:rFonts w:hint="eastAsia"/>
                <w:sz w:val="24"/>
                <w:szCs w:val="24"/>
                <w:lang w:val="en-US" w:eastAsia="zh-CN"/>
              </w:rPr>
              <w:t>林国   姬伟毅</w:t>
            </w:r>
            <w:r>
              <w:rPr>
                <w:sz w:val="24"/>
                <w:szCs w:val="24"/>
              </w:rPr>
              <w:t xml:space="preserve">             </w:t>
            </w:r>
            <w:r>
              <w:rPr>
                <w:rFonts w:hint="eastAsia"/>
                <w:sz w:val="24"/>
                <w:szCs w:val="24"/>
              </w:rPr>
              <w:t>陪同人员：</w:t>
            </w:r>
            <w:r>
              <w:rPr>
                <w:rFonts w:hint="eastAsia"/>
                <w:sz w:val="24"/>
                <w:szCs w:val="24"/>
                <w:lang w:val="en-US" w:eastAsia="zh-CN"/>
              </w:rPr>
              <w:t>田文胜</w:t>
            </w:r>
          </w:p>
        </w:tc>
        <w:tc>
          <w:tcPr>
            <w:tcW w:w="1213"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76"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eastAsia="宋体"/>
                <w:lang w:val="en-US" w:eastAsia="zh-CN"/>
              </w:rPr>
            </w:pPr>
            <w:r>
              <w:rPr>
                <w:rFonts w:hint="eastAsia"/>
                <w:sz w:val="24"/>
                <w:szCs w:val="24"/>
              </w:rPr>
              <w:t>审核员：</w:t>
            </w:r>
            <w:r>
              <w:rPr>
                <w:rFonts w:hint="eastAsia"/>
                <w:sz w:val="24"/>
                <w:szCs w:val="24"/>
                <w:lang w:val="en-US" w:eastAsia="zh-CN"/>
              </w:rPr>
              <w:t xml:space="preserve">马佳         </w:t>
            </w:r>
            <w:r>
              <w:rPr>
                <w:sz w:val="24"/>
                <w:szCs w:val="24"/>
              </w:rPr>
              <w:t xml:space="preserve">       </w:t>
            </w:r>
            <w:r>
              <w:rPr>
                <w:rFonts w:hint="eastAsia"/>
                <w:sz w:val="24"/>
                <w:szCs w:val="24"/>
              </w:rPr>
              <w:t>审核时间：</w:t>
            </w:r>
            <w:r>
              <w:rPr>
                <w:rFonts w:hint="eastAsia"/>
                <w:sz w:val="24"/>
                <w:szCs w:val="24"/>
                <w:lang w:val="en-US" w:eastAsia="zh-CN"/>
              </w:rPr>
              <w:t>2021-8-5   08：30-12：30</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7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sz w:val="24"/>
                <w:szCs w:val="24"/>
              </w:rPr>
            </w:pPr>
            <w:r>
              <w:rPr>
                <w:rFonts w:hint="eastAsia"/>
                <w:sz w:val="24"/>
                <w:szCs w:val="24"/>
              </w:rPr>
              <w:t>审核条款</w:t>
            </w:r>
            <w:r>
              <w:rPr>
                <w:rFonts w:hint="eastAsia" w:ascii="宋体" w:hAnsi="宋体" w:eastAsia="宋体" w:cs="Times New Roman"/>
                <w:sz w:val="21"/>
                <w:szCs w:val="21"/>
              </w:rPr>
              <w:t>；4.1</w:t>
            </w:r>
            <w:r>
              <w:rPr>
                <w:rFonts w:hint="eastAsia" w:ascii="宋体" w:hAnsi="宋体" w:cs="Times New Roman"/>
                <w:sz w:val="21"/>
                <w:szCs w:val="21"/>
                <w:lang w:eastAsia="zh-CN"/>
              </w:rPr>
              <w:t>；</w:t>
            </w:r>
            <w:r>
              <w:rPr>
                <w:rFonts w:hint="eastAsia" w:ascii="宋体" w:hAnsi="宋体" w:eastAsia="宋体" w:cs="Times New Roman"/>
                <w:sz w:val="21"/>
                <w:szCs w:val="21"/>
              </w:rPr>
              <w:t>4.2</w:t>
            </w:r>
            <w:r>
              <w:rPr>
                <w:rFonts w:hint="eastAsia" w:ascii="宋体" w:hAnsi="宋体" w:cs="Times New Roman"/>
                <w:sz w:val="21"/>
                <w:szCs w:val="21"/>
                <w:lang w:eastAsia="zh-CN"/>
              </w:rPr>
              <w:t>；</w:t>
            </w:r>
            <w:r>
              <w:rPr>
                <w:rFonts w:hint="eastAsia" w:ascii="宋体" w:hAnsi="宋体" w:eastAsia="宋体" w:cs="Times New Roman"/>
                <w:sz w:val="21"/>
                <w:szCs w:val="21"/>
              </w:rPr>
              <w:t>4.3</w:t>
            </w:r>
            <w:r>
              <w:rPr>
                <w:rFonts w:hint="eastAsia" w:ascii="宋体" w:hAnsi="宋体" w:cs="Times New Roman"/>
                <w:sz w:val="21"/>
                <w:szCs w:val="21"/>
                <w:lang w:eastAsia="zh-CN"/>
              </w:rPr>
              <w:t>；</w:t>
            </w:r>
            <w:r>
              <w:rPr>
                <w:rFonts w:hint="eastAsia" w:ascii="宋体" w:hAnsi="宋体" w:eastAsia="宋体" w:cs="Times New Roman"/>
                <w:sz w:val="21"/>
                <w:szCs w:val="21"/>
              </w:rPr>
              <w:t>4.4</w:t>
            </w:r>
            <w:r>
              <w:rPr>
                <w:rFonts w:hint="eastAsia" w:ascii="宋体" w:hAnsi="宋体" w:cs="Times New Roman"/>
                <w:sz w:val="21"/>
                <w:szCs w:val="21"/>
                <w:lang w:eastAsia="zh-CN"/>
              </w:rPr>
              <w:t>；</w:t>
            </w:r>
            <w:r>
              <w:rPr>
                <w:rFonts w:hint="eastAsia" w:ascii="宋体" w:hAnsi="宋体" w:cs="Times New Roman"/>
                <w:sz w:val="21"/>
                <w:szCs w:val="21"/>
                <w:lang w:val="en-US" w:eastAsia="zh-CN"/>
              </w:rPr>
              <w:t>5.1；5.2；5.3；</w:t>
            </w:r>
            <w:r>
              <w:rPr>
                <w:rFonts w:hint="eastAsia" w:ascii="宋体" w:hAnsi="宋体" w:eastAsia="宋体" w:cs="Times New Roman"/>
                <w:sz w:val="21"/>
                <w:szCs w:val="21"/>
              </w:rPr>
              <w:t>6.1；6.2；7.1；9.2；9.3；10.1；10.</w:t>
            </w:r>
            <w:r>
              <w:rPr>
                <w:rFonts w:hint="eastAsia" w:ascii="宋体" w:hAnsi="宋体" w:cs="Times New Roman"/>
                <w:sz w:val="21"/>
                <w:szCs w:val="21"/>
                <w:lang w:val="en-US" w:eastAsia="zh-CN"/>
              </w:rPr>
              <w:t>2</w:t>
            </w:r>
            <w:r>
              <w:rPr>
                <w:rFonts w:hint="eastAsia" w:ascii="宋体" w:hAnsi="宋体" w:eastAsia="宋体" w:cs="Times New Roman"/>
                <w:sz w:val="21"/>
                <w:szCs w:val="21"/>
              </w:rPr>
              <w:t>；</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eastAsia="宋体" w:cs="Times New Roman"/>
                <w:sz w:val="21"/>
                <w:szCs w:val="21"/>
              </w:rPr>
              <w:t>1.</w:t>
            </w:r>
            <w:r>
              <w:rPr>
                <w:rFonts w:hint="eastAsia" w:ascii="宋体" w:hAnsi="宋体" w:eastAsia="宋体" w:cs="Times New Roman"/>
                <w:sz w:val="21"/>
                <w:szCs w:val="21"/>
                <w:lang w:val="en-US" w:eastAsia="zh-CN"/>
              </w:rPr>
              <w:t>了解</w:t>
            </w:r>
            <w:r>
              <w:rPr>
                <w:rFonts w:hint="eastAsia" w:ascii="宋体" w:hAnsi="宋体" w:eastAsia="宋体" w:cs="Times New Roman"/>
                <w:sz w:val="21"/>
                <w:szCs w:val="21"/>
              </w:rPr>
              <w:t>公司生產經營情況、组织架构设定的依据，职责、权限确定的依据5.3；</w:t>
            </w:r>
          </w:p>
        </w:tc>
        <w:tc>
          <w:tcPr>
            <w:tcW w:w="960" w:type="dxa"/>
          </w:tcPr>
          <w:p>
            <w:r>
              <w:rPr>
                <w:rFonts w:hint="eastAsia" w:ascii="宋体" w:hAnsi="宋体" w:eastAsia="宋体" w:cs="Times New Roman"/>
                <w:sz w:val="21"/>
                <w:szCs w:val="21"/>
              </w:rPr>
              <w:t>5.3</w:t>
            </w:r>
          </w:p>
        </w:tc>
        <w:tc>
          <w:tcPr>
            <w:tcW w:w="10376" w:type="dxa"/>
          </w:tcPr>
          <w:p>
            <w:pPr>
              <w:spacing w:line="240" w:lineRule="auto"/>
              <w:ind w:firstLine="630" w:firstLineChars="300"/>
              <w:rPr>
                <w:rFonts w:hint="default" w:ascii="宋体" w:hAnsi="宋体" w:cs="宋体"/>
                <w:sz w:val="21"/>
                <w:szCs w:val="21"/>
                <w:lang w:val="en-US" w:eastAsia="zh-CN"/>
              </w:rPr>
            </w:pPr>
            <w:r>
              <w:rPr>
                <w:rFonts w:hint="eastAsia" w:ascii="宋体" w:hAnsi="宋体" w:eastAsia="宋体" w:cs="宋体"/>
                <w:sz w:val="21"/>
                <w:szCs w:val="21"/>
                <w:lang w:val="en-US" w:eastAsia="zh-CN"/>
              </w:rPr>
              <w:t>公司</w:t>
            </w:r>
            <w:r>
              <w:rPr>
                <w:rFonts w:hint="eastAsia" w:ascii="宋体" w:hAnsi="宋体" w:cs="宋体"/>
                <w:sz w:val="21"/>
                <w:szCs w:val="21"/>
                <w:lang w:val="en-US" w:eastAsia="zh-CN"/>
              </w:rPr>
              <w:t>目前共有员工1950人，经核查能源管理体系覆盖约1350人，公司领导设党委书记1人、总经理1人、副总经理3人、总会计师1人。成立有节能委员会，公司领导全是节能领导小组成员，下设节能办（生产计划部 ）。公司组织架构设置：设11个管理部室，4个专业中心，7个生产运行部。能源职责、权限均以文件化予以规定，明确合理，从领导到各岗位履职较好。</w:t>
            </w:r>
          </w:p>
          <w:p>
            <w:pPr>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lang w:val="en-US" w:eastAsia="zh-CN"/>
              </w:rPr>
              <w:t>2021</w:t>
            </w:r>
            <w:r>
              <w:rPr>
                <w:rFonts w:hint="eastAsia" w:ascii="宋体" w:hAnsi="宋体" w:eastAsia="宋体" w:cs="宋体"/>
                <w:sz w:val="21"/>
                <w:szCs w:val="21"/>
              </w:rPr>
              <w:t>上半年，</w:t>
            </w:r>
            <w:r>
              <w:rPr>
                <w:rFonts w:hint="eastAsia" w:ascii="宋体" w:hAnsi="宋体" w:cs="宋体"/>
                <w:sz w:val="21"/>
                <w:szCs w:val="21"/>
                <w:lang w:val="en-US" w:eastAsia="zh-CN"/>
              </w:rPr>
              <w:t>公司</w:t>
            </w:r>
            <w:r>
              <w:rPr>
                <w:rFonts w:hint="eastAsia" w:ascii="宋体" w:hAnsi="宋体" w:eastAsia="宋体" w:cs="宋体"/>
                <w:sz w:val="21"/>
                <w:szCs w:val="21"/>
                <w:lang w:val="zh-CN"/>
              </w:rPr>
              <w:t>实现化工商品量49.</w:t>
            </w:r>
            <w:r>
              <w:rPr>
                <w:rFonts w:hint="eastAsia" w:ascii="宋体" w:hAnsi="宋体" w:eastAsia="宋体" w:cs="宋体"/>
                <w:sz w:val="21"/>
                <w:szCs w:val="21"/>
              </w:rPr>
              <w:t>3</w:t>
            </w:r>
            <w:r>
              <w:rPr>
                <w:rFonts w:hint="eastAsia" w:ascii="宋体" w:hAnsi="宋体" w:eastAsia="宋体" w:cs="宋体"/>
                <w:sz w:val="21"/>
                <w:szCs w:val="21"/>
                <w:lang w:val="zh-CN"/>
              </w:rPr>
              <w:t>万吨、同比增长14.51%，实现营业收入</w:t>
            </w:r>
            <w:r>
              <w:rPr>
                <w:rFonts w:hint="eastAsia" w:ascii="宋体" w:hAnsi="宋体" w:eastAsia="宋体" w:cs="宋体"/>
                <w:sz w:val="21"/>
                <w:szCs w:val="21"/>
              </w:rPr>
              <w:t>42.39亿元、同比增长155.04%，实现利润14.48亿元、同比增长22.98亿元，净利润在集团公司化工板块25家企业中排名第三，在炼化板块36家企业中排名第十六，创历史最好水平。</w:t>
            </w:r>
          </w:p>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rPr>
            </w:pP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2.组织内、外部环境的变化，员工及相关方需求的变化，合规义务所带来的</w:t>
            </w:r>
            <w:r>
              <w:rPr>
                <w:rFonts w:hint="eastAsia" w:ascii="宋体" w:hAnsi="宋体" w:eastAsia="宋体" w:cs="Times New Roman"/>
                <w:sz w:val="21"/>
                <w:szCs w:val="21"/>
                <w:lang w:val="en-US" w:eastAsia="zh-CN"/>
              </w:rPr>
              <w:t>能源</w:t>
            </w:r>
            <w:r>
              <w:rPr>
                <w:rFonts w:hint="eastAsia" w:ascii="宋体" w:hAnsi="宋体" w:eastAsia="宋体" w:cs="Times New Roman"/>
                <w:sz w:val="21"/>
                <w:szCs w:val="21"/>
              </w:rPr>
              <w:t>风险与机遇及控制措施的策划，公司战略规划、</w:t>
            </w:r>
            <w:r>
              <w:rPr>
                <w:rFonts w:hint="eastAsia" w:ascii="宋体" w:hAnsi="宋体" w:eastAsia="宋体" w:cs="Times New Roman"/>
                <w:sz w:val="21"/>
                <w:szCs w:val="21"/>
                <w:lang w:val="en-US" w:eastAsia="zh-CN"/>
              </w:rPr>
              <w:t>能源</w:t>
            </w:r>
            <w:r>
              <w:rPr>
                <w:rFonts w:hint="eastAsia" w:ascii="宋体" w:hAnsi="宋体" w:eastAsia="宋体" w:cs="Times New Roman"/>
                <w:sz w:val="21"/>
                <w:szCs w:val="21"/>
              </w:rPr>
              <w:t>管理体系范围的确定,能源边界确定及体系过程的建立；</w:t>
            </w:r>
          </w:p>
          <w:p/>
        </w:tc>
        <w:tc>
          <w:tcPr>
            <w:tcW w:w="960" w:type="dxa"/>
          </w:tcPr>
          <w:p>
            <w:pPr>
              <w:rPr>
                <w:rFonts w:hint="eastAsia" w:ascii="宋体" w:hAnsi="宋体" w:eastAsia="宋体" w:cs="Times New Roman"/>
                <w:sz w:val="21"/>
                <w:szCs w:val="21"/>
              </w:rPr>
            </w:pPr>
          </w:p>
          <w:p>
            <w:pPr>
              <w:rPr>
                <w:rFonts w:hint="eastAsia" w:ascii="宋体" w:hAnsi="宋体" w:eastAsia="宋体" w:cs="Times New Roman"/>
                <w:sz w:val="21"/>
                <w:szCs w:val="21"/>
              </w:rPr>
            </w:pPr>
          </w:p>
          <w:p>
            <w:r>
              <w:rPr>
                <w:rFonts w:hint="eastAsia" w:ascii="宋体" w:hAnsi="宋体" w:eastAsia="宋体" w:cs="Times New Roman"/>
                <w:sz w:val="21"/>
                <w:szCs w:val="21"/>
              </w:rPr>
              <w:t>4.1</w:t>
            </w:r>
            <w:r>
              <w:rPr>
                <w:rFonts w:hint="eastAsia" w:ascii="宋体" w:hAnsi="宋体" w:cs="Times New Roman"/>
                <w:sz w:val="21"/>
                <w:szCs w:val="21"/>
                <w:lang w:val="en-US" w:eastAsia="zh-CN"/>
              </w:rPr>
              <w:t>/</w:t>
            </w:r>
            <w:r>
              <w:rPr>
                <w:rFonts w:hint="eastAsia" w:ascii="宋体" w:hAnsi="宋体" w:eastAsia="宋体" w:cs="Times New Roman"/>
                <w:sz w:val="21"/>
                <w:szCs w:val="21"/>
              </w:rPr>
              <w:t>4.24.</w:t>
            </w:r>
            <w:r>
              <w:rPr>
                <w:rFonts w:hint="eastAsia" w:ascii="宋体" w:hAnsi="宋体" w:cs="Times New Roman"/>
                <w:sz w:val="21"/>
                <w:szCs w:val="21"/>
                <w:lang w:val="en-US" w:eastAsia="zh-CN"/>
              </w:rPr>
              <w:t>3/</w:t>
            </w:r>
            <w:r>
              <w:rPr>
                <w:rFonts w:hint="eastAsia" w:ascii="宋体" w:hAnsi="宋体" w:eastAsia="宋体" w:cs="Times New Roman"/>
                <w:sz w:val="21"/>
                <w:szCs w:val="21"/>
              </w:rPr>
              <w:t>4.46.1</w:t>
            </w:r>
          </w:p>
        </w:tc>
        <w:tc>
          <w:tcPr>
            <w:tcW w:w="10376" w:type="dxa"/>
          </w:tcPr>
          <w:p>
            <w:pPr>
              <w:spacing w:line="54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公司领导每年组织对企业内外部环境进行分析，了解</w:t>
            </w:r>
            <w:r>
              <w:rPr>
                <w:rFonts w:hint="eastAsia" w:ascii="宋体" w:hAnsi="宋体" w:eastAsia="宋体" w:cs="Times New Roman"/>
                <w:sz w:val="21"/>
                <w:szCs w:val="21"/>
              </w:rPr>
              <w:t>内、外部环境的变化，员工及相关方需求的变化，合规义务所带来的</w:t>
            </w:r>
            <w:r>
              <w:rPr>
                <w:rFonts w:hint="eastAsia" w:ascii="宋体" w:hAnsi="宋体" w:eastAsia="宋体" w:cs="Times New Roman"/>
                <w:sz w:val="21"/>
                <w:szCs w:val="21"/>
                <w:lang w:val="en-US" w:eastAsia="zh-CN"/>
              </w:rPr>
              <w:t>能源</w:t>
            </w:r>
            <w:r>
              <w:rPr>
                <w:rFonts w:hint="eastAsia" w:ascii="宋体" w:hAnsi="宋体" w:eastAsia="宋体" w:cs="Times New Roman"/>
                <w:sz w:val="21"/>
                <w:szCs w:val="21"/>
              </w:rPr>
              <w:t>风险与机遇</w:t>
            </w:r>
            <w:r>
              <w:rPr>
                <w:rFonts w:hint="eastAsia" w:ascii="宋体" w:hAnsi="宋体" w:cs="Times New Roman"/>
                <w:sz w:val="21"/>
                <w:szCs w:val="21"/>
                <w:lang w:eastAsia="zh-CN"/>
              </w:rPr>
              <w:t>，</w:t>
            </w:r>
            <w:r>
              <w:rPr>
                <w:rFonts w:hint="eastAsia" w:ascii="宋体" w:hAnsi="宋体" w:eastAsia="宋体" w:cs="宋体"/>
                <w:sz w:val="21"/>
                <w:szCs w:val="21"/>
                <w:lang w:val="en-US" w:eastAsia="zh-CN"/>
              </w:rPr>
              <w:t>制订中长期发展战略规划，认为</w:t>
            </w:r>
            <w:r>
              <w:rPr>
                <w:rFonts w:hint="eastAsia" w:ascii="宋体" w:hAnsi="宋体" w:eastAsia="宋体" w:cs="宋体"/>
                <w:sz w:val="21"/>
                <w:szCs w:val="21"/>
                <w:lang w:val="zh-CN"/>
              </w:rPr>
              <w:t>“十四五”期间是公司实现可持续、高质量发展的重要窗口期，</w:t>
            </w:r>
            <w:r>
              <w:rPr>
                <w:rFonts w:hint="eastAsia" w:ascii="宋体" w:hAnsi="宋体" w:eastAsia="宋体" w:cs="宋体"/>
                <w:sz w:val="21"/>
                <w:szCs w:val="21"/>
                <w:lang w:val="en-US" w:eastAsia="zh-CN"/>
              </w:rPr>
              <w:t>也是</w:t>
            </w:r>
            <w:r>
              <w:rPr>
                <w:rFonts w:hint="eastAsia" w:ascii="宋体" w:hAnsi="宋体" w:eastAsia="宋体" w:cs="宋体"/>
                <w:sz w:val="21"/>
                <w:szCs w:val="21"/>
                <w:lang w:val="zh-CN"/>
              </w:rPr>
              <w:t>公司迎来发展战略机遇期，</w:t>
            </w:r>
            <w:r>
              <w:rPr>
                <w:rFonts w:hint="eastAsia" w:ascii="宋体" w:hAnsi="宋体" w:eastAsia="宋体" w:cs="宋体"/>
                <w:sz w:val="21"/>
                <w:szCs w:val="21"/>
                <w:lang w:val="en-US" w:eastAsia="zh-CN"/>
              </w:rPr>
              <w:t>同时</w:t>
            </w:r>
            <w:r>
              <w:rPr>
                <w:rFonts w:hint="eastAsia" w:ascii="宋体" w:hAnsi="宋体" w:eastAsia="宋体" w:cs="宋体"/>
                <w:sz w:val="21"/>
                <w:szCs w:val="21"/>
                <w:lang w:val="zh-CN"/>
              </w:rPr>
              <w:t>也进入了生存的重大风险期。战略机遇期体现在可降解塑料的发展、PBAT项目发展和氨纶市场高景气周期的到来，重大风险期体现在“双碳”目标使高耗能、高排放产业受到十分严格的碳排放限制。在此形势下，</w:t>
            </w:r>
            <w:r>
              <w:rPr>
                <w:rFonts w:hint="eastAsia" w:ascii="宋体" w:hAnsi="宋体" w:eastAsia="宋体" w:cs="宋体"/>
                <w:sz w:val="21"/>
                <w:szCs w:val="21"/>
                <w:lang w:val="en-US" w:eastAsia="zh-CN"/>
              </w:rPr>
              <w:t>控制措施是抓住2021年时机，通过</w:t>
            </w:r>
            <w:r>
              <w:rPr>
                <w:rFonts w:hint="eastAsia" w:ascii="宋体" w:hAnsi="宋体" w:eastAsia="宋体" w:cs="宋体"/>
                <w:sz w:val="21"/>
                <w:szCs w:val="21"/>
                <w:lang w:val="zh-CN"/>
              </w:rPr>
              <w:t>危中寻机、趁热打铁，打赢“安全生产和经济效益翻身仗”、实现“十四五”良好开局起步的关键时期，</w:t>
            </w:r>
            <w:r>
              <w:rPr>
                <w:rFonts w:hint="eastAsia" w:ascii="宋体" w:hAnsi="宋体" w:eastAsia="宋体" w:cs="宋体"/>
                <w:sz w:val="21"/>
                <w:szCs w:val="21"/>
                <w:lang w:val="en-US" w:eastAsia="zh-CN"/>
              </w:rPr>
              <w:t>确定的控制措施有：</w:t>
            </w:r>
          </w:p>
          <w:p>
            <w:pPr>
              <w:numPr>
                <w:ilvl w:val="0"/>
                <w:numId w:val="1"/>
              </w:numPr>
              <w:adjustRightInd w:val="0"/>
              <w:snapToGrid w:val="0"/>
              <w:spacing w:line="5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增强预见性。</w:t>
            </w:r>
            <w:r>
              <w:rPr>
                <w:rFonts w:hint="eastAsia" w:ascii="宋体" w:hAnsi="宋体" w:eastAsia="宋体" w:cs="宋体"/>
                <w:sz w:val="21"/>
                <w:szCs w:val="21"/>
                <w:lang w:val="zh-CN"/>
              </w:rPr>
              <w:t>深入分析外部环境风险因素和内部管理差距不足对实现全年目标任务的影响，紧盯形势变</w:t>
            </w:r>
            <w:r>
              <w:rPr>
                <w:rFonts w:hint="eastAsia" w:ascii="宋体" w:hAnsi="宋体" w:eastAsia="宋体" w:cs="宋体"/>
                <w:sz w:val="21"/>
                <w:szCs w:val="21"/>
                <w:lang w:val="en-US" w:eastAsia="zh-CN"/>
              </w:rPr>
              <w:t xml:space="preserve">   </w:t>
            </w:r>
          </w:p>
          <w:p>
            <w:pPr>
              <w:numPr>
                <w:ilvl w:val="0"/>
                <w:numId w:val="0"/>
              </w:numPr>
              <w:adjustRightInd w:val="0"/>
              <w:snapToGrid w:val="0"/>
              <w:spacing w:line="540" w:lineRule="exact"/>
              <w:ind w:left="420" w:leftChars="200"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化，做好前瞻预判，在不确定性中看准趋势、把准方向、踩准节拍，以充足超前准备应对各种“意料不到”，努力抵御风险，切实赢得主动，坚决守住不发生系统性风险的底线。</w:t>
            </w:r>
          </w:p>
          <w:p>
            <w:pPr>
              <w:numPr>
                <w:ilvl w:val="0"/>
                <w:numId w:val="1"/>
              </w:numPr>
              <w:adjustRightInd w:val="0"/>
              <w:snapToGrid w:val="0"/>
              <w:spacing w:line="540" w:lineRule="exact"/>
              <w:ind w:left="0" w:leftChars="0" w:firstLine="420" w:firstLineChars="200"/>
              <w:rPr>
                <w:rFonts w:hint="eastAsia" w:ascii="宋体" w:hAnsi="宋体" w:eastAsia="宋体" w:cs="宋体"/>
                <w:sz w:val="21"/>
                <w:szCs w:val="21"/>
                <w:lang w:val="zh-CN"/>
              </w:rPr>
            </w:pPr>
            <w:r>
              <w:rPr>
                <w:rFonts w:hint="eastAsia" w:ascii="宋体" w:hAnsi="宋体" w:eastAsia="宋体" w:cs="宋体"/>
                <w:sz w:val="21"/>
                <w:szCs w:val="21"/>
              </w:rPr>
              <w:t>增强系统性。</w:t>
            </w:r>
            <w:r>
              <w:rPr>
                <w:rFonts w:hint="eastAsia" w:ascii="宋体" w:hAnsi="宋体" w:eastAsia="宋体" w:cs="宋体"/>
                <w:sz w:val="21"/>
                <w:szCs w:val="21"/>
                <w:lang w:val="zh-CN"/>
              </w:rPr>
              <w:t>树立大局意识，善于在集团公司实施世界领先发展方略的大局下找准定位、强化担当，在</w:t>
            </w:r>
          </w:p>
          <w:p>
            <w:pPr>
              <w:numPr>
                <w:ilvl w:val="0"/>
                <w:numId w:val="0"/>
              </w:numPr>
              <w:adjustRightInd w:val="0"/>
              <w:snapToGrid w:val="0"/>
              <w:spacing w:line="540" w:lineRule="exact"/>
              <w:ind w:leftChars="200"/>
              <w:rPr>
                <w:rFonts w:hint="eastAsia" w:ascii="宋体" w:hAnsi="宋体" w:eastAsia="宋体" w:cs="宋体"/>
                <w:sz w:val="21"/>
                <w:szCs w:val="21"/>
                <w:lang w:val="zh-CN"/>
              </w:rPr>
            </w:pPr>
            <w:r>
              <w:rPr>
                <w:rFonts w:hint="eastAsia" w:ascii="宋体" w:hAnsi="宋体" w:eastAsia="宋体" w:cs="宋体"/>
                <w:sz w:val="21"/>
                <w:szCs w:val="21"/>
                <w:lang w:val="zh-CN"/>
              </w:rPr>
              <w:t>全局协同中寻求战略依靠、技术支撑、政策扶助。坚持系统思维，以系统优化、深度优化为抓手，坚持一切工作、一切资源向价值创造聚焦，增强效益意识，激活造血机能，全面向管理要效益。</w:t>
            </w:r>
          </w:p>
          <w:p>
            <w:pPr>
              <w:adjustRightInd w:val="0"/>
              <w:snapToGrid w:val="0"/>
              <w:spacing w:line="540" w:lineRule="exact"/>
              <w:ind w:left="420" w:leftChars="200" w:firstLine="0" w:firstLineChars="0"/>
              <w:rPr>
                <w:rFonts w:hint="eastAsia" w:ascii="宋体" w:hAnsi="宋体" w:eastAsia="宋体" w:cs="宋体"/>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rPr>
              <w:t>增强均衡性。</w:t>
            </w:r>
            <w:r>
              <w:rPr>
                <w:rFonts w:hint="eastAsia" w:ascii="宋体" w:hAnsi="宋体" w:eastAsia="宋体" w:cs="宋体"/>
                <w:sz w:val="21"/>
                <w:szCs w:val="21"/>
                <w:lang w:val="zh-CN"/>
              </w:rPr>
              <w:t>要一体统筹安全生产、大修改造、管理效益的动态均衡，既要统筹发展和安全，也要兼顾质量、</w:t>
            </w:r>
            <w:r>
              <w:rPr>
                <w:rFonts w:hint="eastAsia" w:ascii="宋体" w:hAnsi="宋体" w:eastAsia="宋体" w:cs="宋体"/>
                <w:sz w:val="21"/>
                <w:szCs w:val="21"/>
                <w:lang w:val="en-US" w:eastAsia="zh-CN"/>
              </w:rPr>
              <w:t>能耗</w:t>
            </w:r>
            <w:r>
              <w:rPr>
                <w:rFonts w:hint="eastAsia" w:ascii="宋体" w:hAnsi="宋体" w:eastAsia="宋体" w:cs="宋体"/>
                <w:sz w:val="21"/>
                <w:szCs w:val="21"/>
                <w:lang w:val="zh-CN"/>
              </w:rPr>
              <w:t>和效益，既要抢抓机遇、大干快上，也要步步为营、稳扎稳打，既要坚持“抓两头、带中间”，也要激励“站排头、争第一”，切实在变化中求均衡，在均衡中占先机。</w:t>
            </w:r>
          </w:p>
          <w:p>
            <w:pPr>
              <w:adjustRightInd w:val="0"/>
              <w:snapToGrid w:val="0"/>
              <w:spacing w:line="540" w:lineRule="exact"/>
              <w:ind w:left="630" w:leftChars="200" w:hanging="210" w:hanging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增强主动性。</w:t>
            </w:r>
            <w:r>
              <w:rPr>
                <w:rFonts w:hint="eastAsia" w:ascii="宋体" w:hAnsi="宋体" w:eastAsia="宋体" w:cs="宋体"/>
                <w:sz w:val="21"/>
                <w:szCs w:val="21"/>
                <w:lang w:val="zh-CN"/>
              </w:rPr>
              <w:t>主动借力上半年打下的良好安全、效益基础，再接再厉、乘势而上，巩固提升良好发展态势，推动经营形势持续向好。</w:t>
            </w:r>
            <w:r>
              <w:rPr>
                <w:rFonts w:hint="eastAsia" w:ascii="宋体" w:hAnsi="宋体" w:eastAsia="宋体" w:cs="宋体"/>
                <w:sz w:val="21"/>
                <w:szCs w:val="21"/>
                <w:lang w:val="en-US" w:eastAsia="zh-CN"/>
              </w:rPr>
              <w:t>公司控制措施策划符合企业实际且可行。</w:t>
            </w:r>
          </w:p>
          <w:p>
            <w:pPr>
              <w:adjustRightInd w:val="0"/>
              <w:snapToGrid w:val="0"/>
              <w:spacing w:line="540" w:lineRule="exact"/>
              <w:ind w:left="630" w:leftChars="200" w:hanging="210" w:hangingChars="100"/>
              <w:rPr>
                <w:rFonts w:hint="eastAsia" w:ascii="宋体" w:hAnsi="宋体" w:eastAsia="宋体" w:cs="宋体"/>
                <w:sz w:val="21"/>
                <w:szCs w:val="21"/>
                <w:lang w:val="en-US" w:eastAsia="zh-CN"/>
              </w:rPr>
            </w:pPr>
          </w:p>
          <w:p>
            <w:pPr>
              <w:spacing w:line="360" w:lineRule="auto"/>
              <w:ind w:left="718" w:leftChars="342" w:firstLine="210" w:firstLineChars="1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 xml:space="preserve">公司确定的能源边界为：   </w:t>
            </w:r>
            <w:r>
              <w:rPr>
                <w:rFonts w:hint="eastAsia" w:ascii="宋体" w:hAnsi="宋体" w:eastAsia="宋体" w:cs="宋体"/>
                <w:b w:val="0"/>
                <w:bCs w:val="0"/>
                <w:sz w:val="21"/>
                <w:szCs w:val="21"/>
              </w:rPr>
              <w:t>中国石化长城能源化工（宁夏）有限公司能源评审范围为公司各主要生产装置按照财务核算体系边界确定装置能源管理边界，辅助车间以车间为能源管理边界。公司能源评审覆盖的产品（服务）范围包括：产品生产经营过程所涉及的能源采购、储存、加工、转换、输配、使用和余能利用等管理活动，涉及产品：电力、热力、甲醇、石灰、电石、乙炔、醋酸、醋酸乙烯、聚乙烯醇、BDO、PTMEG、熟料、水泥等产品。</w:t>
            </w:r>
          </w:p>
          <w:p>
            <w:pPr>
              <w:spacing w:line="360" w:lineRule="auto"/>
              <w:ind w:left="479" w:leftChars="228" w:firstLine="0" w:firstLineChars="0"/>
              <w:rPr>
                <w:rFonts w:hint="default"/>
                <w:lang w:val="en-US"/>
              </w:rPr>
            </w:pPr>
            <w:r>
              <w:rPr>
                <w:rFonts w:hint="eastAsia" w:ascii="宋体" w:hAnsi="宋体" w:eastAsia="宋体" w:cs="宋体"/>
                <w:sz w:val="21"/>
                <w:szCs w:val="21"/>
              </w:rPr>
              <w:t>能源评审边界</w:t>
            </w:r>
            <w:r>
              <w:rPr>
                <w:rFonts w:hint="eastAsia" w:ascii="宋体" w:hAnsi="宋体" w:eastAsia="宋体" w:cs="宋体"/>
                <w:sz w:val="21"/>
                <w:szCs w:val="21"/>
                <w:lang w:val="en-US" w:eastAsia="zh-CN"/>
              </w:rPr>
              <w:t>为：</w:t>
            </w:r>
            <w:r>
              <w:rPr>
                <w:rFonts w:hint="eastAsia" w:ascii="宋体" w:hAnsi="宋体" w:eastAsia="宋体" w:cs="宋体"/>
                <w:sz w:val="21"/>
                <w:szCs w:val="21"/>
              </w:rPr>
              <w:t>中国石化长城能源化工（宁夏）有限公司拥有62万吨/年甲醇、75万吨/年电石、23万吨/年乙炔、30万吨/年醋酸、45万吨/年醋酸乙烯、10万吨/年聚乙烯醇（PVA）、20万吨/年1,4-丁二醇（BDO）、9.2万吨/年聚四氢呋喃（PTMEG）等化工装置，以及2×330MW自备热电、100万吨/年水泥装置，相应配套公用工程。</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160" w:type="dxa"/>
          </w:tcPr>
          <w:p>
            <w:pPr>
              <w:rPr>
                <w:rFonts w:hint="eastAsia" w:ascii="宋体" w:hAnsi="宋体" w:eastAsia="宋体" w:cs="Times New Roman"/>
                <w:sz w:val="21"/>
                <w:szCs w:val="21"/>
                <w:lang w:val="en-US" w:eastAsia="zh-CN"/>
              </w:rPr>
            </w:pPr>
          </w:p>
          <w:p>
            <w:pPr>
              <w:rPr>
                <w:rFonts w:hint="eastAsia" w:ascii="宋体" w:hAnsi="宋体" w:eastAsia="宋体" w:cs="Times New Roman"/>
                <w:sz w:val="21"/>
                <w:szCs w:val="21"/>
                <w:lang w:val="en-US" w:eastAsia="zh-CN"/>
              </w:rPr>
            </w:pPr>
          </w:p>
          <w:p>
            <w:r>
              <w:rPr>
                <w:rFonts w:hint="eastAsia" w:ascii="宋体" w:hAnsi="宋体" w:eastAsia="宋体" w:cs="Times New Roman"/>
                <w:sz w:val="21"/>
                <w:szCs w:val="21"/>
                <w:lang w:val="en-US" w:eastAsia="zh-CN"/>
              </w:rPr>
              <w:t>3.能源</w:t>
            </w:r>
            <w:r>
              <w:rPr>
                <w:rFonts w:hint="eastAsia" w:ascii="宋体" w:hAnsi="宋体" w:eastAsia="宋体" w:cs="Times New Roman"/>
                <w:sz w:val="21"/>
                <w:szCs w:val="21"/>
              </w:rPr>
              <w:t>方针的适宜性和目标及其实现的策；</w:t>
            </w:r>
          </w:p>
        </w:tc>
        <w:tc>
          <w:tcPr>
            <w:tcW w:w="960" w:type="dxa"/>
          </w:tcPr>
          <w:p>
            <w:pPr>
              <w:rPr>
                <w:rFonts w:hint="eastAsia" w:ascii="宋体" w:hAnsi="宋体" w:eastAsia="宋体" w:cs="Times New Roman"/>
                <w:sz w:val="21"/>
                <w:szCs w:val="21"/>
              </w:rPr>
            </w:pPr>
          </w:p>
          <w:p>
            <w:pPr>
              <w:rPr>
                <w:rFonts w:hint="eastAsia" w:ascii="宋体" w:hAnsi="宋体" w:eastAsia="宋体" w:cs="Times New Roman"/>
                <w:sz w:val="21"/>
                <w:szCs w:val="21"/>
              </w:rPr>
            </w:pPr>
          </w:p>
          <w:p>
            <w:pPr>
              <w:rPr>
                <w:rFonts w:hint="eastAsia" w:ascii="宋体" w:hAnsi="宋体" w:eastAsia="宋体" w:cs="Times New Roman"/>
                <w:sz w:val="21"/>
                <w:szCs w:val="21"/>
              </w:rPr>
            </w:pPr>
          </w:p>
          <w:p>
            <w:r>
              <w:rPr>
                <w:rFonts w:hint="eastAsia" w:ascii="宋体" w:hAnsi="宋体" w:eastAsia="宋体" w:cs="Times New Roman"/>
                <w:sz w:val="21"/>
                <w:szCs w:val="21"/>
              </w:rPr>
              <w:t>5.2</w:t>
            </w:r>
            <w:r>
              <w:rPr>
                <w:rFonts w:hint="eastAsia" w:ascii="宋体" w:hAnsi="宋体" w:cs="Times New Roman"/>
                <w:sz w:val="21"/>
                <w:szCs w:val="21"/>
                <w:lang w:val="en-US" w:eastAsia="zh-CN"/>
              </w:rPr>
              <w:t>/</w:t>
            </w:r>
            <w:r>
              <w:rPr>
                <w:rFonts w:hint="eastAsia" w:ascii="宋体" w:hAnsi="宋体" w:eastAsia="宋体" w:cs="Times New Roman"/>
                <w:sz w:val="21"/>
                <w:szCs w:val="21"/>
              </w:rPr>
              <w:t>6.2</w:t>
            </w:r>
          </w:p>
        </w:tc>
        <w:tc>
          <w:tcPr>
            <w:tcW w:w="10376" w:type="dxa"/>
          </w:tcPr>
          <w:p>
            <w:pPr>
              <w:spacing w:line="360" w:lineRule="auto"/>
              <w:ind w:firstLine="435"/>
              <w:rPr>
                <w:rFonts w:hint="eastAsia" w:ascii="Times New Roman" w:hAnsi="Times New Roman" w:eastAsia="宋体" w:cs="Times New Roman"/>
                <w:b w:val="0"/>
                <w:bCs w:val="0"/>
                <w:color w:val="auto"/>
                <w:highlight w:val="none"/>
                <w:lang w:val="en-US" w:eastAsia="zh-CN"/>
              </w:rPr>
            </w:pPr>
            <w:r>
              <w:rPr>
                <w:rFonts w:hint="eastAsia"/>
                <w:color w:val="auto"/>
                <w:highlight w:val="none"/>
              </w:rPr>
              <w:t>最高管理者制定了文件化的管理</w:t>
            </w:r>
            <w:r>
              <w:rPr>
                <w:rFonts w:hint="eastAsia" w:ascii="Times New Roman" w:hAnsi="Times New Roman" w:eastAsia="宋体" w:cs="Times New Roman"/>
                <w:color w:val="auto"/>
                <w:highlight w:val="none"/>
                <w:u w:val="single"/>
                <w:lang w:val="en-US" w:eastAsia="zh-CN"/>
              </w:rPr>
              <w:t>体系方针：“</w:t>
            </w:r>
            <w:r>
              <w:rPr>
                <w:rFonts w:hint="eastAsia"/>
                <w:b w:val="0"/>
                <w:bCs w:val="0"/>
                <w:color w:val="auto"/>
                <w:highlight w:val="none"/>
                <w:u w:val="single"/>
              </w:rPr>
              <w:t>精细管理  节能减排  技术创新  持续改进</w:t>
            </w:r>
            <w:r>
              <w:rPr>
                <w:rFonts w:hint="default"/>
                <w:b w:val="0"/>
                <w:bCs w:val="0"/>
                <w:color w:val="auto"/>
                <w:highlight w:val="none"/>
                <w:u w:val="single"/>
                <w:lang w:val="en-US" w:eastAsia="zh-CN"/>
              </w:rPr>
              <w:t>”</w:t>
            </w:r>
          </w:p>
          <w:p>
            <w:pPr>
              <w:shd w:val="clear" w:color="auto" w:fill="EBF1DE" w:themeFill="accent3" w:themeFillTint="32"/>
              <w:spacing w:line="360" w:lineRule="auto"/>
              <w:rPr>
                <w:color w:val="auto"/>
                <w:highlight w:val="none"/>
                <w:u w:val="single"/>
              </w:rPr>
            </w:pPr>
          </w:p>
          <w:p>
            <w:pPr>
              <w:spacing w:line="360" w:lineRule="auto"/>
              <w:ind w:firstLine="420" w:firstLineChars="200"/>
            </w:pPr>
            <w:r>
              <w:rPr>
                <w:rFonts w:hint="eastAsia"/>
                <w:color w:val="auto"/>
                <w:highlight w:val="none"/>
              </w:rPr>
              <w:t>能源</w:t>
            </w:r>
            <w:r>
              <w:rPr>
                <w:rFonts w:hint="eastAsia"/>
                <w:color w:val="auto"/>
                <w:highlight w:val="none"/>
                <w:lang w:val="en-GB"/>
              </w:rPr>
              <w:t>方针合理恰当并为相应的</w:t>
            </w:r>
            <w:r>
              <w:rPr>
                <w:rFonts w:hint="eastAsia"/>
                <w:color w:val="auto"/>
                <w:highlight w:val="none"/>
              </w:rPr>
              <w:t>节能</w:t>
            </w:r>
            <w:r>
              <w:rPr>
                <w:rFonts w:hint="eastAsia"/>
                <w:color w:val="auto"/>
                <w:highlight w:val="none"/>
                <w:lang w:val="en-GB"/>
              </w:rPr>
              <w:t>目标提供了框架，</w:t>
            </w:r>
            <w:r>
              <w:rPr>
                <w:rFonts w:hint="eastAsia"/>
                <w:color w:val="auto"/>
                <w:highlight w:val="none"/>
              </w:rPr>
              <w:t>包括了</w:t>
            </w:r>
            <w:r>
              <w:rPr>
                <w:rFonts w:hint="eastAsia"/>
                <w:color w:val="auto"/>
                <w:highlight w:val="none"/>
                <w:lang w:val="en-GB"/>
              </w:rPr>
              <w:t>节能的承诺、履行其合规义务的承诺，持续改进能源管理体系以提高能源绩效的承诺；</w:t>
            </w:r>
            <w:r>
              <w:rPr>
                <w:rFonts w:hint="eastAsia"/>
                <w:color w:val="auto"/>
                <w:highlight w:val="none"/>
              </w:rPr>
              <w:t>最高</w:t>
            </w:r>
            <w:r>
              <w:rPr>
                <w:rFonts w:hint="eastAsia"/>
                <w:color w:val="auto"/>
                <w:highlight w:val="none"/>
                <w:lang w:val="en-GB"/>
              </w:rPr>
              <w:t>管理层已经宣布了组织的</w:t>
            </w:r>
            <w:r>
              <w:rPr>
                <w:rFonts w:hint="eastAsia"/>
                <w:color w:val="auto"/>
                <w:highlight w:val="none"/>
              </w:rPr>
              <w:t>能源</w:t>
            </w:r>
            <w:r>
              <w:rPr>
                <w:rFonts w:hint="eastAsia"/>
                <w:color w:val="auto"/>
                <w:highlight w:val="none"/>
                <w:lang w:val="en-GB"/>
              </w:rPr>
              <w:t>方针并进行了实施，它使所有员工负起持续改进</w:t>
            </w:r>
            <w:r>
              <w:rPr>
                <w:rFonts w:hint="eastAsia"/>
                <w:color w:val="auto"/>
                <w:highlight w:val="none"/>
              </w:rPr>
              <w:t>能源</w:t>
            </w:r>
            <w:r>
              <w:rPr>
                <w:rFonts w:hint="eastAsia"/>
                <w:color w:val="auto"/>
                <w:highlight w:val="none"/>
                <w:lang w:val="en-GB"/>
              </w:rPr>
              <w:t>管理体系的责任，</w:t>
            </w:r>
            <w:r>
              <w:rPr>
                <w:rFonts w:hint="eastAsia"/>
                <w:color w:val="auto"/>
                <w:highlight w:val="none"/>
              </w:rPr>
              <w:t>并在相关方有需要时提供。</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160" w:type="dxa"/>
          </w:tcPr>
          <w:p>
            <w:pPr>
              <w:rPr>
                <w:rFonts w:hint="eastAsia" w:ascii="宋体" w:hAnsi="宋体" w:eastAsia="宋体" w:cs="Times New Roman"/>
                <w:sz w:val="21"/>
                <w:szCs w:val="21"/>
              </w:rPr>
            </w:pPr>
          </w:p>
          <w:p>
            <w:pPr>
              <w:rPr>
                <w:rFonts w:hint="eastAsia" w:ascii="宋体" w:hAnsi="宋体" w:eastAsia="宋体" w:cs="Times New Roman"/>
                <w:sz w:val="21"/>
                <w:szCs w:val="21"/>
                <w:lang w:val="en-US" w:eastAsia="zh-CN"/>
              </w:rPr>
            </w:pPr>
            <w:r>
              <w:rPr>
                <w:rFonts w:hint="eastAsia" w:ascii="宋体" w:hAnsi="宋体" w:eastAsia="宋体" w:cs="Times New Roman"/>
                <w:sz w:val="21"/>
                <w:szCs w:val="21"/>
              </w:rPr>
              <w:t>4.领导作用、承诺和员工参与的具体体现；</w:t>
            </w:r>
          </w:p>
        </w:tc>
        <w:tc>
          <w:tcPr>
            <w:tcW w:w="960" w:type="dxa"/>
          </w:tcPr>
          <w:p>
            <w:pPr>
              <w:rPr>
                <w:rFonts w:hint="eastAsia" w:ascii="宋体" w:hAnsi="宋体" w:eastAsia="宋体" w:cs="Times New Roman"/>
                <w:sz w:val="21"/>
                <w:szCs w:val="21"/>
              </w:rPr>
            </w:pPr>
          </w:p>
          <w:p>
            <w:pPr>
              <w:rPr>
                <w:rFonts w:hint="eastAsia" w:ascii="宋体" w:hAnsi="宋体" w:eastAsia="宋体" w:cs="Times New Roman"/>
                <w:sz w:val="21"/>
                <w:szCs w:val="21"/>
              </w:rPr>
            </w:pPr>
            <w:r>
              <w:rPr>
                <w:rFonts w:hint="eastAsia" w:ascii="宋体" w:hAnsi="宋体" w:eastAsia="宋体" w:cs="Times New Roman"/>
                <w:sz w:val="21"/>
                <w:szCs w:val="21"/>
              </w:rPr>
              <w:t>5.1</w:t>
            </w:r>
          </w:p>
        </w:tc>
        <w:tc>
          <w:tcPr>
            <w:tcW w:w="10376" w:type="dxa"/>
          </w:tcPr>
          <w:p>
            <w:pPr>
              <w:spacing w:line="360" w:lineRule="auto"/>
            </w:pPr>
          </w:p>
          <w:p>
            <w:pPr>
              <w:pStyle w:val="2"/>
              <w:spacing w:line="360" w:lineRule="auto"/>
              <w:rPr>
                <w:rFonts w:hint="default" w:eastAsia="宋体"/>
                <w:lang w:val="en-US" w:eastAsia="zh-CN"/>
              </w:rPr>
            </w:pPr>
            <w:r>
              <w:rPr>
                <w:rFonts w:hint="eastAsia"/>
                <w:lang w:val="en-US" w:eastAsia="zh-CN"/>
              </w:rPr>
              <w:t>公司总经理重视能源管理体系的建立与运行，亲自担任公司节能领导小组组长，发布能源方针，参加能源例会，担任节能技改项目负责人等，《能源管理手册》中</w:t>
            </w:r>
            <w:r>
              <w:rPr>
                <w:rFonts w:hint="eastAsia" w:ascii="宋体" w:hAnsi="宋体" w:eastAsia="宋体" w:cs="Times New Roman"/>
                <w:sz w:val="21"/>
                <w:szCs w:val="21"/>
              </w:rPr>
              <w:t>领导作用、承诺和员工参与的具体</w:t>
            </w:r>
            <w:r>
              <w:rPr>
                <w:rFonts w:hint="eastAsia" w:ascii="宋体" w:hAnsi="宋体" w:cs="Times New Roman"/>
                <w:sz w:val="21"/>
                <w:szCs w:val="21"/>
                <w:lang w:val="en-US" w:eastAsia="zh-CN"/>
              </w:rPr>
              <w:t>要求内容符合要求。</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60" w:type="dxa"/>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5.能源</w:t>
            </w:r>
            <w:r>
              <w:rPr>
                <w:rFonts w:hint="eastAsia" w:ascii="宋体" w:hAnsi="宋体" w:eastAsia="宋体" w:cs="Times New Roman"/>
                <w:sz w:val="21"/>
                <w:szCs w:val="21"/>
              </w:rPr>
              <w:t>资源的提供；</w:t>
            </w:r>
          </w:p>
          <w:p>
            <w:pPr>
              <w:rPr>
                <w:rFonts w:hint="eastAsia" w:ascii="宋体" w:hAnsi="宋体" w:eastAsia="宋体" w:cs="Times New Roman"/>
                <w:sz w:val="21"/>
                <w:szCs w:val="21"/>
              </w:rPr>
            </w:pPr>
          </w:p>
        </w:tc>
        <w:tc>
          <w:tcPr>
            <w:tcW w:w="960" w:type="dxa"/>
          </w:tcPr>
          <w:p>
            <w:pPr>
              <w:rPr>
                <w:rFonts w:hint="eastAsia" w:ascii="宋体" w:hAnsi="宋体" w:eastAsia="宋体" w:cs="Times New Roman"/>
                <w:sz w:val="21"/>
                <w:szCs w:val="21"/>
              </w:rPr>
            </w:pPr>
          </w:p>
          <w:p>
            <w:pPr>
              <w:rPr>
                <w:rFonts w:hint="eastAsia" w:ascii="宋体" w:hAnsi="宋体" w:eastAsia="宋体" w:cs="Times New Roman"/>
                <w:sz w:val="21"/>
                <w:szCs w:val="21"/>
              </w:rPr>
            </w:pPr>
          </w:p>
          <w:p>
            <w:pPr>
              <w:rPr>
                <w:rFonts w:hint="eastAsia" w:ascii="宋体" w:hAnsi="宋体" w:eastAsia="宋体" w:cs="Times New Roman"/>
                <w:sz w:val="21"/>
                <w:szCs w:val="21"/>
              </w:rPr>
            </w:pPr>
            <w:r>
              <w:rPr>
                <w:rFonts w:hint="eastAsia" w:ascii="宋体" w:hAnsi="宋体" w:eastAsia="宋体" w:cs="Times New Roman"/>
                <w:sz w:val="21"/>
                <w:szCs w:val="21"/>
              </w:rPr>
              <w:t>7.1</w:t>
            </w:r>
          </w:p>
        </w:tc>
        <w:tc>
          <w:tcPr>
            <w:tcW w:w="10376" w:type="dxa"/>
          </w:tcPr>
          <w:p>
            <w:pPr>
              <w:spacing w:line="360" w:lineRule="auto"/>
              <w:rPr>
                <w:rFonts w:hint="eastAsia"/>
                <w:lang w:val="en-US" w:eastAsia="zh-CN"/>
              </w:rPr>
            </w:pPr>
            <w:r>
              <w:rPr>
                <w:rFonts w:hint="eastAsia"/>
                <w:lang w:val="en-US" w:eastAsia="zh-CN"/>
              </w:rPr>
              <w:t xml:space="preserve">   公司总经理重视人才的培养和发挥作用，并且在《能源手册》7.1、7.2条款中内容规定了对不同层次人员进行能源培训需求，确保与主要能源使用相关的人员具有基于相应教育、培训、技能或经验所要求的能力，形成全员主动节能的意识，营造寻求节能改进机制。</w:t>
            </w:r>
          </w:p>
          <w:p>
            <w:pPr>
              <w:pStyle w:val="2"/>
              <w:spacing w:line="360" w:lineRule="auto"/>
              <w:rPr>
                <w:rFonts w:hint="default"/>
                <w:lang w:val="en-US" w:eastAsia="zh-CN"/>
              </w:rPr>
            </w:pPr>
            <w:r>
              <w:rPr>
                <w:rFonts w:hint="default"/>
                <w:lang w:val="en-US" w:eastAsia="zh-CN"/>
              </w:rPr>
              <w:t>公司</w:t>
            </w:r>
            <w:r>
              <w:rPr>
                <w:rFonts w:hint="eastAsia"/>
                <w:lang w:val="en-US" w:eastAsia="zh-CN"/>
              </w:rPr>
              <w:t>领导重视</w:t>
            </w:r>
            <w:r>
              <w:rPr>
                <w:rFonts w:hint="default"/>
                <w:lang w:val="en-US" w:eastAsia="zh-CN"/>
              </w:rPr>
              <w:t>能源改造项目已经立项的资金落实</w:t>
            </w:r>
            <w:r>
              <w:rPr>
                <w:rFonts w:hint="eastAsia"/>
                <w:lang w:val="en-US" w:eastAsia="zh-CN"/>
              </w:rPr>
              <w:t>，</w:t>
            </w:r>
            <w:r>
              <w:rPr>
                <w:rFonts w:hint="default"/>
                <w:lang w:val="en-US" w:eastAsia="zh-CN"/>
              </w:rPr>
              <w:t>公司能源改造项目方面的项目：1、BDO装置达标改造项目（节约蒸汽），项目预算：25978万元，目前发生7.51万元。2、醋酸装置挖潜优化改造项目（节约蒸汽），项目预算：7086万元，目前发生了567.81万元。3、乙炔、一氧化碳、脱硫剂多联产填平补齐项目（节约电）正在审批过程，还没有发生费用。4、醋酸装置副产蒸汽回收利用改造项目（节约蒸汽），项目预算：75.56万元，目前发生28.41万元。以上项目资金预算、资金发生、资金运作均正常。</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160" w:type="dxa"/>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6</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能源</w:t>
            </w:r>
            <w:r>
              <w:rPr>
                <w:rFonts w:hint="eastAsia" w:ascii="宋体" w:hAnsi="宋体" w:eastAsia="宋体" w:cs="Times New Roman"/>
                <w:sz w:val="21"/>
                <w:szCs w:val="21"/>
              </w:rPr>
              <w:t>内审、管理评审的开展情况、持续改进；</w:t>
            </w:r>
          </w:p>
          <w:p>
            <w:pPr>
              <w:rPr>
                <w:rFonts w:hint="eastAsia" w:ascii="宋体" w:hAnsi="宋体" w:eastAsia="宋体" w:cs="Times New Roman"/>
                <w:sz w:val="21"/>
                <w:szCs w:val="21"/>
              </w:rPr>
            </w:pPr>
          </w:p>
        </w:tc>
        <w:tc>
          <w:tcPr>
            <w:tcW w:w="960" w:type="dxa"/>
          </w:tcPr>
          <w:p>
            <w:pPr>
              <w:rPr>
                <w:rFonts w:hint="eastAsia" w:ascii="宋体" w:hAnsi="宋体" w:eastAsia="宋体" w:cs="Times New Roman"/>
                <w:sz w:val="21"/>
                <w:szCs w:val="21"/>
              </w:rPr>
            </w:pPr>
          </w:p>
          <w:p>
            <w:pPr>
              <w:rPr>
                <w:rFonts w:hint="eastAsia" w:ascii="宋体" w:hAnsi="宋体" w:eastAsia="宋体" w:cs="Times New Roman"/>
                <w:sz w:val="21"/>
                <w:szCs w:val="21"/>
              </w:rPr>
            </w:pPr>
            <w:r>
              <w:rPr>
                <w:rFonts w:hint="eastAsia" w:ascii="宋体" w:hAnsi="宋体" w:eastAsia="宋体" w:cs="Times New Roman"/>
                <w:sz w:val="21"/>
                <w:szCs w:val="21"/>
              </w:rPr>
              <w:t>9.2</w:t>
            </w:r>
            <w:r>
              <w:rPr>
                <w:rFonts w:hint="eastAsia" w:ascii="宋体" w:hAnsi="宋体" w:cs="Times New Roman"/>
                <w:sz w:val="21"/>
                <w:szCs w:val="21"/>
                <w:lang w:val="en-US" w:eastAsia="zh-CN"/>
              </w:rPr>
              <w:t>/</w:t>
            </w:r>
            <w:r>
              <w:rPr>
                <w:rFonts w:hint="eastAsia" w:ascii="宋体" w:hAnsi="宋体" w:eastAsia="宋体" w:cs="Times New Roman"/>
                <w:sz w:val="21"/>
                <w:szCs w:val="21"/>
              </w:rPr>
              <w:t>9.3</w:t>
            </w:r>
            <w:r>
              <w:rPr>
                <w:rFonts w:hint="eastAsia" w:ascii="宋体" w:hAnsi="宋体" w:cs="Times New Roman"/>
                <w:sz w:val="21"/>
                <w:szCs w:val="21"/>
                <w:lang w:val="en-US" w:eastAsia="zh-CN"/>
              </w:rPr>
              <w:t>/</w:t>
            </w:r>
            <w:r>
              <w:rPr>
                <w:rFonts w:hint="eastAsia" w:ascii="宋体" w:hAnsi="宋体" w:eastAsia="宋体" w:cs="Times New Roman"/>
                <w:sz w:val="21"/>
                <w:szCs w:val="21"/>
              </w:rPr>
              <w:t>10.1</w:t>
            </w:r>
          </w:p>
          <w:p>
            <w:pPr>
              <w:rPr>
                <w:rFonts w:hint="eastAsia" w:ascii="宋体" w:hAnsi="宋体" w:eastAsia="宋体" w:cs="Times New Roman"/>
                <w:sz w:val="21"/>
                <w:szCs w:val="21"/>
              </w:rPr>
            </w:pPr>
            <w:r>
              <w:rPr>
                <w:rFonts w:hint="eastAsia" w:ascii="宋体" w:hAnsi="宋体" w:cs="Times New Roman"/>
                <w:sz w:val="21"/>
                <w:szCs w:val="21"/>
                <w:lang w:val="en-US" w:eastAsia="zh-CN"/>
              </w:rPr>
              <w:t>/</w:t>
            </w:r>
            <w:r>
              <w:rPr>
                <w:rFonts w:hint="eastAsia" w:ascii="宋体" w:hAnsi="宋体" w:eastAsia="宋体" w:cs="Times New Roman"/>
                <w:sz w:val="21"/>
                <w:szCs w:val="21"/>
              </w:rPr>
              <w:t>10.</w:t>
            </w:r>
            <w:r>
              <w:rPr>
                <w:rFonts w:hint="eastAsia" w:ascii="宋体" w:hAnsi="宋体" w:cs="Times New Roman"/>
                <w:sz w:val="21"/>
                <w:szCs w:val="21"/>
                <w:lang w:val="en-US" w:eastAsia="zh-CN"/>
              </w:rPr>
              <w:t>2</w:t>
            </w:r>
          </w:p>
        </w:tc>
        <w:tc>
          <w:tcPr>
            <w:tcW w:w="10376" w:type="dxa"/>
          </w:tcPr>
          <w:p>
            <w:pPr>
              <w:spacing w:line="360" w:lineRule="auto"/>
              <w:rPr>
                <w:rFonts w:hint="eastAsia"/>
                <w:lang w:val="en-US" w:eastAsia="zh-CN"/>
              </w:rPr>
            </w:pPr>
            <w:r>
              <w:rPr>
                <w:rFonts w:hint="eastAsia"/>
                <w:lang w:val="en-US" w:eastAsia="zh-CN"/>
              </w:rPr>
              <w:t xml:space="preserve">  2021年5月25-28日公司由副总经理姬伟毅直接领导下，企管部组织了能源体系运行以来第一次内审，内审覆盖公司能源管理体系各部门、各单位，共发现一般不符合5个，问题项60个，（各单位已经全部整改完毕，通过效果验证）。内审结论：公司建立的能源管理体系符合ISO50001:2018标准要求，运行有效。</w:t>
            </w:r>
          </w:p>
          <w:p>
            <w:pPr>
              <w:pStyle w:val="2"/>
              <w:spacing w:line="360" w:lineRule="auto"/>
              <w:rPr>
                <w:rFonts w:hint="eastAsia"/>
                <w:lang w:val="en-US" w:eastAsia="zh-CN"/>
              </w:rPr>
            </w:pPr>
            <w:r>
              <w:rPr>
                <w:rFonts w:hint="eastAsia"/>
                <w:lang w:val="en-US" w:eastAsia="zh-CN"/>
              </w:rPr>
              <w:t>2021年6月23日 ，由总经理组织进行了能源管理体系管理评审，会议形式。公司全部领导和各部门、各单位负责人参加了会议，管理评审内容充分，符合要求。查管理评审输出，提出节能技改项目4项。</w:t>
            </w:r>
          </w:p>
          <w:p>
            <w:pPr>
              <w:pStyle w:val="2"/>
              <w:spacing w:line="360" w:lineRule="auto"/>
              <w:rPr>
                <w:rFonts w:hint="default"/>
                <w:lang w:val="en-US" w:eastAsia="zh-CN"/>
              </w:rPr>
            </w:pPr>
            <w:r>
              <w:rPr>
                <w:rFonts w:hint="eastAsia"/>
                <w:lang w:val="en-US" w:eastAsia="zh-CN"/>
              </w:rPr>
              <w:t>管理评审结论：....公司能源管理体系适宜、充分和有效。</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2160" w:type="dxa"/>
          </w:tcPr>
          <w:p>
            <w:pPr>
              <w:rPr>
                <w:rFonts w:hint="eastAsia" w:ascii="宋体" w:hAnsi="宋体" w:eastAsia="宋体" w:cs="Times New Roman"/>
                <w:sz w:val="21"/>
                <w:szCs w:val="21"/>
                <w:lang w:val="en-US" w:eastAsia="zh-CN"/>
              </w:rPr>
            </w:pPr>
          </w:p>
          <w:p>
            <w:pPr>
              <w:rPr>
                <w:rFonts w:hint="eastAsia" w:ascii="宋体" w:hAnsi="宋体" w:eastAsia="宋体" w:cs="Times New Roman"/>
                <w:sz w:val="21"/>
                <w:szCs w:val="21"/>
                <w:lang w:val="en-US" w:eastAsia="zh-CN"/>
              </w:rPr>
            </w:pPr>
          </w:p>
          <w:p>
            <w:pPr>
              <w:rPr>
                <w:rFonts w:hint="eastAsia" w:ascii="宋体" w:hAnsi="宋体" w:eastAsia="宋体" w:cs="Times New Roman"/>
                <w:sz w:val="21"/>
                <w:szCs w:val="21"/>
              </w:rPr>
            </w:pPr>
            <w:r>
              <w:rPr>
                <w:rFonts w:hint="eastAsia" w:ascii="宋体" w:hAnsi="宋体" w:eastAsia="宋体" w:cs="Times New Roman"/>
                <w:sz w:val="21"/>
                <w:szCs w:val="21"/>
                <w:lang w:val="en-US" w:eastAsia="zh-CN"/>
              </w:rPr>
              <w:t>7</w:t>
            </w:r>
            <w:r>
              <w:rPr>
                <w:rFonts w:hint="eastAsia" w:ascii="宋体" w:hAnsi="宋体" w:eastAsia="宋体" w:cs="Times New Roman"/>
                <w:sz w:val="21"/>
                <w:szCs w:val="21"/>
              </w:rPr>
              <w:t>.改进机制的建立；</w:t>
            </w:r>
          </w:p>
        </w:tc>
        <w:tc>
          <w:tcPr>
            <w:tcW w:w="960" w:type="dxa"/>
          </w:tcPr>
          <w:p>
            <w:pPr>
              <w:rPr>
                <w:rFonts w:hint="eastAsia" w:ascii="宋体" w:hAnsi="宋体" w:eastAsia="宋体" w:cs="Times New Roman"/>
                <w:sz w:val="21"/>
                <w:szCs w:val="21"/>
              </w:rPr>
            </w:pPr>
          </w:p>
          <w:p>
            <w:pPr>
              <w:rPr>
                <w:rFonts w:hint="eastAsia" w:ascii="宋体" w:hAnsi="宋体" w:eastAsia="宋体" w:cs="Times New Roman"/>
                <w:sz w:val="21"/>
                <w:szCs w:val="21"/>
              </w:rPr>
            </w:pPr>
          </w:p>
          <w:p>
            <w:pPr>
              <w:rPr>
                <w:rFonts w:hint="eastAsia" w:ascii="宋体" w:hAnsi="宋体" w:cs="Times New Roman"/>
                <w:sz w:val="21"/>
                <w:szCs w:val="21"/>
                <w:lang w:val="en-US" w:eastAsia="zh-CN"/>
              </w:rPr>
            </w:pPr>
            <w:r>
              <w:rPr>
                <w:rFonts w:hint="eastAsia" w:ascii="宋体" w:hAnsi="宋体" w:eastAsia="宋体" w:cs="Times New Roman"/>
                <w:sz w:val="21"/>
                <w:szCs w:val="21"/>
              </w:rPr>
              <w:t>10.2</w:t>
            </w:r>
          </w:p>
        </w:tc>
        <w:tc>
          <w:tcPr>
            <w:tcW w:w="10376" w:type="dxa"/>
          </w:tcPr>
          <w:p>
            <w:pPr>
              <w:adjustRightInd w:val="0"/>
              <w:snapToGrid w:val="0"/>
              <w:spacing w:line="540" w:lineRule="exact"/>
              <w:ind w:firstLine="420" w:firstLineChars="200"/>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通过能源管理体系的建立，目前公司改进机制已经建立，主要改进主要有：</w:t>
            </w:r>
          </w:p>
          <w:p>
            <w:pPr>
              <w:adjustRightInd w:val="0"/>
              <w:snapToGrid w:val="0"/>
              <w:spacing w:line="540" w:lineRule="exact"/>
              <w:ind w:firstLine="420" w:firstLineChars="200"/>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节能降耗持续深化。</w:t>
            </w:r>
            <w:r>
              <w:rPr>
                <w:rFonts w:hint="eastAsia" w:asciiTheme="minorEastAsia" w:hAnsiTheme="minorEastAsia" w:eastAsiaTheme="minorEastAsia" w:cstheme="minorEastAsia"/>
                <w:sz w:val="21"/>
                <w:szCs w:val="21"/>
                <w:lang w:val="zh-CN"/>
              </w:rPr>
              <w:t>积极推进装置对标、追标，48项能物耗指标完成确保值46项、达到力争值30项，能源消费总量147.25万吨标准煤（比集团指标降低14%），万元产值能耗7.01吨标准煤/万元、同比下降12%，化学水双膜标准离子水耗被评为集团公司化工板块标杆，循环水、化学水单位现金操作费用连续三个月被评为进步红星。努力推动热电“两机一炉”优化运行，机组供热量同比增长45.27%，空分锅炉供热量降低27.65万吉焦，发电厂用电率同比降低1.22%，供电标煤耗同比降低13.81g/kWh。</w:t>
            </w:r>
          </w:p>
          <w:p>
            <w:pPr>
              <w:adjustRightInd w:val="0"/>
              <w:snapToGrid w:val="0"/>
              <w:spacing w:line="540" w:lineRule="exact"/>
              <w:ind w:firstLine="420" w:firstLineChars="200"/>
              <w:rPr>
                <w:rFonts w:hint="eastAsia" w:asciiTheme="minorEastAsia" w:hAnsiTheme="minorEastAsia" w:eastAsiaTheme="minorEastAsia" w:cstheme="minorEastAsia"/>
                <w:sz w:val="21"/>
                <w:szCs w:val="21"/>
                <w:lang w:val="zh-CN"/>
              </w:rPr>
            </w:pPr>
            <w:r>
              <w:rPr>
                <w:rFonts w:hint="eastAsia" w:ascii="宋体" w:hAnsi="宋体" w:cs="宋体"/>
                <w:sz w:val="21"/>
                <w:szCs w:val="21"/>
                <w:lang w:val="en-US" w:eastAsia="zh-CN"/>
              </w:rPr>
              <w:t>2）</w:t>
            </w:r>
            <w:r>
              <w:rPr>
                <w:rFonts w:hint="eastAsia" w:ascii="宋体" w:hAnsi="宋体" w:eastAsia="宋体" w:cs="宋体"/>
                <w:sz w:val="21"/>
                <w:szCs w:val="21"/>
                <w:lang w:val="zh-CN"/>
              </w:rPr>
              <w:t>持续降本减费。坚持厉行勤俭节约，树立“持之以恒降成本”的鲜明导向，深化全员成本目标管理，完善预算牵引机制，提升经济分析质量，做实班组成本竞赛，确保同口径成本增速低于收入增速。重点抓好物资尤其是大宗原材料采购、辅材费用、修理费、外包劳务、财务费用等关键指标，最大限度减少费用上的“跑冒滴漏”</w:t>
            </w:r>
            <w:r>
              <w:rPr>
                <w:rFonts w:hint="eastAsia" w:ascii="宋体" w:hAnsi="宋体" w:cs="宋体"/>
                <w:sz w:val="21"/>
                <w:szCs w:val="21"/>
                <w:lang w:val="zh-CN"/>
              </w:rPr>
              <w:t>。</w:t>
            </w:r>
            <w:bookmarkStart w:id="0" w:name="_GoBack"/>
            <w:bookmarkEnd w:id="0"/>
          </w:p>
          <w:p/>
        </w:tc>
        <w:tc>
          <w:tcPr>
            <w:tcW w:w="1213" w:type="dxa"/>
          </w:tc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-74295</wp:posOffset>
          </wp:positionV>
          <wp:extent cx="375920" cy="363220"/>
          <wp:effectExtent l="0" t="0" r="0" b="10160"/>
          <wp:wrapTight wrapText="bothSides">
            <wp:wrapPolygon>
              <wp:start x="5692" y="0"/>
              <wp:lineTo x="0" y="2719"/>
              <wp:lineTo x="0" y="16766"/>
              <wp:lineTo x="6130" y="21298"/>
              <wp:lineTo x="9195" y="21298"/>
              <wp:lineTo x="14449" y="21298"/>
              <wp:lineTo x="14886" y="21298"/>
              <wp:lineTo x="20578" y="14501"/>
              <wp:lineTo x="20578" y="5891"/>
              <wp:lineTo x="16638" y="1359"/>
              <wp:lineTo x="14011" y="0"/>
              <wp:lineTo x="569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375920" cy="36322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F316E"/>
    <w:multiLevelType w:val="singleLevel"/>
    <w:tmpl w:val="2B0F316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6E6834"/>
    <w:rsid w:val="079E5040"/>
    <w:rsid w:val="082C3A03"/>
    <w:rsid w:val="0BED53A4"/>
    <w:rsid w:val="108219C2"/>
    <w:rsid w:val="26394478"/>
    <w:rsid w:val="2BBE31A6"/>
    <w:rsid w:val="36DF1F4A"/>
    <w:rsid w:val="44557D29"/>
    <w:rsid w:val="51B709C0"/>
    <w:rsid w:val="55340612"/>
    <w:rsid w:val="56F843E8"/>
    <w:rsid w:val="592E35FF"/>
    <w:rsid w:val="5BFD0207"/>
    <w:rsid w:val="5D841F9C"/>
    <w:rsid w:val="5EA12B9A"/>
    <w:rsid w:val="5FB665E1"/>
    <w:rsid w:val="64C1581A"/>
    <w:rsid w:val="6687088A"/>
    <w:rsid w:val="692C22CC"/>
    <w:rsid w:val="71380A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3">
    <w:name w:val="Body Text"/>
    <w:basedOn w:val="1"/>
    <w:qFormat/>
    <w:uiPriority w:val="1"/>
    <w:pPr>
      <w:autoSpaceDE w:val="0"/>
      <w:autoSpaceDN w:val="0"/>
      <w:spacing w:before="92"/>
      <w:ind w:left="980" w:firstLine="480"/>
      <w:jc w:val="left"/>
    </w:pPr>
    <w:rPr>
      <w:rFonts w:ascii="宋体" w:hAnsi="宋体" w:cs="宋体"/>
      <w:kern w:val="0"/>
      <w:sz w:val="24"/>
      <w:szCs w:val="24"/>
      <w:lang w:val="zh-CN" w:bidi="zh-CN"/>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68</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mmjj</cp:lastModifiedBy>
  <dcterms:modified xsi:type="dcterms:W3CDTF">2021-08-16T15:57:11Z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B6054FB3C32448CE8B34F634620390D3</vt:lpwstr>
  </property>
</Properties>
</file>