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科技发展部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何洋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徐玫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马佳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2021-8-4   13：30-17：30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6.2；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4.1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4.2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6.1；8.2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职责、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管理目标及实现措施策划适宜性，履行职责和目标实现情况；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6.2</w:t>
            </w:r>
          </w:p>
        </w:tc>
        <w:tc>
          <w:tcPr>
            <w:tcW w:w="10376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本部门共有19 人，领导4人。部长1人，副部长 3  人</w:t>
            </w: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设技术开发室、科技商情室、 投资管理室、 规划管理室四个专业管理室</w:t>
            </w:r>
          </w:p>
          <w:p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部门主要职责是</w:t>
            </w:r>
            <w:r>
              <w:rPr>
                <w:rFonts w:hint="eastAsia"/>
                <w:sz w:val="21"/>
                <w:szCs w:val="21"/>
              </w:rPr>
              <w:t>依据公司发展需要，通过制定公司中长期规划、年度投资计划、科研发展计划，统筹规划公司发展战略，加强投资风险、规划发展项目、科技研发项目管理及对外技术合作、知识产权和科技成果管控；依据总部及公司相关管理办法，通过承接及分解管理制度，制定发布公司投资程序、科技项目管理、新产品开发等相关管理办法，规范公司投资程序、规划管理及技术开发等方面工作，完成公司投资管理、规划发展、科技研发任务，为公司相关决策提供依据，解决生产瓶颈，优化产业结构，为公司产品增值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职责明确且适宜。</w:t>
            </w:r>
          </w:p>
          <w:p>
            <w:pPr>
              <w:ind w:firstLine="210" w:firstLineChars="100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出示部门“2021年度绩效考核责任书”，涉及能源目标主要有：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科研科技项目进度按计划完成；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年度投资计划完成率 97%；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新产品开发管理按要求完成；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经检查2021年上半年各项目标全部按时间进度完成。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2.如何组织分析理解企业所处的环境，理解相关方的需求和期望，应对能源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风险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和机遇的措施有效性；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4.1/4.2/6.1</w:t>
            </w:r>
          </w:p>
        </w:tc>
        <w:tc>
          <w:tcPr>
            <w:tcW w:w="10376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查本部门组织策划制订的“公司中长期发展规划”，“十四五规划”、“</w:t>
            </w:r>
            <w:r>
              <w:rPr>
                <w:rFonts w:hint="eastAsia"/>
                <w:sz w:val="21"/>
                <w:szCs w:val="21"/>
              </w:rPr>
              <w:t>科研发展计划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等，其内容均对公司内外部所处的环境进行了分析，重点分析公司不同时期的有利因素和不利因素，寻求公司发展的机遇和前景（包括与相关方合作共赢的需求和期望），考虑应对风险（包括能源风险）和机遇的措施。</w:t>
            </w:r>
          </w:p>
        </w:tc>
        <w:tc>
          <w:tcPr>
            <w:tcW w:w="1213" w:type="dxa"/>
          </w:tcPr>
          <w:p/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</w:p>
          <w:p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节能项目的投资状况以及投资项目的实施情况；新、改、扩建项目设计前是否进行了节能评估（节能论证）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376" w:type="dxa"/>
          </w:tcPr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抽查公司《BDO装置达标改造项目可行性研究报告》（2021年7月编制），其中第四篇 生态环境影响分析（包括环境保护）； 第五篇 节能分析（包括能源利用分析及节能措施）；第六篇 资源利用篇  水资源利用分析及节水措施 、土地资源；经济分析与社会评价（投资估算、融资方案、财务评价）；第八篇 风险与竞争力分析等等，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再抽公司《合成气脱瓶颈及醋酸填平补齐改造项目可行性研究报告》，其中第五篇 节能分析 包括了项目遵循的节能标准与规范；能源利用状况和存在问题；项目能源利用和节能概况；项目能源所需能源品种、数量及价格；项目能源利用特点；项目节能原则；节能措施和节能修改分析等等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公司固定资产投资项目节能评估由生产计划部负责实施。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13" w:type="dxa"/>
          </w:tcPr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Y 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65760" cy="363220"/>
          <wp:effectExtent l="0" t="0" r="0" b="2540"/>
          <wp:wrapTight wrapText="bothSides">
            <wp:wrapPolygon>
              <wp:start x="5850" y="0"/>
              <wp:lineTo x="0" y="2719"/>
              <wp:lineTo x="0" y="16766"/>
              <wp:lineTo x="6300" y="21298"/>
              <wp:lineTo x="9450" y="21298"/>
              <wp:lineTo x="14400" y="21298"/>
              <wp:lineTo x="14850" y="21298"/>
              <wp:lineTo x="20700" y="14501"/>
              <wp:lineTo x="20700" y="5891"/>
              <wp:lineTo x="17550" y="2266"/>
              <wp:lineTo x="14400" y="0"/>
              <wp:lineTo x="5850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" cy="363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533AC"/>
    <w:multiLevelType w:val="singleLevel"/>
    <w:tmpl w:val="7F3533AC"/>
    <w:lvl w:ilvl="0" w:tentative="0">
      <w:start w:val="1"/>
      <w:numFmt w:val="decimal"/>
      <w:suff w:val="space"/>
      <w:lvlText w:val="%1.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B2363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CCA1EF5"/>
    <w:rsid w:val="108219C2"/>
    <w:rsid w:val="19710579"/>
    <w:rsid w:val="2F1A7FDF"/>
    <w:rsid w:val="5BFD0207"/>
    <w:rsid w:val="5EA12B9A"/>
    <w:rsid w:val="72AD40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9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mmjj</cp:lastModifiedBy>
  <dcterms:modified xsi:type="dcterms:W3CDTF">2021-08-04T08:44:11Z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CCBC30AA5D5C40F8A3D9F5136E7B7247</vt:lpwstr>
  </property>
</Properties>
</file>