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甲醇运行部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主管领导：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马佳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2021-08-03  上午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5.3;6.2；6.3;6.4;6.5;6.6；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8.1；6.6/9.1.2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；7.2;7.3；9.1.1; 9.1.3;10.1;10.2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运行部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职责、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管理目标确定程序的适宜性，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履行职责和目标的实现情况；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本运行部共有196人，领导3人（设经理1人，书记1人，副经理1人）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设工艺室（12人）、设备室（12）、安全室（6人）、综合管理室（6人）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四个运行班，四班二倒（白班08：30-20：00；夜班20：00-次日08：30）；每班约37人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甲醇由三套装置，分别是空分装置（2*45000Nm</w:t>
            </w:r>
            <w:r>
              <w:rPr>
                <w:rFonts w:hint="eastAsia" w:ascii="宋体" w:hAnsi="宋体" w:eastAsia="宋体" w:cs="宋体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/h）、气化装置（3台气化炉）、净合装置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产品：精甲醇62万吨/年；氢气1.2万吨/N5;   一氧化碳20万吨/年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主要职责是，完成公司下达的生产任务，安全环保、节能降耗、清洁生产等，职责规定适宜，员工履职较好。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出示本运行部2021年度能源目标指标：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单位甲醇综合能耗1610kgce/t ;</w:t>
            </w:r>
          </w:p>
          <w:p>
            <w:pPr>
              <w:numPr>
                <w:ilvl w:val="0"/>
                <w:numId w:val="1"/>
              </w:numPr>
              <w:ind w:left="0" w:leftChars="0"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甲醇耗9.8Mpa蒸汽 4.40 t/t；</w:t>
            </w:r>
          </w:p>
          <w:p>
            <w:pPr>
              <w:numPr>
                <w:ilvl w:val="0"/>
                <w:numId w:val="1"/>
              </w:numPr>
              <w:ind w:left="0" w:leftChars="0"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综合甲醇耗原料煤 1.63  t/t；</w:t>
            </w:r>
          </w:p>
          <w:p>
            <w:pPr>
              <w:numPr>
                <w:ilvl w:val="0"/>
                <w:numId w:val="1"/>
              </w:numPr>
              <w:ind w:left="0" w:leftChars="0"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吨甲醇耗循环水 293  t/t；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吨甲醇</w:t>
            </w:r>
            <w:r>
              <w:rPr>
                <w:rFonts w:hint="eastAsia" w:ascii="宋体" w:hAnsi="宋体" w:cs="宋体"/>
                <w:lang w:val="en-US" w:eastAsia="zh-CN"/>
              </w:rPr>
              <w:t>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电 218kwh/t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经检查2021年上半年能源目标全部按时间进度完成。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.能源评审；能源基准；能源绩效参数；能源数据收集的策划；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6.46.5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6.6</w:t>
            </w:r>
          </w:p>
        </w:tc>
        <w:tc>
          <w:tcPr>
            <w:tcW w:w="103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甲醇运行部装置原设计气化单元按75万吨/年甲醇当量产能设计。其中气化装置采用GE水煤浆气化技术，变换装置采用耐硫变换工艺，非变换气采用废锅系统进行热回收，净化装置采用低温甲醇洗净化技术，合成装置采用托普索低压合成技术。项目配置2套空分装置，单套空分制氧能力为4.5×104 Nm3/h。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《甲醇运行部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能源评审报告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评审周期：2020年1-12月；评审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630" w:firstLineChars="30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编制说明、评审周期和范围、编制依据、乙炔装置简介及能源管理基本情况（组织结构图及职责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说明、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210" w:leftChars="100" w:firstLine="630" w:firstLineChars="3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产量产能、三年的技改技措、生产工艺流程和工艺能源消耗说明、辩解说明、装置能源网络图、装置能源计量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管理）、能源消耗分析（用能结构、能耗趋势、同比分析）、装置主要用能设备分析与装置能量平衡分析（主要用能设备及现有用能控制措施、明令淘汰设备耗能设施情况、主要用能设备测试情况、能量平衡表、主要用能关键特性监视测量计划）、能源风险与机遇、可控变量与改进方向分析（ 识别能源风险与机遇、可控变量、节能潜力与节能改进机会分析等）、能源评审输出与能源项目（能源目标、影响装置主要用能、主要耗能设备设施能源绩效参数的相关变量、能源管理方案、节能技改项目实施计划）等内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，基本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840" w:firstLineChars="400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评审输出确定出2021年甲醇运行部能源绩效参数、能源基准和能源目标：</w:t>
            </w:r>
          </w:p>
          <w:p/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3"/>
              <w:gridCol w:w="1880"/>
              <w:gridCol w:w="1119"/>
              <w:gridCol w:w="1395"/>
              <w:gridCol w:w="1482"/>
              <w:gridCol w:w="1444"/>
              <w:gridCol w:w="1155"/>
              <w:gridCol w:w="9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  <w:tblHeader/>
              </w:trPr>
              <w:tc>
                <w:tcPr>
                  <w:tcW w:w="361" w:type="pct"/>
                  <w:shd w:val="clear" w:color="000000" w:fill="D8D8D8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26" w:type="pct"/>
                  <w:shd w:val="clear" w:color="000000" w:fill="D8D8D8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能源绩效参数</w:t>
                  </w:r>
                </w:p>
              </w:tc>
              <w:tc>
                <w:tcPr>
                  <w:tcW w:w="551" w:type="pct"/>
                  <w:shd w:val="clear" w:color="000000" w:fill="D8D8D8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687" w:type="pct"/>
                  <w:shd w:val="clear" w:color="000000" w:fill="D8D8D8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能源基准</w:t>
                  </w:r>
                </w:p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(上一年度累积值)</w:t>
                  </w:r>
                </w:p>
              </w:tc>
              <w:tc>
                <w:tcPr>
                  <w:tcW w:w="730" w:type="pct"/>
                  <w:shd w:val="clear" w:color="000000" w:fill="D8D8D8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归一化后</w:t>
                  </w:r>
                  <w:r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  <w:t>能源基准</w:t>
                  </w: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值</w:t>
                  </w:r>
                </w:p>
              </w:tc>
              <w:tc>
                <w:tcPr>
                  <w:tcW w:w="711" w:type="pct"/>
                  <w:shd w:val="clear" w:color="000000" w:fill="D8D8D8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能源目标</w:t>
                  </w:r>
                </w:p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（2021年）</w:t>
                  </w:r>
                </w:p>
              </w:tc>
              <w:tc>
                <w:tcPr>
                  <w:tcW w:w="569" w:type="pct"/>
                  <w:shd w:val="clear" w:color="000000" w:fill="D8D8D8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标杆值</w:t>
                  </w:r>
                </w:p>
              </w:tc>
              <w:tc>
                <w:tcPr>
                  <w:tcW w:w="464" w:type="pct"/>
                  <w:shd w:val="clear" w:color="000000" w:fill="D8D8D8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</w:trPr>
              <w:tc>
                <w:tcPr>
                  <w:tcW w:w="361" w:type="pct"/>
                  <w:vAlign w:val="center"/>
                </w:tcPr>
                <w:p>
                  <w:pPr>
                    <w:widowControl/>
                    <w:tabs>
                      <w:tab w:val="left" w:pos="0"/>
                      <w:tab w:val="left" w:pos="421"/>
                    </w:tabs>
                    <w:ind w:left="1129"/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6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Calibri"/>
                      <w:bCs/>
                      <w:color w:val="000000"/>
                      <w:sz w:val="24"/>
                      <w:szCs w:val="24"/>
                      <w:highlight w:val="none"/>
                    </w:rPr>
                    <w:t>单位甲醇综合能耗</w:t>
                  </w:r>
                </w:p>
              </w:tc>
              <w:tc>
                <w:tcPr>
                  <w:tcW w:w="551" w:type="pct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  <w:t>kg</w:t>
                  </w:r>
                  <w:r>
                    <w:rPr>
                      <w:rFonts w:hint="eastAsia" w:ascii="宋体" w:hAnsi="宋体" w:cs="Calibri"/>
                      <w:color w:val="000000"/>
                      <w:sz w:val="24"/>
                      <w:szCs w:val="24"/>
                    </w:rPr>
                    <w:t>c</w:t>
                  </w:r>
                  <w:r>
                    <w:rPr>
                      <w:rFonts w:ascii="宋体" w:hAnsi="宋体" w:cs="Calibri"/>
                      <w:color w:val="000000"/>
                      <w:sz w:val="24"/>
                      <w:szCs w:val="24"/>
                    </w:rPr>
                    <w:t>e/t</w:t>
                  </w:r>
                </w:p>
              </w:tc>
              <w:tc>
                <w:tcPr>
                  <w:tcW w:w="68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Calibri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1595.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30" w:type="pc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1698</w:t>
                  </w:r>
                </w:p>
              </w:tc>
              <w:tc>
                <w:tcPr>
                  <w:tcW w:w="711" w:type="pc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1610</w:t>
                  </w:r>
                </w:p>
              </w:tc>
              <w:tc>
                <w:tcPr>
                  <w:tcW w:w="569" w:type="pc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1544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</w:tr>
          </w:tbl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说明：</w:t>
            </w:r>
          </w:p>
          <w:p>
            <w:pPr>
              <w:spacing w:line="360" w:lineRule="exact"/>
              <w:ind w:left="479" w:leftChars="228"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、基准值选取上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段的数据（但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数据表明显著影响能源绩效时，应对能源绩效参数（值）和相应的能源基准进行归一化。</w:t>
            </w:r>
          </w:p>
          <w:p>
            <w:pPr>
              <w:spacing w:line="360" w:lineRule="exact"/>
              <w:ind w:firstLine="960" w:firstLine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归一化计算依据是</w:t>
            </w: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装置</w:t>
            </w:r>
            <w:r>
              <w:rPr>
                <w:rFonts w:hint="eastAsia" w:ascii="宋体" w:hAnsi="宋体"/>
                <w:sz w:val="24"/>
                <w:szCs w:val="24"/>
              </w:rPr>
              <w:t>检修20天，1596.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*（8000/(8000-20*24)）</w:t>
            </w: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、能源绩效参数的选取要以公司下达指标为主，适当选取车间装置的内部考核指标。</w:t>
            </w:r>
          </w:p>
          <w:p>
            <w:pPr>
              <w:spacing w:line="360" w:lineRule="exact"/>
              <w:ind w:left="718" w:leftChars="342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标杆值来源于历史最好水平或行业最优；目标值统一取分公司考核值。具体根据实际情况界定。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评审输出还确定了 甲醇运行部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（装置）主要用能能源绩效参数的相关变量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eastAsia="zh-CN"/>
              </w:rPr>
              <w:t>：</w:t>
            </w:r>
          </w:p>
          <w:tbl>
            <w:tblPr>
              <w:tblStyle w:val="10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9"/>
              <w:gridCol w:w="1679"/>
              <w:gridCol w:w="1535"/>
              <w:gridCol w:w="1679"/>
              <w:gridCol w:w="1679"/>
              <w:gridCol w:w="18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  <w:tblHeader/>
                <w:jc w:val="center"/>
              </w:trPr>
              <w:tc>
                <w:tcPr>
                  <w:tcW w:w="867" w:type="pct"/>
                  <w:shd w:val="clear" w:color="auto" w:fill="BEBEBE" w:themeFill="background1" w:themeFillShade="B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827" w:type="pct"/>
                  <w:shd w:val="clear" w:color="auto" w:fill="BEBEBE" w:themeFill="background1" w:themeFillShade="BF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能源绩效参数</w:t>
                  </w:r>
                </w:p>
              </w:tc>
              <w:tc>
                <w:tcPr>
                  <w:tcW w:w="756" w:type="pct"/>
                  <w:shd w:val="clear" w:color="auto" w:fill="BEBEBE" w:themeFill="background1" w:themeFillShade="BF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能源绩效参数</w:t>
                  </w:r>
                </w:p>
              </w:tc>
              <w:tc>
                <w:tcPr>
                  <w:tcW w:w="827" w:type="pct"/>
                  <w:shd w:val="clear" w:color="auto" w:fill="BEBEBE" w:themeFill="background1" w:themeFillShade="BF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827" w:type="pct"/>
                  <w:shd w:val="clear" w:color="auto" w:fill="BEBEBE" w:themeFill="background1" w:themeFillShade="BF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896" w:type="pct"/>
                  <w:shd w:val="clear" w:color="auto" w:fill="BEBEBE" w:themeFill="background1" w:themeFillShade="BF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监视测量频次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867" w:type="pct"/>
                  <w:vMerge w:val="restart"/>
                </w:tcPr>
                <w:p/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27" w:type="pct"/>
                  <w:vMerge w:val="restart"/>
                </w:tcPr>
                <w:p>
                  <w:r>
                    <w:rPr>
                      <w:rFonts w:hint="eastAsia"/>
                    </w:rPr>
                    <w:t>单位甲醇综合能耗</w:t>
                  </w:r>
                </w:p>
              </w:tc>
              <w:tc>
                <w:tcPr>
                  <w:tcW w:w="756" w:type="pct"/>
                </w:tcPr>
                <w:p>
                  <w:r>
                    <w:rPr>
                      <w:rFonts w:hint="eastAsia"/>
                    </w:rPr>
                    <w:t>综合甲醇耗原料煤</w:t>
                  </w:r>
                </w:p>
              </w:tc>
              <w:tc>
                <w:tcPr>
                  <w:tcW w:w="827" w:type="pct"/>
                </w:tcPr>
                <w:p>
                  <w:r>
                    <w:t>t/t</w:t>
                  </w:r>
                </w:p>
              </w:tc>
              <w:tc>
                <w:tcPr>
                  <w:tcW w:w="827" w:type="pct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≤</w:t>
                  </w:r>
                  <w:r>
                    <w:rPr>
                      <w:rFonts w:hint="eastAsia"/>
                      <w:highlight w:val="none"/>
                    </w:rPr>
                    <w:t>1.63</w:t>
                  </w:r>
                </w:p>
              </w:tc>
              <w:tc>
                <w:tcPr>
                  <w:tcW w:w="896" w:type="pct"/>
                </w:tcPr>
                <w:p>
                  <w:r>
                    <w:rPr>
                      <w:rFonts w:hint="eastAsia"/>
                    </w:rPr>
                    <w:t>每月月底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2" w:hRule="atLeast"/>
                <w:jc w:val="center"/>
              </w:trPr>
              <w:tc>
                <w:tcPr>
                  <w:tcW w:w="867" w:type="pct"/>
                  <w:vMerge w:val="continue"/>
                </w:tcPr>
                <w:p/>
              </w:tc>
              <w:tc>
                <w:tcPr>
                  <w:tcW w:w="827" w:type="pct"/>
                  <w:vMerge w:val="continue"/>
                </w:tcPr>
                <w:p/>
              </w:tc>
              <w:tc>
                <w:tcPr>
                  <w:tcW w:w="756" w:type="pct"/>
                </w:tcPr>
                <w:p>
                  <w:r>
                    <w:rPr>
                      <w:rFonts w:hint="eastAsia"/>
                    </w:rPr>
                    <w:t>综合甲醇耗9.8MPa蒸汽</w:t>
                  </w:r>
                </w:p>
              </w:tc>
              <w:tc>
                <w:tcPr>
                  <w:tcW w:w="827" w:type="pct"/>
                </w:tcPr>
                <w:p>
                  <w:r>
                    <w:t>t/t</w:t>
                  </w:r>
                </w:p>
              </w:tc>
              <w:tc>
                <w:tcPr>
                  <w:tcW w:w="827" w:type="pct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≤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none"/>
                    </w:rPr>
                    <w:t>4.4</w:t>
                  </w:r>
                </w:p>
              </w:tc>
              <w:tc>
                <w:tcPr>
                  <w:tcW w:w="896" w:type="pct"/>
                </w:tcPr>
                <w:p>
                  <w:r>
                    <w:rPr>
                      <w:rFonts w:hint="eastAsia"/>
                    </w:rPr>
                    <w:t>每月月底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  <w:jc w:val="center"/>
              </w:trPr>
              <w:tc>
                <w:tcPr>
                  <w:tcW w:w="867" w:type="pct"/>
                  <w:vMerge w:val="continue"/>
                </w:tcPr>
                <w:p/>
              </w:tc>
              <w:tc>
                <w:tcPr>
                  <w:tcW w:w="827" w:type="pct"/>
                  <w:vMerge w:val="continue"/>
                </w:tcPr>
                <w:p/>
              </w:tc>
              <w:tc>
                <w:tcPr>
                  <w:tcW w:w="756" w:type="pct"/>
                </w:tcPr>
                <w:p>
                  <w:r>
                    <w:rPr>
                      <w:rFonts w:hint="eastAsia"/>
                    </w:rPr>
                    <w:t>吨甲醇耗循环水</w:t>
                  </w:r>
                </w:p>
              </w:tc>
              <w:tc>
                <w:tcPr>
                  <w:tcW w:w="827" w:type="pct"/>
                </w:tcPr>
                <w:p>
                  <w:r>
                    <w:t>t/t</w:t>
                  </w:r>
                </w:p>
              </w:tc>
              <w:tc>
                <w:tcPr>
                  <w:tcW w:w="827" w:type="pct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≤</w:t>
                  </w:r>
                  <w:r>
                    <w:rPr>
                      <w:rFonts w:hint="eastAsia"/>
                      <w:highlight w:val="none"/>
                    </w:rPr>
                    <w:t>293</w:t>
                  </w:r>
                </w:p>
              </w:tc>
              <w:tc>
                <w:tcPr>
                  <w:tcW w:w="896" w:type="pct"/>
                </w:tcPr>
                <w:p>
                  <w:r>
                    <w:rPr>
                      <w:rFonts w:hint="eastAsia"/>
                    </w:rPr>
                    <w:t>每月月底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867" w:type="pct"/>
                  <w:vMerge w:val="continue"/>
                </w:tcPr>
                <w:p/>
              </w:tc>
              <w:tc>
                <w:tcPr>
                  <w:tcW w:w="827" w:type="pct"/>
                  <w:vMerge w:val="continue"/>
                </w:tcPr>
                <w:p/>
              </w:tc>
              <w:tc>
                <w:tcPr>
                  <w:tcW w:w="756" w:type="pct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吨甲醇耗电</w:t>
                  </w:r>
                </w:p>
              </w:tc>
              <w:tc>
                <w:tcPr>
                  <w:tcW w:w="827" w:type="pct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kwh/t</w:t>
                  </w:r>
                </w:p>
              </w:tc>
              <w:tc>
                <w:tcPr>
                  <w:tcW w:w="827" w:type="pct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highlight w:val="none"/>
                    </w:rPr>
                    <w:t>≤</w:t>
                  </w:r>
                  <w:r>
                    <w:rPr>
                      <w:rFonts w:hint="eastAsia"/>
                      <w:highlight w:val="none"/>
                    </w:rPr>
                    <w:t>218</w:t>
                  </w:r>
                </w:p>
              </w:tc>
              <w:tc>
                <w:tcPr>
                  <w:tcW w:w="896" w:type="pct"/>
                </w:tcPr>
                <w:p>
                  <w:r>
                    <w:rPr>
                      <w:rFonts w:hint="eastAsia"/>
                    </w:rPr>
                    <w:t>每月月底</w:t>
                  </w:r>
                </w:p>
              </w:tc>
            </w:tr>
          </w:tbl>
          <w:p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ind w:firstLine="960" w:firstLineChars="400"/>
              <w:jc w:val="both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确定了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装置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主要能源使用能源绩效参数的相关变量</w:t>
            </w:r>
          </w:p>
          <w:tbl>
            <w:tblPr>
              <w:tblStyle w:val="10"/>
              <w:tblW w:w="1014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6"/>
              <w:gridCol w:w="1812"/>
              <w:gridCol w:w="2259"/>
              <w:gridCol w:w="847"/>
              <w:gridCol w:w="1703"/>
              <w:gridCol w:w="1974"/>
              <w:gridCol w:w="8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706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12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主要用能</w:t>
                  </w:r>
                </w:p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能源绩效参数</w:t>
                  </w:r>
                </w:p>
              </w:tc>
              <w:tc>
                <w:tcPr>
                  <w:tcW w:w="2259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相关变量</w:t>
                  </w:r>
                </w:p>
              </w:tc>
              <w:tc>
                <w:tcPr>
                  <w:tcW w:w="847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单位</w:t>
                  </w:r>
                </w:p>
              </w:tc>
              <w:tc>
                <w:tcPr>
                  <w:tcW w:w="1703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要求</w:t>
                  </w:r>
                </w:p>
              </w:tc>
              <w:tc>
                <w:tcPr>
                  <w:tcW w:w="1974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监视测量频次</w:t>
                  </w:r>
                </w:p>
              </w:tc>
              <w:tc>
                <w:tcPr>
                  <w:tcW w:w="846" w:type="dxa"/>
                  <w:shd w:val="clear" w:color="auto" w:fill="D9D9D9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812" w:type="dxa"/>
                  <w:vMerge w:val="restart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综合甲醇耗原料煤</w:t>
                  </w: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</w:rPr>
                    <w:t>原煤发热量</w:t>
                  </w:r>
                  <w:r>
                    <w:rPr>
                      <w:rFonts w:ascii="宋体" w:hAnsi="宋体"/>
                      <w:sz w:val="20"/>
                      <w:szCs w:val="20"/>
                    </w:rPr>
                    <w:t>Qnet,ar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kcal/kg　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≥4800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每批次/一次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</w:rPr>
                    <w:t>原煤挥发份</w:t>
                  </w:r>
                  <w:r>
                    <w:rPr>
                      <w:rFonts w:ascii="宋体" w:hAnsi="宋体"/>
                      <w:sz w:val="20"/>
                      <w:szCs w:val="20"/>
                    </w:rPr>
                    <w:t>Vad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挥发分,  Vad%　　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　　≥23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每批次/一次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</w:rPr>
                    <w:t>灰熔点（℃）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℃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FT＜1250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每批次/一次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hint="eastAsia" w:ascii="宋体" w:hAnsi="宋体"/>
                      <w:sz w:val="20"/>
                      <w:szCs w:val="20"/>
                    </w:rPr>
                    <w:t>原煤发热量</w:t>
                  </w:r>
                  <w:r>
                    <w:rPr>
                      <w:rFonts w:ascii="宋体" w:hAnsi="宋体"/>
                      <w:sz w:val="20"/>
                      <w:szCs w:val="20"/>
                    </w:rPr>
                    <w:t>Qnet,ar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kcal/kg　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≥4800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每批次/一次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气化炉氧煤比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≤520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合成氢碳比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2.0～2.4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废酸裂解炉温度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℃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1050～1150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812" w:type="dxa"/>
                  <w:vMerge w:val="restart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综合甲醇耗9.8MPa蒸汽</w:t>
                  </w: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S1蒸汽总管压力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MPa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8.5～10.2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S6蒸汽总管压力</w:t>
                  </w:r>
                </w:p>
              </w:tc>
              <w:tc>
                <w:tcPr>
                  <w:tcW w:w="847" w:type="dxa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MPa</w:t>
                  </w:r>
                </w:p>
              </w:tc>
              <w:tc>
                <w:tcPr>
                  <w:tcW w:w="1703" w:type="dxa"/>
                </w:tcPr>
                <w:p>
                  <w:pPr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2.4～2.8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空分主蒸汽流量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/>
                      <w:kern w:val="0"/>
                      <w:szCs w:val="21"/>
                    </w:rPr>
                    <w:t>t/h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100～460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11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hint="eastAsia" w:ascii="宋体" w:hAnsi="宋体"/>
                      <w:kern w:val="0"/>
                    </w:rPr>
                    <w:t>加压塔蒸汽量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m3/h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40-60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12</w:t>
                  </w:r>
                </w:p>
              </w:tc>
              <w:tc>
                <w:tcPr>
                  <w:tcW w:w="1812" w:type="dxa"/>
                  <w:vMerge w:val="restart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吨甲醇耗循环水</w:t>
                  </w: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甲醇循环水给水压力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MPa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0.4～0.55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13</w:t>
                  </w:r>
                </w:p>
              </w:tc>
              <w:tc>
                <w:tcPr>
                  <w:tcW w:w="1812" w:type="dxa"/>
                  <w:vMerge w:val="continue"/>
                </w:tcPr>
                <w:p/>
              </w:tc>
              <w:tc>
                <w:tcPr>
                  <w:tcW w:w="22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循环水给水温度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℃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Cs w:val="21"/>
                    </w:rPr>
                    <w:t>24～34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14</w:t>
                  </w:r>
                </w:p>
              </w:tc>
              <w:tc>
                <w:tcPr>
                  <w:tcW w:w="1812" w:type="dxa"/>
                  <w:vMerge w:val="restart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吨甲醇耗电</w:t>
                  </w: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pStyle w:val="17"/>
                    <w:ind w:firstLine="210" w:firstLineChars="1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磨煤机电流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A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＜90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70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15</w:t>
                  </w:r>
                </w:p>
              </w:tc>
              <w:tc>
                <w:tcPr>
                  <w:tcW w:w="1812" w:type="dxa"/>
                  <w:vMerge w:val="continue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707ACO压缩机电流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A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＜145</w:t>
                  </w:r>
                </w:p>
              </w:tc>
              <w:tc>
                <w:tcPr>
                  <w:tcW w:w="19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</w:rPr>
                  </w:pPr>
                  <w:r>
                    <w:rPr>
                      <w:rFonts w:ascii="宋体" w:hAnsi="宋体"/>
                      <w:kern w:val="0"/>
                    </w:rPr>
                    <w:t>每两小时内操记录抄表,DCS实时监控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7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</w:tbl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tabs>
                <w:tab w:val="left" w:pos="6860"/>
              </w:tabs>
              <w:spacing w:line="360" w:lineRule="exact"/>
              <w:ind w:firstLine="2108" w:firstLineChars="1000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pStyle w:val="3"/>
              <w:spacing w:before="120" w:after="120" w:line="360" w:lineRule="exact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pStyle w:val="3"/>
              <w:spacing w:before="120" w:after="120" w:line="360" w:lineRule="exact"/>
              <w:ind w:firstLine="723" w:firstLineChars="3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确定了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影响主要耗能设备设施能源绩效参数的相关变量</w:t>
            </w:r>
          </w:p>
          <w:tbl>
            <w:tblPr>
              <w:tblStyle w:val="10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5"/>
              <w:gridCol w:w="1730"/>
              <w:gridCol w:w="2083"/>
              <w:gridCol w:w="1155"/>
              <w:gridCol w:w="1983"/>
              <w:gridCol w:w="1732"/>
              <w:gridCol w:w="9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  <w:tblHeader/>
                <w:jc w:val="center"/>
              </w:trPr>
              <w:tc>
                <w:tcPr>
                  <w:tcW w:w="259" w:type="pct"/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852" w:type="pct"/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能源绩效参数</w:t>
                  </w:r>
                </w:p>
              </w:tc>
              <w:tc>
                <w:tcPr>
                  <w:tcW w:w="1026" w:type="pct"/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相关变量</w:t>
                  </w:r>
                </w:p>
              </w:tc>
              <w:tc>
                <w:tcPr>
                  <w:tcW w:w="569" w:type="pct"/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相单位</w:t>
                  </w:r>
                </w:p>
              </w:tc>
              <w:tc>
                <w:tcPr>
                  <w:tcW w:w="977" w:type="pct"/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853" w:type="pct"/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监视测量频次</w:t>
                  </w:r>
                </w:p>
              </w:tc>
              <w:tc>
                <w:tcPr>
                  <w:tcW w:w="464" w:type="pct"/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restart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852" w:type="pct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汽轮机效率</w:t>
                  </w:r>
                </w:p>
              </w:tc>
              <w:tc>
                <w:tcPr>
                  <w:tcW w:w="1026" w:type="pct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汽轮机中抽气量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t/h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40-180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每小时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汽轮机排气压力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KPa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≤-50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每小时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restart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852" w:type="pct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气化炉热效率</w:t>
                  </w:r>
                </w:p>
              </w:tc>
              <w:tc>
                <w:tcPr>
                  <w:tcW w:w="1026" w:type="pct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原料煤灰分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≤9.19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每批次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原料煤发热量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/>
                      <w:kern w:val="0"/>
                      <w:szCs w:val="21"/>
                    </w:rPr>
                    <w:t>kcal/kg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大于4800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每批次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</w:tcPr>
                <w:p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煤浆浓度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58-62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每批次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</w:tcPr>
                <w:p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气化炉有效期含量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大于70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每批次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气化炉温度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℃</w:t>
                  </w:r>
                </w:p>
              </w:tc>
              <w:tc>
                <w:tcPr>
                  <w:tcW w:w="977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≤1300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每批次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restart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852" w:type="pct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合成塔效率</w:t>
                  </w:r>
                </w:p>
              </w:tc>
              <w:tc>
                <w:tcPr>
                  <w:tcW w:w="1026" w:type="pct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氢碳比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2.0-2.4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每小时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</w:tcPr>
                <w:p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合成系统压力</w:t>
                  </w:r>
                </w:p>
              </w:tc>
              <w:tc>
                <w:tcPr>
                  <w:tcW w:w="569" w:type="pct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MPa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≤8.2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每小时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合成反应器入口温度</w:t>
                  </w:r>
                </w:p>
              </w:tc>
              <w:tc>
                <w:tcPr>
                  <w:tcW w:w="569" w:type="pct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℃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≤230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每小时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  <w:jc w:val="center"/>
              </w:trPr>
              <w:tc>
                <w:tcPr>
                  <w:tcW w:w="259" w:type="pct"/>
                  <w:vMerge w:val="continue"/>
                  <w:vAlign w:val="center"/>
                </w:tcPr>
                <w:p>
                  <w:pPr>
                    <w:pStyle w:val="17"/>
                    <w:widowControl/>
                    <w:ind w:firstLineChars="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852" w:type="pct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026" w:type="pct"/>
                </w:tcPr>
                <w:p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合成器温度</w:t>
                  </w:r>
                </w:p>
              </w:tc>
              <w:tc>
                <w:tcPr>
                  <w:tcW w:w="569" w:type="pct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℃</w:t>
                  </w:r>
                </w:p>
              </w:tc>
              <w:tc>
                <w:tcPr>
                  <w:tcW w:w="9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220-290</w:t>
                  </w:r>
                </w:p>
              </w:tc>
              <w:tc>
                <w:tcPr>
                  <w:tcW w:w="853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每小时</w:t>
                  </w:r>
                </w:p>
              </w:tc>
              <w:tc>
                <w:tcPr>
                  <w:tcW w:w="464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baseline"/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宋体" w:hAnsi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评审输出还确定了甲醇运行部</w:t>
            </w:r>
            <w:r>
              <w:rPr>
                <w:rFonts w:hint="eastAsia"/>
                <w:highlight w:val="yellow"/>
                <w:lang w:val="en-US" w:eastAsia="zh-CN"/>
              </w:rPr>
              <w:t>2021年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  <w:t>节能技改项目实施计划</w:t>
            </w:r>
          </w:p>
          <w:tbl>
            <w:tblPr>
              <w:tblStyle w:val="10"/>
              <w:tblW w:w="9540" w:type="dxa"/>
              <w:tblInd w:w="9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1"/>
              <w:gridCol w:w="1134"/>
              <w:gridCol w:w="4335"/>
              <w:gridCol w:w="880"/>
              <w:gridCol w:w="940"/>
              <w:gridCol w:w="791"/>
              <w:gridCol w:w="87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43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措施方法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/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预计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预计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投资</w:t>
                  </w:r>
                </w:p>
              </w:tc>
              <w:tc>
                <w:tcPr>
                  <w:tcW w:w="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预计节能效果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是否列入公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执行计划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7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后备凝液回收项目</w:t>
                  </w:r>
                </w:p>
              </w:tc>
              <w:tc>
                <w:tcPr>
                  <w:tcW w:w="43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空分后备三台水浴式汽化器日常运行存在一级脱盐水浪费，增加一套凝液回收装置，可完全实现密闭回收凝结水的水资源和热能，达到提高能源利用率。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202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.6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50万</w:t>
                  </w:r>
                </w:p>
              </w:tc>
              <w:tc>
                <w:tcPr>
                  <w:tcW w:w="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17万/年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7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lang w:val="zh-CN"/>
                    </w:rPr>
                    <w:t>蒸汽发生器排污水回收利用项目</w:t>
                  </w:r>
                </w:p>
              </w:tc>
              <w:tc>
                <w:tcPr>
                  <w:tcW w:w="43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222排污锅炉排污水进入换热器</w:t>
                  </w:r>
                  <w:r>
                    <w:rPr>
                      <w:rFonts w:ascii="宋体" w:hAnsi="宋体"/>
                      <w:szCs w:val="21"/>
                    </w:rPr>
                    <w:t>E026802</w:t>
                  </w:r>
                  <w:r>
                    <w:rPr>
                      <w:rFonts w:hint="eastAsia" w:ascii="宋体" w:hAnsi="宋体"/>
                      <w:szCs w:val="21"/>
                    </w:rPr>
                    <w:t>降温至</w:t>
                  </w:r>
                  <w:r>
                    <w:rPr>
                      <w:rFonts w:ascii="宋体" w:hAnsi="宋体"/>
                      <w:szCs w:val="21"/>
                    </w:rPr>
                    <w:t>50</w:t>
                  </w:r>
                  <w:r>
                    <w:rPr>
                      <w:rFonts w:hint="eastAsia" w:ascii="宋体" w:hAnsi="宋体"/>
                      <w:szCs w:val="21"/>
                    </w:rPr>
                    <w:t>℃以下排至地沟，进入雨水或生产污水管网，存在浪费。通过增加管线将排污水引至循环水回水，降低循环水补水量。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202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.5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5万</w:t>
                  </w:r>
                </w:p>
              </w:tc>
              <w:tc>
                <w:tcPr>
                  <w:tcW w:w="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26万/年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7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1.0MPa蒸汽改造项目</w:t>
                  </w:r>
                </w:p>
              </w:tc>
              <w:tc>
                <w:tcPr>
                  <w:tcW w:w="43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脱瓶颈改造后1.0MPa蒸汽副产量较大，界区内无法使用造成蒸汽放空量较大，通过增加1.0MPa外送管线将蒸汽送至蒸汽总管后系统使用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202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.3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1000万</w:t>
                  </w:r>
                </w:p>
              </w:tc>
              <w:tc>
                <w:tcPr>
                  <w:tcW w:w="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1241万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7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cs="仿宋_GB2312"/>
                    </w:rPr>
                    <w:t>废酸裂解炉副烧嘴燃料气源优化项目</w:t>
                  </w:r>
                </w:p>
              </w:tc>
              <w:tc>
                <w:tcPr>
                  <w:tcW w:w="43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废酸裂解装置裂解炉原设计可使用PSA解析气作燃料，因解析气压力不稳定和管道输送能力限制，</w:t>
                  </w:r>
                  <w:r>
                    <w:rPr>
                      <w:rFonts w:ascii="宋体" w:hAnsi="宋体"/>
                      <w:szCs w:val="21"/>
                    </w:rPr>
                    <w:t>解析气</w:t>
                  </w:r>
                  <w:r>
                    <w:rPr>
                      <w:rFonts w:hint="eastAsia" w:ascii="宋体" w:hAnsi="宋体"/>
                      <w:szCs w:val="21"/>
                    </w:rPr>
                    <w:t>一直不能作为裂解炉的燃料。利用停车检修机会，</w:t>
                  </w:r>
                  <w:r>
                    <w:rPr>
                      <w:rFonts w:ascii="宋体" w:hAnsi="宋体"/>
                      <w:szCs w:val="21"/>
                    </w:rPr>
                    <w:t>调整</w:t>
                  </w:r>
                  <w:r>
                    <w:rPr>
                      <w:rFonts w:hint="eastAsia" w:ascii="宋体" w:hAnsi="宋体"/>
                      <w:szCs w:val="21"/>
                    </w:rPr>
                    <w:t>副烧嘴燃气管道接入位置至解析气管道，</w:t>
                  </w:r>
                  <w:r>
                    <w:rPr>
                      <w:rFonts w:ascii="宋体" w:hAnsi="宋体"/>
                      <w:szCs w:val="21"/>
                    </w:rPr>
                    <w:t>在</w:t>
                  </w:r>
                  <w:r>
                    <w:rPr>
                      <w:rFonts w:hint="eastAsia" w:ascii="宋体" w:hAnsi="宋体"/>
                      <w:szCs w:val="21"/>
                    </w:rPr>
                    <w:t>解析气管道至天然气管道上增加一道闸阀供应解析气。</w:t>
                  </w:r>
                  <w:r>
                    <w:rPr>
                      <w:rFonts w:ascii="宋体" w:hAnsi="宋体"/>
                      <w:szCs w:val="21"/>
                    </w:rPr>
                    <w:t>当</w:t>
                  </w:r>
                  <w:r>
                    <w:rPr>
                      <w:rFonts w:hint="eastAsia" w:ascii="宋体" w:hAnsi="宋体"/>
                      <w:szCs w:val="21"/>
                    </w:rPr>
                    <w:t>闸阀开启时，</w:t>
                  </w:r>
                  <w:r>
                    <w:rPr>
                      <w:rFonts w:ascii="宋体" w:hAnsi="宋体"/>
                      <w:szCs w:val="21"/>
                    </w:rPr>
                    <w:t>工艺</w:t>
                  </w:r>
                  <w:r>
                    <w:rPr>
                      <w:rFonts w:hint="eastAsia" w:ascii="宋体" w:hAnsi="宋体"/>
                      <w:szCs w:val="21"/>
                    </w:rPr>
                    <w:t>流程与原设计一样，副烧嘴燃气由天然气供应；</w:t>
                  </w:r>
                  <w:r>
                    <w:rPr>
                      <w:rFonts w:ascii="宋体" w:hAnsi="宋体"/>
                      <w:szCs w:val="21"/>
                    </w:rPr>
                    <w:t>当</w:t>
                  </w:r>
                  <w:r>
                    <w:rPr>
                      <w:rFonts w:hint="eastAsia" w:ascii="宋体" w:hAnsi="宋体"/>
                      <w:szCs w:val="21"/>
                    </w:rPr>
                    <w:t>闸阀关闭时，解析气流程与天然气流程切开，副烧嘴燃气由解析气供应。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202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yellow"/>
                    </w:rPr>
                    <w:t>.5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0.5万</w:t>
                  </w:r>
                </w:p>
              </w:tc>
              <w:tc>
                <w:tcPr>
                  <w:tcW w:w="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247.5万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7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循环气压缩机改造项目</w:t>
                  </w:r>
                </w:p>
              </w:tc>
              <w:tc>
                <w:tcPr>
                  <w:tcW w:w="43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循环气压缩机增加级间冷却器，增加打气量，减少有效气放空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2021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年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100万</w:t>
                  </w:r>
                </w:p>
              </w:tc>
              <w:tc>
                <w:tcPr>
                  <w:tcW w:w="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218万</w:t>
                  </w:r>
                </w:p>
              </w:tc>
              <w:tc>
                <w:tcPr>
                  <w:tcW w:w="8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是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Chars="200"/>
              <w:textAlignment w:val="auto"/>
              <w:rPr>
                <w:rFonts w:hint="eastAsia" w:ascii="方正仿宋简体" w:eastAsia="方正仿宋简体" w:cs="Times New Roman"/>
                <w:b w:val="0"/>
                <w:bCs/>
                <w:highlight w:val="yellow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highlight w:val="yellow"/>
                <w:lang w:val="en-US" w:eastAsia="zh-CN"/>
              </w:rPr>
              <w:t>不符合事实：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Chars="200" w:firstLine="840" w:firstLineChars="400"/>
              <w:textAlignment w:val="auto"/>
              <w:rPr>
                <w:rFonts w:hint="default" w:ascii="方正仿宋简体" w:eastAsia="方正仿宋简体" w:cs="Times New Roman"/>
                <w:b w:val="0"/>
                <w:bCs/>
                <w:highlight w:val="yellow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highlight w:val="yellow"/>
                <w:lang w:val="en-US" w:eastAsia="zh-CN"/>
              </w:rPr>
              <w:t>查《甲醇运行部能源评审报告》输出内容是确定了2021N5节能技改项目5项，但其中4项是2020年度的节能技改项目。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ind w:firstLine="1200" w:firstLineChars="500"/>
              <w:jc w:val="both"/>
              <w:rPr>
                <w:sz w:val="24"/>
                <w:szCs w:val="24"/>
              </w:rPr>
            </w:pPr>
            <w:bookmarkStart w:id="0" w:name="_Hlk38660577"/>
            <w:r>
              <w:rPr>
                <w:rFonts w:hint="eastAsia"/>
                <w:sz w:val="24"/>
                <w:szCs w:val="24"/>
                <w:lang w:val="en-US" w:eastAsia="zh-CN"/>
              </w:rPr>
              <w:t>确定了甲醇运行部</w:t>
            </w:r>
            <w:r>
              <w:rPr>
                <w:rFonts w:hint="eastAsia"/>
                <w:sz w:val="24"/>
                <w:szCs w:val="24"/>
              </w:rPr>
              <w:t>主要用能能源数据收集计划</w:t>
            </w:r>
          </w:p>
          <w:bookmarkEnd w:id="0"/>
          <w:tbl>
            <w:tblPr>
              <w:tblStyle w:val="10"/>
              <w:tblW w:w="92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5"/>
              <w:gridCol w:w="612"/>
              <w:gridCol w:w="1361"/>
              <w:gridCol w:w="1610"/>
              <w:gridCol w:w="1185"/>
              <w:gridCol w:w="1134"/>
              <w:gridCol w:w="1077"/>
              <w:gridCol w:w="878"/>
              <w:gridCol w:w="8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bookmarkStart w:id="1" w:name="_Hlk38660592"/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装置</w:t>
                  </w:r>
                </w:p>
              </w:tc>
              <w:tc>
                <w:tcPr>
                  <w:tcW w:w="612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361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能源种类</w:t>
                  </w:r>
                </w:p>
              </w:tc>
              <w:tc>
                <w:tcPr>
                  <w:tcW w:w="1610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能源种类</w:t>
                  </w:r>
                </w:p>
              </w:tc>
              <w:tc>
                <w:tcPr>
                  <w:tcW w:w="118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收集方式</w:t>
                  </w:r>
                </w:p>
              </w:tc>
              <w:tc>
                <w:tcPr>
                  <w:tcW w:w="1077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收集频率</w:t>
                  </w:r>
                </w:p>
              </w:tc>
              <w:tc>
                <w:tcPr>
                  <w:tcW w:w="878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收集人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restart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甲醇装置</w:t>
                  </w: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原料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燃料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天然气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蒸汽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1.0Mpa蒸汽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0.5Mpa蒸汽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9.8Mpa蒸汽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电力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电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rFonts w:hint="eastAsia"/>
                      <w:sz w:val="18"/>
                      <w:szCs w:val="18"/>
                    </w:rPr>
                    <w:t>W/h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生产水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循环水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一级脱盐水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二级脱盐水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11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蒸汽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0.5Mpa蒸汽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12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1.0Mpa蒸汽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13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2.5Mpa蒸汽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14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中压锅炉给水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15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冷凝液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16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气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5.9MPa氮气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17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0.45MPa氮气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18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非净化风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19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氧气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20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解析气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21</w:t>
                  </w: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产品产量</w:t>
                  </w: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甲醇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22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CO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  <w:tc>
                <w:tcPr>
                  <w:tcW w:w="1361" w:type="dxa"/>
                  <w:vMerge w:val="continue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H2</w:t>
                  </w:r>
                </w:p>
              </w:tc>
              <w:tc>
                <w:tcPr>
                  <w:tcW w:w="1185" w:type="dxa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/h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5" w:type="dxa"/>
                  <w:vMerge w:val="continue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24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单位产品综合能耗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千克标煤/吨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千克标煤/吨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计算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每月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统计员</w:t>
                  </w:r>
                </w:p>
              </w:tc>
              <w:tc>
                <w:tcPr>
                  <w:tcW w:w="845" w:type="dxa"/>
                </w:tcPr>
                <w:p>
                  <w:pPr>
                    <w:spacing w:line="36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bookmarkEnd w:id="1"/>
          </w:tbl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说明：</w:t>
            </w:r>
          </w:p>
          <w:p>
            <w:pPr>
              <w:widowControl/>
              <w:spacing w:line="360" w:lineRule="exact"/>
              <w:ind w:left="899" w:leftChars="228" w:hanging="420" w:hanging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运行部为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主要用能单位确定该装置能源数据收集计划；主要用能为该装置所有用能的前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为主；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2、收集方式、收集频率、收集人要如实填写；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3、所有收集计划必须在能源计量仪表设备完好的情况下进行，如有分摊要予以说明。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3.查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产品生产过程的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能源使用与能源消耗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能源绩效参数的控制、相关变量控制、优化操作、节能技改技措的实施；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376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抽查甲醇运行部2021年6月份节能技术月报：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本月原料煤用量105890.81t，本月两套氢回收装置持续高负荷运行，外送氢气16500Nm3/h，为维持氢气产量及产品纯度，调整氢碳比，合成循环段氢气控制在72%左右，氢回收原料气氢气含量较设计工况下降12%，吸附时间缩短至20s，氢回收收率下降，氢回收装置解析气量增多，有效气损失量增大，氢回收解析气增大损失甲醇月470t，影响单耗增大0.011t/t。且由于合成催化剂到达使用寿命，合成转化效果下降，合成循环段CO上涨至15%，为追求产量系统运行负荷较高，高压分离器放空阀间歇性开1.5%左右，造成2500Nm3/h有效气放空至火炬损失甲醇产量；使单耗上涨0.017t/t。所以本月原料煤单耗较上月上涨。原料煤折标单耗上涨0.02t/t，综合能耗上涨20Kgce/t。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2）5月31日-6月6日由于醋酸检修，707/707A装置相继停车，气化炉81m3/h低负荷运行，气化降负荷后副产蒸汽量下降，气化需求氧量下降，但由于开停车、工艺置换液氮、氮气需求量增加，空分装置负荷未降低反而升高造成蒸汽消耗增加，副产蒸汽抵扣后蒸汽综合能耗较上月增加43Kgce/t，使本月综合能耗较上月增加。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ascii="仿宋_GB2312" w:hAnsi="宋体" w:eastAsia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3）由于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岗位精心调整，避免蒸汽无序放空，现场蒸汽导淋无带压排放，2.5MPa饱和蒸汽、1.0MPa饱和蒸汽持续外送，本月2.5MPa副产蒸汽抵扣234.86 Kgce/t、1.0MPa副产蒸汽抵扣30.57Kgce/t，使综合能耗较低。</w:t>
            </w:r>
          </w:p>
          <w:p>
            <w:pPr>
              <w:spacing w:line="5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54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甲醇运行部注重加强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对相关变量控制，能源使用与能源消耗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</w:rPr>
              <w:t>总量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平衡控制较好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，抽查2021年6月份能源绩效参数（各项单耗指标）控制平稳：</w:t>
            </w:r>
          </w:p>
          <w:tbl>
            <w:tblPr>
              <w:tblStyle w:val="10"/>
              <w:tblW w:w="974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1"/>
              <w:gridCol w:w="705"/>
              <w:gridCol w:w="1426"/>
              <w:gridCol w:w="992"/>
              <w:gridCol w:w="1616"/>
              <w:gridCol w:w="1338"/>
              <w:gridCol w:w="1189"/>
              <w:gridCol w:w="133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5" w:hRule="atLeast"/>
                <w:jc w:val="center"/>
              </w:trPr>
              <w:tc>
                <w:tcPr>
                  <w:tcW w:w="1141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能源种类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单位</w:t>
                  </w:r>
                </w:p>
              </w:tc>
              <w:tc>
                <w:tcPr>
                  <w:tcW w:w="1426" w:type="dxa"/>
                  <w:vAlign w:val="center"/>
                </w:tcPr>
                <w:p>
                  <w:pPr>
                    <w:spacing w:line="540" w:lineRule="exact"/>
                    <w:ind w:firstLine="105" w:firstLineChars="50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本月用量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单耗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上月用量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与上月差值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用量比上月增减（</w:t>
                  </w:r>
                  <w:r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  <w:t>%</w:t>
                  </w: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 w:cs="仿宋_GB2312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color w:val="000000" w:themeColor="text1"/>
                      <w:szCs w:val="21"/>
                    </w:rPr>
                    <w:t>单耗与上月增减（%）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  <w:jc w:val="center"/>
              </w:trPr>
              <w:tc>
                <w:tcPr>
                  <w:tcW w:w="1141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天然气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>m3</w:t>
                  </w:r>
                </w:p>
              </w:tc>
              <w:tc>
                <w:tcPr>
                  <w:tcW w:w="1426" w:type="dxa"/>
                  <w:shd w:val="clear" w:color="auto" w:fill="DCDCDC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437835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szCs w:val="21"/>
                    </w:rPr>
                    <w:t>7.726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498241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56510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12.79%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 xml:space="preserve">-8.59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  <w:jc w:val="center"/>
              </w:trPr>
              <w:tc>
                <w:tcPr>
                  <w:tcW w:w="1141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煤炭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>t</w:t>
                  </w:r>
                </w:p>
              </w:tc>
              <w:tc>
                <w:tcPr>
                  <w:tcW w:w="1426" w:type="dxa"/>
                  <w:shd w:val="clear" w:color="auto" w:fill="DCDCDC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105890.810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szCs w:val="21"/>
                    </w:rPr>
                    <w:t>1.584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108509.3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2154.77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2.03%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 xml:space="preserve">0.06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  <w:jc w:val="center"/>
              </w:trPr>
              <w:tc>
                <w:tcPr>
                  <w:tcW w:w="1141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蒸汽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>t</w:t>
                  </w:r>
                </w:p>
              </w:tc>
              <w:tc>
                <w:tcPr>
                  <w:tcW w:w="1426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284781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szCs w:val="21"/>
                    </w:rPr>
                    <w:t>4.26</w:t>
                  </w: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288988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-1241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-0.43%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 xml:space="preserve">1.02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  <w:jc w:val="center"/>
              </w:trPr>
              <w:tc>
                <w:tcPr>
                  <w:tcW w:w="1141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</w:rPr>
                    <w:t>电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000000" w:themeColor="text1"/>
                      <w:szCs w:val="21"/>
                    </w:rPr>
                    <w:t>Kwh</w:t>
                  </w:r>
                </w:p>
              </w:tc>
              <w:tc>
                <w:tcPr>
                  <w:tcW w:w="1426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14413341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215.623</w:t>
                  </w:r>
                </w:p>
              </w:tc>
              <w:tc>
                <w:tcPr>
                  <w:tcW w:w="1616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10904346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-4950853</w:t>
                  </w:r>
                </w:p>
              </w:tc>
              <w:tc>
                <w:tcPr>
                  <w:tcW w:w="11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>-31.23%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宋体"/>
                      <w:color w:val="000000"/>
                      <w:szCs w:val="21"/>
                    </w:rPr>
                    <w:t xml:space="preserve">35.51 </w:t>
                  </w:r>
                </w:p>
              </w:tc>
            </w:tr>
          </w:tbl>
          <w:p>
            <w:pPr>
              <w:ind w:firstLine="560" w:firstLineChars="200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醇运行部2021年共有7项优化节能项目，查2021年6月份优化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节能项目进展情况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灰水外送技改项目已投用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222余热锅炉排污水回收利用项目已实施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消防水补水项目改造已实施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后备优化项目液氮管线未碰头，其他安装工作已完成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5）技改项目“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后备凝液回收项目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空分后备凝液回收项目已投用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达到提高能源利用率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/>
              <w:ind w:left="0" w:leftChars="0" w:firstLine="210" w:firstLineChars="1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6443980" cy="4521835"/>
                  <wp:effectExtent l="0" t="0" r="7620" b="1206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980" cy="4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top"/>
          </w:tcPr>
          <w:p/>
          <w:p/>
          <w:p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.验证基础设施管理的适宜性、符合性（主要耗能设备的排查与控制）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主要耗能设备的能效监测、分析与评价；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醇运行部组织对空分、气化、净合三套装置的主要耗能设备进行了排查，识别出气化炉、焚烧炉、裂解炉、空分汽轮机、合成汽轮机、合成压缩机、丙烯压缩机、风机、100KW以上的电机等，建立了《甲醇运行部主要耗能设备台账》共35种85台，台账中对每台主要耗能设备安装的区域、设备位号、设备名称、规格型号、技术参数、制造厂家、运行方式等均进行了登记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出示有《净合装置性能考核评价报告》，其中对裂解炉的温度、SO2风机的进出口压力、进出口流量、出口氧含量等数据进行了统计分析及评价。考核结论：总转化率为99.5%。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主要耗能设备的测试由公司设备工程部统一组织，按计划进行。</w:t>
            </w:r>
          </w:p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运行部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高耗能落后机电设备，已经于2020年12月之前全部淘汰完毕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目前不存在高耗能落后机电设备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13" w:type="dxa"/>
            <w:vAlign w:val="top"/>
          </w:tcPr>
          <w:p/>
          <w:p/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.证实监测资源适宜性、符合性；能源计量器具配置的符合性及合规性；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6.6/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376" w:type="dxa"/>
          </w:tcPr>
          <w:p/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查“甲醇运行部能源评审报告”中按照GB17167-2006标准进行能源计量器具的配置情况：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甲醇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运行部</w:t>
            </w:r>
            <w:r>
              <w:rPr>
                <w:rFonts w:hint="eastAsia" w:ascii="宋体" w:hAnsi="宋体"/>
                <w:sz w:val="24"/>
                <w:szCs w:val="24"/>
              </w:rPr>
              <w:t>二级能源计量器具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应配备23台，实际配备23台，</w:t>
            </w:r>
            <w:r>
              <w:rPr>
                <w:rFonts w:hint="eastAsia" w:ascii="宋体" w:hAnsi="宋体"/>
                <w:sz w:val="24"/>
                <w:szCs w:val="24"/>
              </w:rPr>
              <w:t>实际配备率100%，达到国家要求配备率，计量器具准确度等级均符合国家规定准确度等级要求。二级能源计量器具配备率详情如下：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装置（二级）能源计量器具配备率</w:t>
            </w:r>
          </w:p>
          <w:tbl>
            <w:tblPr>
              <w:tblStyle w:val="10"/>
              <w:tblW w:w="9072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418"/>
              <w:gridCol w:w="1559"/>
              <w:gridCol w:w="1701"/>
              <w:gridCol w:w="155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6" w:type="dxa"/>
                  <w:shd w:val="clear" w:color="auto" w:fill="D9D9D9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能源种类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应配备计量器具（台）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实际配备计量器具（台）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配备率（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国家规定配备率（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国家规定准确度等级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煤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蒸汽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空气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yellow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yellow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氮气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yellow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yellow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yellow"/>
                    </w:rPr>
                    <w:t>9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yellow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95%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2.5</w:t>
                  </w:r>
                </w:p>
              </w:tc>
            </w:tr>
          </w:tbl>
          <w:p>
            <w:pPr>
              <w:spacing w:line="360" w:lineRule="exact"/>
              <w:ind w:firstLine="480" w:firstLineChars="200"/>
              <w:jc w:val="left"/>
              <w:rPr>
                <w:rFonts w:hint="default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 xml:space="preserve"> 21          21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甲醇装置三级能源计量器具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应配备16台，实际配备16台</w:t>
            </w:r>
            <w:r>
              <w:rPr>
                <w:rFonts w:hint="eastAsia" w:ascii="宋体" w:hAnsi="宋体"/>
                <w:sz w:val="24"/>
                <w:szCs w:val="24"/>
              </w:rPr>
              <w:t>，实际配备率100%，达到国家要求配备率，计量器具准确度等级均符合国家规定准确度等级要求。三级能源计量器具配备率详情如下：</w:t>
            </w:r>
          </w:p>
          <w:p>
            <w:pPr>
              <w:spacing w:line="360" w:lineRule="exact"/>
              <w:ind w:firstLine="1687" w:firstLineChars="70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主要用能设备（三级）能源计量器具配备率</w:t>
            </w:r>
          </w:p>
          <w:tbl>
            <w:tblPr>
              <w:tblStyle w:val="10"/>
              <w:tblW w:w="9072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418"/>
              <w:gridCol w:w="1559"/>
              <w:gridCol w:w="1701"/>
              <w:gridCol w:w="155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shd w:val="clear" w:color="auto" w:fill="D9D9D9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能源种类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应配备计量器具（台）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实际配备计量器具（台）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配备率（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国家规定配备率（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国家规定准确度等级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循环水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  <w:tc>
                <w:tcPr>
                  <w:tcW w:w="1701" w:type="dxa"/>
                </w:tcPr>
                <w:p>
                  <w:pPr>
                    <w:tabs>
                      <w:tab w:val="left" w:pos="1209"/>
                    </w:tabs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除盐水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蒸汽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>
                  <w:pPr>
                    <w:tabs>
                      <w:tab w:val="left" w:pos="1209"/>
                    </w:tabs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天然气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氧气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2.0</w:t>
                  </w:r>
                </w:p>
              </w:tc>
            </w:tr>
          </w:tbl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32            32</w:t>
            </w:r>
          </w:p>
          <w:p/>
          <w:p>
            <w:pPr>
              <w:spacing w:before="120" w:line="360" w:lineRule="auto"/>
              <w:ind w:firstLine="210" w:firstLineChars="100"/>
            </w:pPr>
            <w:r>
              <w:rPr>
                <w:rFonts w:hint="eastAsia" w:ascii="方正仿宋简体" w:eastAsia="方正仿宋简体"/>
                <w:b w:val="0"/>
                <w:bCs/>
                <w:highlight w:val="yellow"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 w:cs="Times New Roman"/>
                <w:b w:val="0"/>
                <w:bCs/>
                <w:highlight w:val="yellow"/>
                <w:lang w:val="en-US" w:eastAsia="zh-CN"/>
              </w:rPr>
              <w:t>能源计量器具配置数量混乱。《甲醇运行部能源评审报告》中文字描述，甲醇运行部二级能源计量器具应配置23台，实际配置23台，配置率100%，达到国家标准GB17167-2006要求，但表2-7-1中二级能源二级计量器具配置率应配置21台。  文字还描述，甲醇运行部三级能源计量器具应配置16台，实际配置16台，配置率100%，达到国家标准GB17167-2006要求，但表2-7-2中二级能源二级计量器具配置率是应配置32台。</w:t>
            </w:r>
          </w:p>
        </w:tc>
        <w:tc>
          <w:tcPr>
            <w:tcW w:w="1213" w:type="dxa"/>
            <w:vAlign w:val="top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.验证人员能力\意识的符合性；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7.3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出示&lt;甲醇运行部2021年度培训计划&gt;共计103项培训项目。对每项培训内容、培训对象、培训形式、培训时间、培训课时、培训人数、培训目标、培训老师、考评方式、承办部门等均做出有详细安排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涉及能源培训有：汽轮机系统、空压机系统、增压机培训，冬季防冻、技改技措、节能知识工艺制度、装置开停工操作要点等培训。员工培训面覆盖率100%。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2021年4月15日《甲醇节能统计指标及考核指标》培训记录：有培训签到表共18人参加并签名，有培训课件PPT.考评方式采用中石化网络学院答题，考试结果全部合格（若有不合格人员参加补考）。培训老师李学宝（甲醇工艺工程师）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/>
          <w:p/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.生产过程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绩效的分析、评价、不符合的整改及改进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9.1.3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10.2</w:t>
            </w:r>
          </w:p>
        </w:tc>
        <w:tc>
          <w:tcPr>
            <w:tcW w:w="103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甲醇运行部对能源目标指标完成情况每月进行检查，2021上半年 按时间进度完成情况如下：   </w:t>
            </w:r>
          </w:p>
          <w:tbl>
            <w:tblPr>
              <w:tblStyle w:val="10"/>
              <w:tblW w:w="984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2"/>
              <w:gridCol w:w="713"/>
              <w:gridCol w:w="856"/>
              <w:gridCol w:w="856"/>
              <w:gridCol w:w="713"/>
              <w:gridCol w:w="814"/>
              <w:gridCol w:w="885"/>
              <w:gridCol w:w="829"/>
              <w:gridCol w:w="887"/>
              <w:gridCol w:w="888"/>
              <w:gridCol w:w="885"/>
              <w:gridCol w:w="77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  <w:jc w:val="center"/>
              </w:trPr>
              <w:tc>
                <w:tcPr>
                  <w:tcW w:w="74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项目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本月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上月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目标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值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与上月比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与目标比</w:t>
                  </w:r>
                </w:p>
              </w:tc>
              <w:tc>
                <w:tcPr>
                  <w:tcW w:w="16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与去年</w:t>
                  </w:r>
                </w:p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同期比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  <w:jc w:val="center"/>
              </w:trPr>
              <w:tc>
                <w:tcPr>
                  <w:tcW w:w="74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8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8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81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差值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差值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差值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0" w:hRule="atLeast"/>
                <w:jc w:val="center"/>
              </w:trPr>
              <w:tc>
                <w:tcPr>
                  <w:tcW w:w="74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甲醇产品综合能耗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Cs w:val="21"/>
                    </w:rPr>
                    <w:t>kgce /t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1552.72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1529.74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仿宋_GB2312" w:hAnsi="宋体"/>
                      <w:szCs w:val="21"/>
                    </w:rPr>
                    <w:t>1610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1610.32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22.98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1.50%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-57.28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-3.56%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-57.6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-4%</w:t>
                  </w:r>
                </w:p>
              </w:tc>
            </w:tr>
          </w:tbl>
          <w:p>
            <w:pPr>
              <w:spacing w:line="360" w:lineRule="auto"/>
              <w:ind w:firstLine="560" w:firstLineChars="200"/>
              <w:rPr>
                <w:rFonts w:ascii="仿宋_GB2312" w:hAnsi="宋体" w:eastAsia="仿宋_GB2312" w:cs="仿宋_GB2312"/>
                <w:color w:val="000000" w:themeColor="text1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绩效分析评价：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1）应继续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维持甲醇装置生产负荷，根据尽量维持两套装置高效率运行。</w:t>
            </w:r>
          </w:p>
          <w:p>
            <w:pPr>
              <w:spacing w:line="360" w:lineRule="auto"/>
              <w:ind w:left="24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检查优化采暖供热温度，优化供水温度控制范围，降低蒸汽消耗用量，严格班组加热蒸汽使用管理，要求班组根据室内温度及时调整蒸汽用量，加强节能理念在班组层面的深化，自觉做好节能优化操作。</w:t>
            </w:r>
          </w:p>
          <w:p>
            <w:pPr>
              <w:spacing w:line="36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排查装置耗能设备，逐步淘汰；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粗甲醇直接进料、低负荷停用置换气压缩机、碳洗塔给料泵双泵改单泵运行，停用个别用电设备，降低电耗。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利用装置大修整改保温效果差的保温层，降低热量损失。</w:t>
            </w:r>
          </w:p>
          <w:p>
            <w:pPr>
              <w:spacing w:line="360" w:lineRule="auto"/>
              <w:ind w:left="480" w:hanging="420" w:hanging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轮班要求四个班组检查现场水冷器出入口温差，通过落实班组为单位的责任换热器，严格实施循环水出入口温差大于7℃，同时确保流速大于0.5m/s节约循环水用量，关小出口阀；界区循环水温度降低时，及时调整回水手阀，提高出入口温差，降低循环水用量。</w:t>
            </w:r>
          </w:p>
          <w:p>
            <w:pPr>
              <w:spacing w:line="360" w:lineRule="auto"/>
              <w:ind w:left="480" w:hanging="420" w:hanging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6）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积极联系协调电气做好全部机泵的节电运行，通过检测核算两套装置各运行泵和备用泵之间的用能差异，优化调整各工艺参数控制范围，在条件允许情况下，启动耗电量小的机泵作为运行泵。</w:t>
            </w:r>
          </w:p>
          <w:p>
            <w:pPr>
              <w:pStyle w:val="18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7）择机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将装置换热器进行清洗除垢，提高换热效率，降低循环水用量；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推进节能技改实施：循环气压缩机改造；废酸裂解使用解析气降低天燃气消耗。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节能月报还通报了本月现场检查发现问题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8项当月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全部进行了整改关闭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，其中气化炉温度偏高问题，运行部召开专项会议，组织技术人员进行原因分析，有针对性制订整改方案，并上报公司设备工程部批准，择机等装置停工消缺时机进行整改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对不符合的整改及改进符合要求。</w:t>
            </w:r>
          </w:p>
        </w:tc>
        <w:tc>
          <w:tcPr>
            <w:tcW w:w="1213" w:type="dxa"/>
            <w:vAlign w:val="top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巡视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生产装置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现场运行控制的有效性(关注不同班次运行数)；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现场巡视：空分、气化、净合三套装置运行正常，生产负荷78%；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当班二班，实际上班36人（1人年休），值班长:武立甲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内操14人，外操14人，值班长、正副班长8人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提供运行部的《</w:t>
            </w:r>
            <w:r>
              <w:rPr>
                <w:rFonts w:hint="eastAsia"/>
                <w:lang w:val="en-US" w:eastAsia="zh-CN"/>
              </w:rPr>
              <w:t>气化</w:t>
            </w:r>
            <w:r>
              <w:rPr>
                <w:rFonts w:hint="default"/>
                <w:lang w:val="en-US" w:eastAsia="zh-CN"/>
              </w:rPr>
              <w:t>装置操作法》《</w:t>
            </w:r>
            <w:r>
              <w:rPr>
                <w:rFonts w:hint="eastAsia"/>
                <w:lang w:val="en-US" w:eastAsia="zh-CN"/>
              </w:rPr>
              <w:t>空分</w:t>
            </w:r>
            <w:r>
              <w:rPr>
                <w:rFonts w:hint="default"/>
                <w:lang w:val="en-US" w:eastAsia="zh-CN"/>
              </w:rPr>
              <w:t>装置操作法》《</w:t>
            </w:r>
            <w:r>
              <w:rPr>
                <w:rFonts w:hint="eastAsia"/>
                <w:lang w:val="en-US" w:eastAsia="zh-CN"/>
              </w:rPr>
              <w:t>净合</w:t>
            </w:r>
            <w:r>
              <w:rPr>
                <w:rFonts w:hint="default"/>
                <w:lang w:val="en-US" w:eastAsia="zh-CN"/>
              </w:rPr>
              <w:t>装置操作法》。三套装置的《工艺卡片》（含能源绩效参数以及相关变量）。提供公司的《生产调度管理规定》《工艺卡片管理办法》《节能统计指标体系及考核指标》《公用管网责任划分管理规定》《非计划停工及降负荷运行管理办法》《巡回检查管理办法》《工艺技术规程、岗位操作法管理办法》《节约能源管理办法》《生产管理系统（MES）操作管理子系统管理规定（试行)》《生产准备与试车管理规定》《系统管网运行管理规定》《互供物料分摊管理办法》《节水管理办法》以及岗位交接班的《十交五不接》等管理制度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抽《气化装置气化水处理岗位中控记录》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工艺指标要求：气化炉氧煤比Fzc 1307控制指标 ＜520     查操作记录：当班实际最高492，最低474 （符合）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气化炉激冷水流量FT1310控制指标300-520m3/h 查操作记录：当班实际388-429m3/h  (符合）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查倒班交接班现场基本按照《交接班管理制度》进行。抽查《接班记录》。2021-8-3，有接班内容，本班情况，交班内容（交任务、交原料、</w:t>
            </w:r>
            <w:r>
              <w:rPr>
                <w:rFonts w:hint="eastAsia"/>
                <w:lang w:val="en-US" w:eastAsia="zh-CN"/>
              </w:rPr>
              <w:t>交产品</w:t>
            </w:r>
            <w:r>
              <w:rPr>
                <w:rFonts w:hint="default"/>
                <w:lang w:val="en-US" w:eastAsia="zh-CN"/>
              </w:rPr>
              <w:t>，本班原料消耗情况、交操作指标、交质量、交设备、交问题和经验、交工具、交安全环保和卫生）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现场抽查原水总管流量FT026815  瞬时17.6 Nm3/h .    累计92503Nm3/h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抽查进界区高压蒸气流量  瞬时360.65kg/h .        累计1981875kg/h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抽查802工段循环水总量FT026858   瞬时18.68m3/h .    累计103951m3/h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抽查合成、净化仪表空气流量FT026827   瞬时3.35Nm3/h .    累计10031Nm3/h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现场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流量计均运行良好。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89890" cy="356235"/>
          <wp:effectExtent l="0" t="0" r="0" b="1905"/>
          <wp:wrapTight wrapText="bothSides">
            <wp:wrapPolygon>
              <wp:start x="5910" y="0"/>
              <wp:lineTo x="0" y="3234"/>
              <wp:lineTo x="0" y="16633"/>
              <wp:lineTo x="6754" y="21253"/>
              <wp:lineTo x="9287" y="21253"/>
              <wp:lineTo x="14353" y="21253"/>
              <wp:lineTo x="14775" y="21253"/>
              <wp:lineTo x="20685" y="14785"/>
              <wp:lineTo x="20685" y="6006"/>
              <wp:lineTo x="17308" y="1848"/>
              <wp:lineTo x="14353" y="0"/>
              <wp:lineTo x="591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890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C4321"/>
    <w:multiLevelType w:val="multilevel"/>
    <w:tmpl w:val="21CC4321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90D42"/>
    <w:multiLevelType w:val="singleLevel"/>
    <w:tmpl w:val="5AE90D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32E237"/>
    <w:multiLevelType w:val="singleLevel"/>
    <w:tmpl w:val="7B32E23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64B59F3"/>
    <w:rsid w:val="080809C8"/>
    <w:rsid w:val="09984109"/>
    <w:rsid w:val="0BAE4A94"/>
    <w:rsid w:val="108219C2"/>
    <w:rsid w:val="17340A40"/>
    <w:rsid w:val="1BB15E23"/>
    <w:rsid w:val="23F84A76"/>
    <w:rsid w:val="2A65169D"/>
    <w:rsid w:val="2C62049A"/>
    <w:rsid w:val="37A308CA"/>
    <w:rsid w:val="37D00C4B"/>
    <w:rsid w:val="3C404CE0"/>
    <w:rsid w:val="3F272A0F"/>
    <w:rsid w:val="3FA0760E"/>
    <w:rsid w:val="463A4A03"/>
    <w:rsid w:val="46793D84"/>
    <w:rsid w:val="46D5129B"/>
    <w:rsid w:val="47C77427"/>
    <w:rsid w:val="4ECE00A2"/>
    <w:rsid w:val="52E82DC8"/>
    <w:rsid w:val="5BFD0207"/>
    <w:rsid w:val="5EA12B9A"/>
    <w:rsid w:val="600A57BC"/>
    <w:rsid w:val="63AB463A"/>
    <w:rsid w:val="655F71AE"/>
    <w:rsid w:val="69F73AB5"/>
    <w:rsid w:val="6A6F4B9B"/>
    <w:rsid w:val="73826C27"/>
    <w:rsid w:val="742E4676"/>
    <w:rsid w:val="78F21671"/>
    <w:rsid w:val="799919A7"/>
    <w:rsid w:val="7B1419A4"/>
    <w:rsid w:val="7D6E2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keepNext/>
      <w:widowControl/>
      <w:spacing w:line="560" w:lineRule="exact"/>
      <w:jc w:val="left"/>
      <w:outlineLvl w:val="1"/>
    </w:pPr>
    <w:rPr>
      <w:rFonts w:ascii="Cambria" w:hAnsi="Cambria"/>
      <w:b/>
      <w:bCs/>
      <w:iCs/>
      <w:kern w:val="0"/>
      <w:szCs w:val="28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4"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styleId="19">
    <w:name w:val="No Spacing"/>
    <w:basedOn w:val="1"/>
    <w:qFormat/>
    <w:uiPriority w:val="1"/>
    <w:pPr>
      <w:widowControl/>
      <w:jc w:val="left"/>
    </w:pPr>
    <w:rPr>
      <w:rFonts w:eastAsia="宋体"/>
      <w:kern w:val="0"/>
      <w:sz w:val="24"/>
      <w:szCs w:val="32"/>
    </w:rPr>
  </w:style>
  <w:style w:type="character" w:customStyle="1" w:styleId="20">
    <w:name w:val="标题 2 Char"/>
    <w:link w:val="2"/>
    <w:qFormat/>
    <w:uiPriority w:val="9"/>
    <w:rPr>
      <w:rFonts w:ascii="Cambria" w:hAnsi="Cambria"/>
      <w:b/>
      <w:bCs/>
      <w:iCs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7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mmjj</cp:lastModifiedBy>
  <dcterms:modified xsi:type="dcterms:W3CDTF">2021-08-17T16:11:42Z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E1BD7915DD364FD18FFA53366BD3180D</vt:lpwstr>
  </property>
</Properties>
</file>