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安全环保部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张士霞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snapToGrid w:val="0"/>
              <w:spacing w:line="280" w:lineRule="exact"/>
              <w:jc w:val="both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刘文清 （专家）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2021-8-2  15:00-17:30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5.3；6.2；8.1;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部门能源职责、权限分配的合理性和履职情况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本部门共有32人，领导3人（1个部长，2个副部长）设安全管理、职业防护管理、环保管理、应急管理、治安保卫管理、督察室等7个管理室。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出示文件能源职责、权限规定及分配合理，员工履职较好。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能源目标的制定及实现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查2021年涉及能源目标主要有：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配合生产计划部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建设完成能源管理体系并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2.控制污染物排放总量，二氧化硫不高于1000吨、氮氧化物不高于1400吨、颗粒物不高于933吨、VOCs不高于1490吨、CO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排放不高于820万吨；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3.外排有控废气平均达标率大于99.60%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.万元产值综合能耗8.500吨标煤/万元以下，工业综合能源消费量342.8288万吨标煤以下，其中：燃动能耗214.4089万吨标煤以下。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.工业取水量1550万立方米以下，万元产值工业取水量39立方米/</w:t>
            </w:r>
            <w:r>
              <w:rPr>
                <w:rFonts w:hint="eastAsia" w:eastAsia="仿宋_GB2312"/>
                <w:sz w:val="21"/>
                <w:szCs w:val="21"/>
              </w:rPr>
              <w:t>万元以下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.节能节水指标确保值完成率大于90%。</w:t>
            </w:r>
          </w:p>
          <w:p>
            <w:pPr>
              <w:adjustRightInd w:val="0"/>
              <w:snapToGrid w:val="0"/>
              <w:spacing w:line="560" w:lineRule="exact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本部门组织对2021上半年清洁生产及节能减排目标指标完成情况进行了检查，以上各项能源目标全部按时间进度完成。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3.节能减排、清洁生产的策划与控制;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公司严格执行宁夏自治区政府下达的节能减排指标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出示《排污许可证》，证书编号：916400005541616821001P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行业类别：煤制液体燃料生产，水泥制造，热力生产和供应，有机化学原料制造，无机盐制造，火力发电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有效期期限：自2020年6月23日起至2025年6月22日止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发证机关：宁夏回族自治区生态环境厅                        日期：2020.6.23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本部门组织策划编制了“公司2021年度清洁生产计划”编审批齐全，并以文件方式下发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内容提出了“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建立健全能源环境管理体系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”、“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完善清洁生产长效机制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”、“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加大污染物减排力度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”、“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持续提升能耗水平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”、“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开展水系统优化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”、“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营造清洁生产氛围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六项主要工作，并制订了2021年清洁生产14项方案计划：</w:t>
            </w:r>
          </w:p>
          <w:tbl>
            <w:tblPr>
              <w:tblStyle w:val="6"/>
              <w:tblW w:w="3733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1967"/>
              <w:gridCol w:w="2471"/>
              <w:gridCol w:w="1634"/>
              <w:gridCol w:w="7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7" w:hRule="exact"/>
                <w:tblHeader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Cs w:val="21"/>
                    </w:rPr>
                    <w:t>主要内容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Cs w:val="21"/>
                    </w:rPr>
                    <w:t>预期效果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Cs w:val="21"/>
                    </w:rPr>
                    <w:t>时间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szCs w:val="21"/>
                    </w:rPr>
                    <w:t>责任单位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41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1#热电、2#空分锅炉脱硝系统精准喷氨改造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确保2021年锅炉烟气NOx达标排放，减少液氨消耗。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2021年3月-2021年12月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热电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0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热电卸煤沟封闭环保治理项目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降低汽车卸煤过程扬尘无组织排放，减少卸煤沟无组织排放环保税费。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2021年1月-2021年12月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热电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2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冷密封水改造项目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节省两台洗涤水泵电费，减少洗涤水泵检修频率。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2021年4月-2021年6月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甲醇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3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粗、细渣口北侧地沟改造环保治理项目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黑水全部流至地沟，有效改善现场环境卫生。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2021年4月-2021年9月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甲醇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电石破碎除尘灰回收利用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消除电石除尘灰装卸过程扬尘，避免临时除尘灰堆场着火隐患，改善现场工作环境。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2020年10月-2021年7月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乙炔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5#6#电石炉净化系统改造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净化系统废气处置效果增强，减少由于净化系统故障而导致电石炉粗气直排。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2021年1月-2021年8月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乙炔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7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醋酸装置副产蒸汽回收利用改造项目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有效回收蒸汽56000吨/年，节约5258.4吨标准煤/年。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2021年1月-2021年12月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PVA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6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THF装置P-9102机封改造项目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达到节能、环保无直流水排放标准要求，减少冷却水使用和废水排放。</w:t>
                  </w:r>
                </w:p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2021年3月-2021年6月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BDO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1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汽车装车鹤管改造项目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减少整个装车过程中VOCs排放，降低环境污染。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2020年12月-2021年11月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BDO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9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公用工程蒸发结晶蒸汽管线改造项目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减少沿线1.0蒸汽排放损失，降低1.0蒸汽的消耗。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2021年3月-2021年12月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公用工程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8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增湿塔喷水压缩空气优化项目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节约压缩空气量2880Nm3/天，节约892800Nm3/年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2021年1月-2021年10月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环保建材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煤粉计量称增加稳流小仓改造项目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直接节约原煤364吨/年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2021年1月-2021年10月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环保建材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6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铜渣替代铁矿石综合利用项目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减少铁矿石消耗量24500.55吨/年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2021年1月-2021年7月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环保建材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1" w:hRule="exact"/>
                <w:jc w:val="center"/>
              </w:trPr>
              <w:tc>
                <w:tcPr>
                  <w:tcW w:w="474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297" w:type="pct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综合利用净化灰沸腾炉渣</w:t>
                  </w:r>
                </w:p>
              </w:tc>
              <w:tc>
                <w:tcPr>
                  <w:tcW w:w="1630" w:type="pct"/>
                  <w:vAlign w:val="center"/>
                </w:tcPr>
                <w:p>
                  <w:pPr>
                    <w:jc w:val="left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减少沸腾炉渣排放约20吨/天，约6000吨/年</w:t>
                  </w:r>
                </w:p>
              </w:tc>
              <w:tc>
                <w:tcPr>
                  <w:tcW w:w="1077" w:type="pc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2021年1月-2021年5月</w:t>
                  </w:r>
                </w:p>
              </w:tc>
              <w:tc>
                <w:tcPr>
                  <w:tcW w:w="519" w:type="pct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环保建材</w:t>
                  </w:r>
                </w:p>
              </w:tc>
            </w:tr>
          </w:tbl>
          <w:p/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对各单位清洁生产日常管理情况进行监督、检查和考核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对在清洁生产工作中做出突出贡献的单位和个人进行表彰奖励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抽查2021年6月20日“清洁生产方案检查记录”，14项已经完成2项，装置组织验收，其他12项基本按照方案进程实施过程。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89890" cy="366395"/>
          <wp:effectExtent l="0" t="0" r="6350" b="6985"/>
          <wp:wrapTight wrapText="bothSides">
            <wp:wrapPolygon>
              <wp:start x="5910" y="0"/>
              <wp:lineTo x="0" y="3145"/>
              <wp:lineTo x="0" y="16621"/>
              <wp:lineTo x="6332" y="21113"/>
              <wp:lineTo x="9287" y="21113"/>
              <wp:lineTo x="14353" y="21113"/>
              <wp:lineTo x="14775" y="21113"/>
              <wp:lineTo x="20685" y="14375"/>
              <wp:lineTo x="20685" y="5840"/>
              <wp:lineTo x="17308" y="1797"/>
              <wp:lineTo x="14353" y="0"/>
              <wp:lineTo x="591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89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9241BE"/>
    <w:rsid w:val="108219C2"/>
    <w:rsid w:val="152740AB"/>
    <w:rsid w:val="27A4522D"/>
    <w:rsid w:val="2A576600"/>
    <w:rsid w:val="2C6C02D0"/>
    <w:rsid w:val="32681D27"/>
    <w:rsid w:val="3E0A0916"/>
    <w:rsid w:val="40973A33"/>
    <w:rsid w:val="469E3459"/>
    <w:rsid w:val="5BFD0207"/>
    <w:rsid w:val="5EA12B9A"/>
    <w:rsid w:val="5F2773C0"/>
    <w:rsid w:val="7A691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8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mmjj</cp:lastModifiedBy>
  <dcterms:modified xsi:type="dcterms:W3CDTF">2021-08-03T00:29:48Z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2BD567FA12284C16A15D2F7BB220EA29</vt:lpwstr>
  </property>
</Properties>
</file>