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21"/>
        <w:gridCol w:w="6739"/>
        <w:gridCol w:w="13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中国石化长城能源化工（宁夏）有限公司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FSMS 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)阶段审核□再认证□监督（）次□证书转换□特殊审核□其他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szCs w:val="21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提供的管理评审输入材料不明晰，纠正措施持续改进的计划责任落实不明确。</w:t>
            </w:r>
            <w:r>
              <w:rPr>
                <w:rFonts w:hint="eastAsia" w:ascii="方正仿宋简体" w:hAnsi="Times New Roman" w:eastAsia="方正仿宋简体" w:cs="Times New Roman"/>
                <w:b/>
                <w:szCs w:val="21"/>
              </w:rPr>
              <w:t>E</w:t>
            </w: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n/9.3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企管部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能源三级计量器具台账中压缩空气、电没有分区域登记</w:t>
            </w: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环保建材部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装置、主要用能设备边界输出计量点界定内容不全。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环保建材部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变压器能效测试中评价结论无内容。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环保建材部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  <w:t>查：能源绩效参数的熟料产品燃煤消耗，相关变量：入窑煤粉水分(%)，指标：≤3，实际值：6.49(时间：2021年5月17日12:00) 、实际值：6.99(时间：2021年7月21日10:00)。</w:t>
            </w:r>
          </w:p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  <w:t>查：能源绩效参数的熟料产品燃煤消耗，相关变量：入窑物料配料(%)，指标：KH:0.95±0.02，N：2.50±0.1，P：1.20±0.1；(时间：2021年4月25日13:00)分别为：0.86、2.68、1.42 ，(时间：2021年6月16日1:00)分别为：0.85、2.61、1.56。</w:t>
            </w:r>
          </w:p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  <w:t>10:00)。</w:t>
            </w:r>
          </w:p>
          <w:p>
            <w:pPr>
              <w:jc w:val="left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  <w:t xml:space="preserve">    查：能源绩效参数的熟料产品燃煤消耗</w:t>
            </w:r>
            <w:r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  <w:t>，相关变量：入窑物料配料(%)，指标：H:0.95±0.02，N：2.50±0.1，P：1.20±0.1；(时间：2021年4月25日13:00)分别为：0.86、2.68、1.42 ，(时间：2021年6月16日1:00)分别为：0.85、2.61、1.56。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环保建材部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  <w:t>抽查：定量包装称，型号：LCS-25-DL，出厂编号;CE11001-WCL.BU-1-B,检定有效期：2021-6-27，正在联系接受。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聚乙烯醇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运行部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装置、主要用能设备边界输出计量点界定内容不全。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聚乙烯醇</w:t>
            </w:r>
          </w:p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运行部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20" w:after="48" w:line="360" w:lineRule="exact"/>
              <w:jc w:val="both"/>
              <w:rPr>
                <w:rFonts w:hint="default" w:ascii="方正仿宋简体" w:hAnsi="Times New Roman" w:eastAsia="方正仿宋简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  <w:t>抽查聚乙烯醇能源评审报告中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“表3-2  车间用能趋势分析”，实际值与基准值倒置。</w:t>
            </w:r>
          </w:p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聚乙烯醇</w:t>
            </w:r>
          </w:p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运行部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  <w:t>抽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</w:rPr>
              <w:t>查：5度离心式冷水机组，位号；C0669721A-C，型号：YKZ1Z2K75DKG，介质：R-134a</w:t>
            </w:r>
            <w:r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  <w:t>负载率%，效率％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聚乙烯醇</w:t>
            </w:r>
          </w:p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运行部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eastAsia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  <w:t>抽查：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</w:rPr>
              <w:t>变压器运行状态能耗测试表，测试时间：2020.05，设备位号：聚乙烯醇三修厂房干变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-SA"/>
              </w:rPr>
              <w:t>设备名称：聚乙烯醇三修厂房干变，设备型号：SCB10-630/10；评价结论：负载率0/630=0％，无结论说明。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聚乙烯醇</w:t>
            </w:r>
          </w:p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运行部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  <w:t>查阅聚乙烯醇装置、水泥装置主要能源使用能源数据收集的计划，未能针对装置的主要能源使用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环保建材部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聚乙烯醇</w:t>
            </w:r>
          </w:p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运行部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C组：王宁敏，专家：刘文清</w:t>
      </w:r>
    </w:p>
    <w:sectPr>
      <w:headerReference r:id="rId3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366395"/>
          <wp:effectExtent l="0" t="0" r="0" b="14605"/>
          <wp:wrapTight wrapText="bothSides">
            <wp:wrapPolygon>
              <wp:start x="5617" y="0"/>
              <wp:lineTo x="0" y="3594"/>
              <wp:lineTo x="0" y="16621"/>
              <wp:lineTo x="6420" y="21113"/>
              <wp:lineTo x="9630" y="21113"/>
              <wp:lineTo x="14445" y="21113"/>
              <wp:lineTo x="14846" y="21113"/>
              <wp:lineTo x="20463" y="14824"/>
              <wp:lineTo x="20864" y="8086"/>
              <wp:lineTo x="20864" y="5840"/>
              <wp:lineTo x="17654" y="2246"/>
              <wp:lineTo x="14445" y="0"/>
              <wp:lineTo x="5617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4097" o:spid="_x0000_s4097" o:spt="32" type="#_x0000_t32" style="position:absolute;left:0pt;margin-left:-0.05pt;margin-top:14.4pt;height:0pt;width:489.05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文本框 1" o:spid="_x0000_s4098" o:spt="202" type="#_x0000_t202" style="position:absolute;left:0pt;margin-left:314.05pt;margin-top:2.2pt;height:19.9pt;width:168.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7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ED9"/>
    <w:rsid w:val="00030372"/>
    <w:rsid w:val="001C322F"/>
    <w:rsid w:val="001C7C38"/>
    <w:rsid w:val="002360FB"/>
    <w:rsid w:val="00286528"/>
    <w:rsid w:val="002B50AB"/>
    <w:rsid w:val="00320292"/>
    <w:rsid w:val="003554CC"/>
    <w:rsid w:val="00363860"/>
    <w:rsid w:val="003A1E98"/>
    <w:rsid w:val="00445988"/>
    <w:rsid w:val="004A3264"/>
    <w:rsid w:val="004C37F4"/>
    <w:rsid w:val="00724C03"/>
    <w:rsid w:val="007566E2"/>
    <w:rsid w:val="008F0784"/>
    <w:rsid w:val="009B6A69"/>
    <w:rsid w:val="00A74EE1"/>
    <w:rsid w:val="00A94947"/>
    <w:rsid w:val="00AF024F"/>
    <w:rsid w:val="00BC32FF"/>
    <w:rsid w:val="00C57ED9"/>
    <w:rsid w:val="00C613FF"/>
    <w:rsid w:val="00CB2653"/>
    <w:rsid w:val="00D043C8"/>
    <w:rsid w:val="00D2766E"/>
    <w:rsid w:val="00D55BF5"/>
    <w:rsid w:val="00E46927"/>
    <w:rsid w:val="00E6167F"/>
    <w:rsid w:val="00F265FD"/>
    <w:rsid w:val="00F52BDE"/>
    <w:rsid w:val="00F65B2E"/>
    <w:rsid w:val="00FA3EAC"/>
    <w:rsid w:val="048802EC"/>
    <w:rsid w:val="12874DDD"/>
    <w:rsid w:val="155A1F51"/>
    <w:rsid w:val="25F843CC"/>
    <w:rsid w:val="37FE55FD"/>
    <w:rsid w:val="393105FB"/>
    <w:rsid w:val="4C6A08C5"/>
    <w:rsid w:val="5EBA16E7"/>
    <w:rsid w:val="5FC11684"/>
    <w:rsid w:val="6722084D"/>
    <w:rsid w:val="70D8031C"/>
    <w:rsid w:val="79670132"/>
    <w:rsid w:val="7A9F2B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表头"/>
    <w:basedOn w:val="1"/>
    <w:next w:val="1"/>
    <w:qFormat/>
    <w:uiPriority w:val="99"/>
    <w:pPr>
      <w:spacing w:beforeLines="50" w:afterLines="20"/>
      <w:jc w:val="center"/>
      <w:textAlignment w:val="center"/>
    </w:pPr>
    <w:rPr>
      <w:rFonts w:ascii="宋体" w:hAnsi="宋体"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王宁敏</cp:lastModifiedBy>
  <dcterms:modified xsi:type="dcterms:W3CDTF">2021-08-04T07:56:04Z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