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425"/>
        <w:gridCol w:w="1106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425"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1063" w:type="dxa"/>
            <w:vAlign w:val="center"/>
          </w:tcPr>
          <w:p>
            <w:pPr>
              <w:rPr>
                <w:rFonts w:hint="default"/>
                <w:color w:val="auto"/>
                <w:lang w:val="en-US" w:eastAsia="zh-CN"/>
              </w:rPr>
            </w:pPr>
            <w:r>
              <w:rPr>
                <w:rFonts w:hint="eastAsia"/>
                <w:color w:val="auto"/>
                <w:sz w:val="24"/>
                <w:szCs w:val="24"/>
              </w:rPr>
              <w:t>受审核部门：</w:t>
            </w:r>
            <w:r>
              <w:rPr>
                <w:rFonts w:hint="eastAsia" w:ascii="宋体" w:hAnsi="宋体"/>
                <w:color w:val="auto"/>
                <w:lang w:val="en-US" w:eastAsia="zh-CN"/>
              </w:rPr>
              <w:t>管理层</w:t>
            </w:r>
            <w:r>
              <w:rPr>
                <w:rFonts w:hint="eastAsia" w:ascii="宋体" w:hAnsi="宋体"/>
                <w:color w:val="auto"/>
              </w:rPr>
              <w:t>、</w:t>
            </w:r>
            <w:r>
              <w:rPr>
                <w:rFonts w:hint="default"/>
                <w:color w:val="auto"/>
                <w:lang w:val="en-US" w:eastAsia="zh-CN"/>
              </w:rPr>
              <w:t>综合部、技术部</w:t>
            </w:r>
          </w:p>
          <w:p>
            <w:pPr>
              <w:rPr>
                <w:rFonts w:hint="default"/>
                <w:color w:val="auto"/>
                <w:sz w:val="24"/>
                <w:szCs w:val="24"/>
                <w:lang w:val="en-US"/>
              </w:rPr>
            </w:pPr>
            <w:r>
              <w:rPr>
                <w:rFonts w:hint="eastAsia"/>
                <w:color w:val="auto"/>
                <w:sz w:val="24"/>
                <w:szCs w:val="24"/>
              </w:rPr>
              <w:t>主管领导/陪同人员：</w:t>
            </w:r>
            <w:r>
              <w:rPr>
                <w:rFonts w:hint="eastAsia"/>
              </w:rPr>
              <w:t>陈静</w:t>
            </w:r>
            <w:r>
              <w:rPr>
                <w:rFonts w:hint="eastAsia"/>
                <w:lang w:val="en-US" w:eastAsia="zh-CN"/>
              </w:rPr>
              <w:t xml:space="preserve"> </w:t>
            </w:r>
            <w:r>
              <w:rPr>
                <w:rFonts w:hint="eastAsia" w:ascii="宋体" w:hAnsi="宋体" w:eastAsia="宋体" w:cs="宋体"/>
                <w:color w:val="auto"/>
                <w:kern w:val="0"/>
                <w:sz w:val="21"/>
                <w:szCs w:val="21"/>
                <w:lang w:val="en-US" w:eastAsia="zh-CN" w:bidi="ar"/>
              </w:rPr>
              <w:t>/</w:t>
            </w:r>
            <w:r>
              <w:rPr>
                <w:rFonts w:hint="eastAsia"/>
              </w:rPr>
              <w:t>徐俊南</w:t>
            </w:r>
          </w:p>
        </w:tc>
        <w:tc>
          <w:tcPr>
            <w:tcW w:w="106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425" w:type="dxa"/>
            <w:vMerge w:val="continue"/>
            <w:vAlign w:val="center"/>
          </w:tcPr>
          <w:p>
            <w:pPr>
              <w:rPr>
                <w:color w:val="auto"/>
              </w:rPr>
            </w:pPr>
          </w:p>
        </w:tc>
        <w:tc>
          <w:tcPr>
            <w:tcW w:w="11063"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sz w:val="18"/>
                <w:szCs w:val="18"/>
                <w:lang w:val="en-US" w:eastAsia="zh-CN"/>
              </w:rPr>
              <w:t>李京田 朱晓丽</w:t>
            </w:r>
            <w:r>
              <w:rPr>
                <w:rFonts w:hint="eastAsia"/>
                <w:color w:val="auto"/>
              </w:rPr>
              <w:t xml:space="preserve">   </w:t>
            </w:r>
            <w:r>
              <w:rPr>
                <w:rFonts w:hint="eastAsia"/>
                <w:color w:val="auto"/>
                <w:sz w:val="24"/>
                <w:szCs w:val="24"/>
              </w:rPr>
              <w:t xml:space="preserve">      审核时间：20</w:t>
            </w:r>
            <w:r>
              <w:rPr>
                <w:rFonts w:hint="eastAsia"/>
                <w:color w:val="auto"/>
                <w:sz w:val="24"/>
                <w:szCs w:val="24"/>
                <w:lang w:val="en-US" w:eastAsia="zh-CN"/>
              </w:rPr>
              <w:t>21.8.4</w:t>
            </w:r>
          </w:p>
        </w:tc>
        <w:tc>
          <w:tcPr>
            <w:tcW w:w="10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425" w:type="dxa"/>
            <w:vMerge w:val="continue"/>
            <w:vAlign w:val="center"/>
          </w:tcPr>
          <w:p>
            <w:pPr>
              <w:rPr>
                <w:color w:val="auto"/>
              </w:rPr>
            </w:pPr>
          </w:p>
        </w:tc>
        <w:tc>
          <w:tcPr>
            <w:tcW w:w="11063" w:type="dxa"/>
            <w:vAlign w:val="center"/>
          </w:tcPr>
          <w:p>
            <w:pPr>
              <w:rPr>
                <w:color w:val="auto"/>
                <w:sz w:val="24"/>
                <w:szCs w:val="24"/>
              </w:rPr>
            </w:pPr>
            <w:r>
              <w:rPr>
                <w:rFonts w:hint="eastAsia"/>
                <w:color w:val="auto"/>
                <w:sz w:val="24"/>
                <w:szCs w:val="24"/>
              </w:rPr>
              <w:t>审核条款：</w:t>
            </w:r>
          </w:p>
        </w:tc>
        <w:tc>
          <w:tcPr>
            <w:tcW w:w="10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numPr>
                <w:ilvl w:val="0"/>
                <w:numId w:val="1"/>
              </w:numPr>
              <w:shd w:val="clear" w:color="auto" w:fill="FFFFFF"/>
              <w:spacing w:line="400" w:lineRule="exact"/>
              <w:rPr>
                <w:rFonts w:ascii="宋体" w:hAnsi="宋体" w:cs="宋体"/>
                <w:bCs/>
                <w:color w:val="auto"/>
                <w:szCs w:val="21"/>
              </w:rPr>
            </w:pPr>
            <w:r>
              <w:rPr>
                <w:rFonts w:hint="eastAsia" w:ascii="宋体" w:hAnsi="宋体" w:cs="宋体"/>
                <w:bCs/>
                <w:color w:val="auto"/>
                <w:szCs w:val="21"/>
              </w:rPr>
              <w:t>营业执照、资质、组织机构代码等原件的确认；</w:t>
            </w: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shd w:val="clear" w:color="auto" w:fill="FFFFFF"/>
              <w:spacing w:line="400" w:lineRule="exact"/>
              <w:rPr>
                <w:rFonts w:ascii="宋体" w:hAnsi="宋体" w:cs="宋体"/>
                <w:bCs/>
                <w:color w:val="auto"/>
                <w:szCs w:val="21"/>
              </w:rPr>
            </w:pPr>
            <w:r>
              <w:rPr>
                <w:rFonts w:hint="eastAsia" w:ascii="宋体" w:hAnsi="宋体" w:cs="宋体"/>
                <w:bCs/>
                <w:color w:val="auto"/>
                <w:szCs w:val="21"/>
              </w:rPr>
              <w:t>审核范围的确认；</w:t>
            </w:r>
          </w:p>
          <w:p>
            <w:pPr>
              <w:pStyle w:val="2"/>
              <w:rPr>
                <w:rFonts w:ascii="宋体" w:hAnsi="宋体" w:cs="宋体"/>
                <w:color w:val="auto"/>
                <w:szCs w:val="21"/>
              </w:rPr>
            </w:pPr>
          </w:p>
          <w:p>
            <w:pPr>
              <w:rPr>
                <w:color w:val="auto"/>
              </w:rPr>
            </w:pPr>
          </w:p>
        </w:tc>
        <w:tc>
          <w:tcPr>
            <w:tcW w:w="425" w:type="dxa"/>
          </w:tcPr>
          <w:p>
            <w:pPr>
              <w:rPr>
                <w:color w:val="auto"/>
              </w:rPr>
            </w:pPr>
          </w:p>
        </w:tc>
        <w:tc>
          <w:tcPr>
            <w:tcW w:w="11063" w:type="dxa"/>
          </w:tcPr>
          <w:p>
            <w:pPr>
              <w:rPr>
                <w:rFonts w:hint="eastAsia"/>
                <w:lang w:val="zh-CN"/>
              </w:rPr>
            </w:pPr>
            <w:bookmarkStart w:id="0" w:name="组织名称"/>
            <w:r>
              <w:rPr>
                <w:color w:val="000000"/>
                <w:szCs w:val="21"/>
              </w:rPr>
              <w:t>北京中诚天安咨询有限</w:t>
            </w:r>
            <w:r>
              <w:rPr>
                <w:rFonts w:hint="eastAsia"/>
                <w:lang w:val="zh-CN"/>
              </w:rPr>
              <w:t>公司</w:t>
            </w:r>
            <w:bookmarkEnd w:id="0"/>
            <w:r>
              <w:rPr>
                <w:rFonts w:hint="eastAsia"/>
                <w:lang w:val="zh-CN"/>
              </w:rPr>
              <w:t>，2018年07月31日成立，法人代表：</w:t>
            </w:r>
            <w:r>
              <w:rPr>
                <w:rFonts w:hint="eastAsia" w:ascii="微软雅黑" w:hAnsi="微软雅黑" w:eastAsia="微软雅黑" w:cs="微软雅黑"/>
                <w:i w:val="0"/>
                <w:iCs w:val="0"/>
                <w:caps w:val="0"/>
                <w:color w:val="444444"/>
                <w:spacing w:val="0"/>
                <w:sz w:val="14"/>
                <w:szCs w:val="14"/>
                <w:shd w:val="clear" w:fill="F5FBFF"/>
              </w:rPr>
              <w:t>江珊</w:t>
            </w:r>
            <w:r>
              <w:rPr>
                <w:rFonts w:hint="eastAsia"/>
                <w:lang w:val="zh-CN"/>
              </w:rPr>
              <w:t>。</w:t>
            </w:r>
          </w:p>
          <w:p>
            <w:pPr>
              <w:rPr>
                <w:rFonts w:hint="eastAsia"/>
                <w:lang w:val="zh-CN"/>
              </w:rPr>
            </w:pPr>
            <w:r>
              <w:rPr>
                <w:rFonts w:hint="eastAsia"/>
                <w:lang w:val="zh-CN"/>
              </w:rPr>
              <w:t>注册地址：</w:t>
            </w:r>
            <w:bookmarkStart w:id="1" w:name="注册地址"/>
            <w:r>
              <w:t>北京市朝阳区三间房村185号2号楼一层107</w:t>
            </w:r>
            <w:bookmarkEnd w:id="1"/>
          </w:p>
          <w:p>
            <w:pPr>
              <w:rPr>
                <w:rFonts w:hint="eastAsia"/>
                <w:color w:val="FF0000"/>
                <w:szCs w:val="21"/>
                <w:lang w:val="en-US" w:eastAsia="zh-CN"/>
              </w:rPr>
            </w:pPr>
            <w:r>
              <w:rPr>
                <w:rFonts w:hint="eastAsia"/>
                <w:lang w:val="zh-CN"/>
              </w:rPr>
              <w:t>生产经营地址：</w:t>
            </w:r>
            <w:r>
              <w:rPr>
                <w:rFonts w:hint="eastAsia"/>
                <w:color w:val="FF0000"/>
                <w:szCs w:val="21"/>
                <w:lang w:val="en-US" w:eastAsia="zh-CN"/>
              </w:rPr>
              <w:t>北京市朝阳区大屯街道大屯里317号楼6层1单元609</w:t>
            </w:r>
          </w:p>
          <w:p>
            <w:pPr>
              <w:rPr>
                <w:rFonts w:hint="eastAsia" w:ascii="Arial" w:hAnsi="Arial" w:cs="Arial"/>
                <w:color w:val="000000"/>
                <w:kern w:val="0"/>
                <w:szCs w:val="21"/>
              </w:rPr>
            </w:pPr>
            <w:r>
              <w:rPr>
                <w:rFonts w:hint="eastAsia"/>
              </w:rPr>
              <w:t>营业执照经营范围：</w:t>
            </w:r>
            <w:r>
              <w:rPr>
                <w:rFonts w:hint="eastAsia"/>
                <w:lang w:val="zh-CN"/>
              </w:rPr>
              <w:t>经营范围包括经济贸易咨询；企业管理咨询；技术咨询；工程招标代理；工程监理服务；房地产信息咨询；出租商业用房；体育运动项目经营（高危险性体育项目除外）</w:t>
            </w:r>
            <w:r>
              <w:rPr>
                <w:rFonts w:hint="eastAsia" w:ascii="Arial" w:hAnsi="Arial" w:cs="Arial"/>
                <w:color w:val="000000"/>
                <w:kern w:val="0"/>
                <w:szCs w:val="21"/>
              </w:rPr>
              <w:t>）</w:t>
            </w:r>
          </w:p>
          <w:p>
            <w:pPr>
              <w:rPr>
                <w:rFonts w:hint="eastAsia" w:ascii="Arial" w:hAnsi="Arial" w:cs="Arial"/>
                <w:color w:val="000000"/>
                <w:kern w:val="0"/>
                <w:szCs w:val="21"/>
              </w:rPr>
            </w:pPr>
          </w:p>
          <w:p>
            <w:pPr>
              <w:rPr>
                <w:rFonts w:hint="eastAsia"/>
                <w:color w:val="000000"/>
                <w:szCs w:val="21"/>
              </w:rPr>
            </w:pPr>
            <w:r>
              <w:rPr>
                <w:rFonts w:hint="eastAsia" w:ascii="Arial" w:hAnsi="Arial" w:cs="Arial"/>
                <w:color w:val="000000"/>
                <w:kern w:val="0"/>
                <w:szCs w:val="21"/>
              </w:rPr>
              <w:t>目前</w:t>
            </w:r>
            <w:r>
              <w:rPr>
                <w:rFonts w:hint="eastAsia" w:ascii="Arial" w:hAnsi="Arial" w:cs="Arial"/>
                <w:color w:val="000000"/>
                <w:kern w:val="0"/>
                <w:szCs w:val="21"/>
                <w:lang w:val="en-US" w:eastAsia="zh-CN"/>
              </w:rPr>
              <w:t>业务</w:t>
            </w:r>
            <w:r>
              <w:rPr>
                <w:rFonts w:hint="eastAsia" w:ascii="Arial" w:hAnsi="Arial" w:cs="Arial"/>
                <w:color w:val="000000"/>
                <w:kern w:val="0"/>
                <w:szCs w:val="21"/>
              </w:rPr>
              <w:t>范围：</w:t>
            </w:r>
            <w:r>
              <w:rPr>
                <w:rFonts w:hint="eastAsia" w:ascii="宋体" w:hAnsi="宋体"/>
                <w:szCs w:val="21"/>
              </w:rPr>
              <w:t>资质范围内工程造价咨询；招标代理</w:t>
            </w:r>
          </w:p>
          <w:p>
            <w:pPr>
              <w:spacing w:line="440" w:lineRule="exact"/>
              <w:rPr>
                <w:rFonts w:hint="eastAsia"/>
              </w:rPr>
            </w:pPr>
            <w:r>
              <w:rPr>
                <w:rFonts w:hint="eastAsia"/>
                <w:color w:val="000000"/>
                <w:szCs w:val="21"/>
              </w:rPr>
              <w:t>工程造价咨询资质证书：乙 002111000771</w:t>
            </w:r>
            <w:r>
              <w:rPr>
                <w:rFonts w:hint="eastAsia"/>
                <w:color w:val="000000"/>
                <w:szCs w:val="21"/>
                <w:lang w:val="en-US" w:eastAsia="zh-CN"/>
              </w:rPr>
              <w:t xml:space="preserve">  </w:t>
            </w:r>
            <w:r>
              <w:rPr>
                <w:rFonts w:hint="eastAsia"/>
                <w:color w:val="000000"/>
                <w:szCs w:val="21"/>
              </w:rPr>
              <w:t>有效期：2022.6.09</w:t>
            </w:r>
          </w:p>
          <w:p>
            <w:pPr>
              <w:rPr>
                <w:rFonts w:hint="eastAsia"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认证范围：</w:t>
            </w:r>
          </w:p>
          <w:p>
            <w:pPr>
              <w:rPr>
                <w:rFonts w:hint="eastAsia"/>
                <w:color w:val="000000"/>
                <w:szCs w:val="21"/>
              </w:rPr>
            </w:pPr>
            <w:bookmarkStart w:id="2" w:name="审核范围"/>
            <w:r>
              <w:rPr>
                <w:rFonts w:hint="eastAsia" w:ascii="宋体" w:hAnsi="宋体"/>
                <w:szCs w:val="21"/>
              </w:rPr>
              <w:t>Q：资质范围内工程造价咨询；招标代理</w:t>
            </w:r>
          </w:p>
          <w:p>
            <w:pPr>
              <w:rPr>
                <w:rFonts w:hint="eastAsia" w:ascii="宋体" w:hAnsi="宋体"/>
                <w:szCs w:val="21"/>
              </w:rPr>
            </w:pPr>
            <w:r>
              <w:rPr>
                <w:rFonts w:hint="eastAsia" w:ascii="宋体" w:hAnsi="宋体"/>
                <w:szCs w:val="21"/>
              </w:rPr>
              <w:t>E：资质范围内工程造价咨询；招标代理所涉及场所的相关环境管理活动</w:t>
            </w:r>
          </w:p>
          <w:p>
            <w:pPr>
              <w:rPr>
                <w:rFonts w:hint="eastAsia" w:ascii="宋体" w:hAnsi="宋体"/>
                <w:szCs w:val="21"/>
              </w:rPr>
            </w:pPr>
            <w:r>
              <w:rPr>
                <w:rFonts w:hint="eastAsia" w:ascii="宋体" w:hAnsi="宋体"/>
                <w:szCs w:val="21"/>
              </w:rPr>
              <w:t>O：资质范围内工程造价咨询；招标代理所涉及场所的相关职业健康安全管理活动</w:t>
            </w:r>
            <w:bookmarkEnd w:id="2"/>
            <w:r>
              <w:rPr>
                <w:rFonts w:hint="eastAsia" w:ascii="宋体" w:hAnsi="宋体"/>
                <w:szCs w:val="21"/>
              </w:rPr>
              <w:t xml:space="preserve"> </w:t>
            </w:r>
          </w:p>
          <w:p>
            <w:pPr>
              <w:pStyle w:val="2"/>
              <w:rPr>
                <w:rFonts w:hint="eastAsia"/>
              </w:rPr>
            </w:pPr>
          </w:p>
          <w:p>
            <w:pP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组织机构：</w:t>
            </w:r>
            <w:r>
              <w:rPr>
                <w:rFonts w:hint="eastAsia"/>
                <w:lang w:val="en-US" w:eastAsia="zh-CN"/>
              </w:rPr>
              <w:t>招标部、造价部  办公室</w:t>
            </w:r>
            <w:r>
              <w:rPr>
                <w:rFonts w:hint="default"/>
                <w:color w:val="auto"/>
                <w:lang w:val="en-US" w:eastAsia="zh-CN"/>
              </w:rPr>
              <w:t>、</w:t>
            </w:r>
            <w:r>
              <w:rPr>
                <w:rFonts w:hint="eastAsia"/>
                <w:color w:val="auto"/>
                <w:lang w:val="en-US" w:eastAsia="zh-CN"/>
              </w:rPr>
              <w:t>管理层</w:t>
            </w:r>
          </w:p>
          <w:p>
            <w:pPr>
              <w:rPr>
                <w:rFonts w:hint="eastAsia" w:eastAsia="宋体" w:asciiTheme="minorEastAsia" w:hAnsiTheme="minorEastAsia" w:cstheme="minorEastAsia"/>
                <w:color w:val="auto"/>
                <w:szCs w:val="21"/>
                <w:lang w:eastAsia="zh-CN"/>
              </w:rPr>
            </w:pPr>
            <w:r>
              <w:rPr>
                <w:rFonts w:hint="eastAsia" w:asciiTheme="minorEastAsia" w:hAnsiTheme="minorEastAsia" w:eastAsiaTheme="minorEastAsia" w:cstheme="minorEastAsia"/>
                <w:color w:val="auto"/>
                <w:szCs w:val="21"/>
              </w:rPr>
              <w:t>认证范围在经营范围内。</w:t>
            </w:r>
            <w:r>
              <w:rPr>
                <w:rFonts w:hint="eastAsia" w:ascii="宋体" w:hAnsi="宋体"/>
                <w:b/>
                <w:bCs/>
                <w:color w:val="auto"/>
              </w:rPr>
              <w:t>不适用条款:</w:t>
            </w:r>
            <w:r>
              <w:rPr>
                <w:rFonts w:hint="eastAsia" w:ascii="宋体" w:hAnsi="宋体"/>
                <w:b/>
                <w:bCs/>
                <w:color w:val="auto"/>
                <w:lang w:val="en-US" w:eastAsia="zh-CN"/>
              </w:rPr>
              <w:t>无</w:t>
            </w:r>
          </w:p>
          <w:p>
            <w:pPr>
              <w:rPr>
                <w:rFonts w:ascii="宋体"/>
                <w:color w:val="auto"/>
                <w:szCs w:val="21"/>
              </w:rPr>
            </w:pPr>
            <w:r>
              <w:rPr>
                <w:rFonts w:hint="eastAsia" w:asciiTheme="minorEastAsia" w:hAnsiTheme="minorEastAsia" w:eastAsiaTheme="minorEastAsia" w:cstheme="minorEastAsia"/>
                <w:color w:val="auto"/>
                <w:szCs w:val="21"/>
              </w:rPr>
              <w:t>查国家企业信用信息公示系统，企业无异常经营记录、无违法失信记录。</w:t>
            </w:r>
          </w:p>
          <w:p>
            <w:pPr>
              <w:pStyle w:val="2"/>
              <w:rPr>
                <w:rFonts w:hint="default"/>
                <w:lang w:val="en-US" w:eastAsia="zh-CN"/>
              </w:rPr>
            </w:pPr>
            <w:r>
              <w:rPr>
                <w:rFonts w:hint="eastAsia" w:asciiTheme="minorEastAsia" w:hAnsiTheme="minorEastAsia" w:eastAsiaTheme="minorEastAsia" w:cstheme="minorEastAsia"/>
                <w:bCs w:val="0"/>
                <w:color w:val="auto"/>
                <w:szCs w:val="21"/>
              </w:rPr>
              <w:t>对于企业的外包过程也进行了充分识别，公司无外包</w:t>
            </w:r>
          </w:p>
          <w:p>
            <w:pPr>
              <w:pStyle w:val="2"/>
              <w:rPr>
                <w:color w:val="auto"/>
              </w:rPr>
            </w:pPr>
          </w:p>
          <w:p>
            <w:pPr>
              <w:pStyle w:val="2"/>
              <w:rPr>
                <w:color w:val="auto"/>
              </w:rPr>
            </w:pP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tcPr>
          <w:p>
            <w:pPr>
              <w:shd w:val="clear" w:color="auto" w:fill="FFFFFF"/>
              <w:spacing w:line="400" w:lineRule="exact"/>
              <w:rPr>
                <w:rFonts w:ascii="宋体" w:hAnsi="宋体" w:cs="宋体"/>
                <w:bCs/>
                <w:color w:val="auto"/>
                <w:szCs w:val="21"/>
              </w:rPr>
            </w:pPr>
            <w:r>
              <w:rPr>
                <w:rFonts w:hint="eastAsia" w:ascii="宋体" w:hAnsi="宋体" w:cs="宋体"/>
                <w:bCs/>
                <w:color w:val="auto"/>
                <w:szCs w:val="21"/>
              </w:rPr>
              <w:t>体系的总体策划及运行情况；管理方针、目标的策划、形成、批准过程及适宜性；</w:t>
            </w:r>
          </w:p>
          <w:p>
            <w:pPr>
              <w:rPr>
                <w:rFonts w:ascii="宋体" w:hAnsi="宋体" w:cs="宋体"/>
                <w:color w:val="auto"/>
                <w:kern w:val="0"/>
                <w:szCs w:val="21"/>
              </w:rPr>
            </w:pPr>
          </w:p>
        </w:tc>
        <w:tc>
          <w:tcPr>
            <w:tcW w:w="425" w:type="dxa"/>
          </w:tcPr>
          <w:p>
            <w:pPr>
              <w:rPr>
                <w:color w:val="auto"/>
              </w:rPr>
            </w:pPr>
          </w:p>
        </w:tc>
        <w:tc>
          <w:tcPr>
            <w:tcW w:w="11063" w:type="dxa"/>
          </w:tcPr>
          <w:p>
            <w:pPr>
              <w:spacing w:line="400" w:lineRule="exact"/>
              <w:ind w:firstLine="210" w:firstLineChars="100"/>
              <w:rPr>
                <w:color w:val="auto"/>
              </w:rPr>
            </w:pPr>
            <w:r>
              <w:rPr>
                <w:rFonts w:hint="eastAsia"/>
                <w:color w:val="auto"/>
              </w:rPr>
              <w:t>组织于20</w:t>
            </w:r>
            <w:r>
              <w:rPr>
                <w:rFonts w:hint="eastAsia"/>
                <w:color w:val="auto"/>
                <w:lang w:val="en-US" w:eastAsia="zh-CN"/>
              </w:rPr>
              <w:t>21.1.10</w:t>
            </w:r>
            <w:r>
              <w:rPr>
                <w:rFonts w:hint="eastAsia"/>
                <w:color w:val="auto"/>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color w:val="auto"/>
              </w:rPr>
            </w:pPr>
            <w:r>
              <w:rPr>
                <w:rFonts w:hint="eastAsia"/>
                <w:color w:val="auto"/>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spacing w:line="400" w:lineRule="exact"/>
              <w:ind w:firstLine="420" w:firstLineChars="200"/>
              <w:rPr>
                <w:color w:val="auto"/>
              </w:rPr>
            </w:pPr>
            <w:r>
              <w:rPr>
                <w:rFonts w:hint="eastAsia"/>
                <w:color w:val="auto"/>
              </w:rPr>
              <w:t>体系从建立至今运行良好，没有变化。</w:t>
            </w:r>
          </w:p>
          <w:p>
            <w:pPr>
              <w:pStyle w:val="2"/>
              <w:rPr>
                <w:color w:val="auto"/>
              </w:rPr>
            </w:pPr>
            <w:r>
              <w:rPr>
                <w:rFonts w:hint="eastAsia"/>
                <w:color w:val="auto"/>
              </w:rPr>
              <w:t>公司的管理方针为：</w:t>
            </w:r>
          </w:p>
          <w:p>
            <w:pPr>
              <w:rPr>
                <w:rFonts w:hint="default"/>
                <w:color w:val="auto"/>
                <w:lang w:val="en-US" w:eastAsia="zh-CN"/>
              </w:rPr>
            </w:pPr>
            <w:r>
              <w:rPr>
                <w:rFonts w:hint="default"/>
                <w:color w:val="auto"/>
                <w:lang w:val="en-US" w:eastAsia="zh-CN"/>
              </w:rPr>
              <w:t>守法诚信追求精品，预防污染保护环境；</w:t>
            </w:r>
          </w:p>
          <w:p>
            <w:pPr>
              <w:rPr>
                <w:rFonts w:hint="default"/>
                <w:color w:val="auto"/>
                <w:lang w:val="en-US" w:eastAsia="zh-CN"/>
              </w:rPr>
            </w:pPr>
            <w:r>
              <w:rPr>
                <w:rFonts w:hint="default"/>
                <w:color w:val="auto"/>
                <w:lang w:val="en-US" w:eastAsia="zh-CN"/>
              </w:rPr>
              <w:t>关爱员工健康安全，持续改进追求卓越。</w:t>
            </w:r>
          </w:p>
          <w:p>
            <w:pPr>
              <w:spacing w:line="400" w:lineRule="exact"/>
              <w:ind w:firstLine="210" w:firstLineChars="100"/>
              <w:rPr>
                <w:rFonts w:hint="eastAsia" w:ascii="Times New Roman" w:hAnsi="Times New Roman" w:eastAsia="宋体" w:cs="Times New Roman"/>
                <w:color w:val="auto"/>
              </w:rPr>
            </w:pPr>
          </w:p>
          <w:p>
            <w:pPr>
              <w:spacing w:line="400" w:lineRule="exact"/>
              <w:ind w:firstLine="210" w:firstLineChars="100"/>
              <w:rPr>
                <w:rFonts w:hint="eastAsia" w:ascii="Times New Roman" w:hAnsi="Times New Roman" w:eastAsia="宋体" w:cs="Times New Roman"/>
                <w:color w:val="auto"/>
              </w:rPr>
            </w:pPr>
            <w:r>
              <w:rPr>
                <w:rFonts w:hint="eastAsia" w:ascii="Times New Roman" w:hAnsi="Times New Roman" w:eastAsia="宋体" w:cs="Times New Roman"/>
                <w:color w:val="auto"/>
              </w:rPr>
              <w:t>制定了本公司的质量、环境和职业健康安全的目标为：</w:t>
            </w:r>
          </w:p>
          <w:p>
            <w:pPr>
              <w:rPr>
                <w:rFonts w:hint="eastAsia"/>
              </w:rPr>
            </w:pPr>
            <w:r>
              <w:rPr>
                <w:rFonts w:hint="eastAsia"/>
              </w:rPr>
              <w:t xml:space="preserve">质量目标： </w:t>
            </w:r>
          </w:p>
          <w:p>
            <w:pPr>
              <w:rPr>
                <w:rFonts w:hint="eastAsia"/>
              </w:rPr>
            </w:pPr>
            <w:r>
              <w:rPr>
                <w:rFonts w:hint="eastAsia"/>
              </w:rPr>
              <w:t>1）服务质量合格率100%</w:t>
            </w:r>
          </w:p>
          <w:p>
            <w:pPr>
              <w:rPr>
                <w:rFonts w:hint="eastAsia"/>
              </w:rPr>
            </w:pPr>
            <w:r>
              <w:rPr>
                <w:rFonts w:hint="eastAsia"/>
              </w:rPr>
              <w:t>2)</w:t>
            </w:r>
            <w:r>
              <w:rPr>
                <w:rFonts w:hint="eastAsia"/>
              </w:rPr>
              <w:tab/>
            </w:r>
            <w:r>
              <w:rPr>
                <w:rFonts w:hint="eastAsia"/>
              </w:rPr>
              <w:t>顾客满意程度95%以上。</w:t>
            </w:r>
          </w:p>
          <w:p>
            <w:pPr>
              <w:rPr>
                <w:rFonts w:hint="eastAsia"/>
              </w:rPr>
            </w:pPr>
            <w:r>
              <w:rPr>
                <w:rFonts w:hint="eastAsia"/>
              </w:rPr>
              <w:t>3)</w:t>
            </w:r>
            <w:r>
              <w:rPr>
                <w:rFonts w:hint="eastAsia"/>
              </w:rPr>
              <w:tab/>
            </w:r>
            <w:r>
              <w:rPr>
                <w:rFonts w:hint="eastAsia"/>
              </w:rPr>
              <w:t>服务按时完成率100%</w:t>
            </w:r>
          </w:p>
          <w:p>
            <w:pPr>
              <w:rPr>
                <w:rFonts w:hint="eastAsia"/>
              </w:rPr>
            </w:pPr>
            <w:r>
              <w:rPr>
                <w:rFonts w:hint="eastAsia"/>
              </w:rPr>
              <w:t xml:space="preserve">    环境目标：1）固体废弃物100%分类，合理处理；</w:t>
            </w:r>
          </w:p>
          <w:p>
            <w:pPr>
              <w:rPr>
                <w:rFonts w:hint="eastAsia"/>
              </w:rPr>
            </w:pPr>
            <w:r>
              <w:rPr>
                <w:rFonts w:hint="eastAsia"/>
              </w:rPr>
              <w:t xml:space="preserve">              2）环境污染事故发生率为零</w:t>
            </w:r>
          </w:p>
          <w:p>
            <w:pPr>
              <w:rPr>
                <w:rFonts w:hint="eastAsia"/>
              </w:rPr>
            </w:pPr>
            <w:r>
              <w:rPr>
                <w:rFonts w:hint="eastAsia"/>
              </w:rPr>
              <w:t xml:space="preserve">    职业健康安全目标和指标：1）各类重伤以上事故发生率为零； </w:t>
            </w:r>
          </w:p>
          <w:p>
            <w:pPr>
              <w:numPr>
                <w:ilvl w:val="0"/>
                <w:numId w:val="2"/>
              </w:numPr>
              <w:ind w:left="3045" w:leftChars="0" w:firstLine="0" w:firstLineChars="0"/>
              <w:rPr>
                <w:rFonts w:hint="eastAsia"/>
              </w:rPr>
            </w:pPr>
            <w:r>
              <w:rPr>
                <w:rFonts w:hint="eastAsia"/>
              </w:rPr>
              <w:t>火灾事故发生率为零。</w:t>
            </w:r>
          </w:p>
          <w:p>
            <w:pPr>
              <w:pStyle w:val="2"/>
              <w:ind w:firstLine="230" w:firstLineChars="100"/>
              <w:rPr>
                <w:rFonts w:hint="default" w:eastAsia="宋体"/>
                <w:color w:val="auto"/>
                <w:lang w:val="en-US" w:eastAsia="zh-CN"/>
              </w:rPr>
            </w:pPr>
            <w:r>
              <w:rPr>
                <w:rFonts w:hint="eastAsia" w:asciiTheme="minorEastAsia" w:hAnsiTheme="minorEastAsia" w:eastAsiaTheme="minorEastAsia" w:cstheme="minorEastAsia"/>
                <w:bCs w:val="0"/>
                <w:color w:val="auto"/>
                <w:szCs w:val="21"/>
                <w:lang w:val="en-US" w:eastAsia="zh-CN"/>
              </w:rPr>
              <w:t>提供受控文件清单：</w:t>
            </w:r>
            <w:r>
              <w:rPr>
                <w:rFonts w:hint="eastAsia" w:asciiTheme="minorEastAsia" w:hAnsiTheme="minorEastAsia" w:eastAsiaTheme="minorEastAsia" w:cstheme="minorEastAsia"/>
                <w:bCs w:val="0"/>
                <w:color w:val="auto"/>
                <w:szCs w:val="21"/>
              </w:rPr>
              <w:t>提供法律法规清单</w:t>
            </w:r>
            <w:r>
              <w:rPr>
                <w:color w:val="auto"/>
              </w:rPr>
              <w:t xml:space="preserve"> </w:t>
            </w:r>
            <w:r>
              <w:rPr>
                <w:rFonts w:hint="eastAsia"/>
                <w:color w:val="auto"/>
              </w:rPr>
              <w:t>，外来文件清单</w:t>
            </w:r>
            <w:r>
              <w:rPr>
                <w:rFonts w:hint="eastAsia"/>
                <w:color w:val="auto"/>
                <w:lang w:eastAsia="zh-CN"/>
              </w:rPr>
              <w:t>：</w:t>
            </w:r>
            <w:r>
              <w:rPr>
                <w:rFonts w:hint="eastAsia"/>
                <w:color w:val="auto"/>
                <w:lang w:val="en-US" w:eastAsia="zh-CN"/>
              </w:rPr>
              <w:t>符合要求</w:t>
            </w:r>
          </w:p>
        </w:tc>
        <w:tc>
          <w:tcPr>
            <w:tcW w:w="1061" w:type="dxa"/>
          </w:tcPr>
          <w:p>
            <w:pPr>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60" w:type="dxa"/>
          </w:tcPr>
          <w:p>
            <w:pPr>
              <w:rPr>
                <w:rFonts w:ascii="宋体" w:hAnsi="宋体" w:cs="宋体"/>
                <w:color w:val="auto"/>
                <w:kern w:val="0"/>
                <w:szCs w:val="21"/>
              </w:rPr>
            </w:pPr>
            <w:r>
              <w:rPr>
                <w:rFonts w:hint="eastAsia" w:ascii="宋体" w:hAnsi="宋体" w:cs="宋体"/>
                <w:color w:val="auto"/>
                <w:szCs w:val="21"/>
              </w:rPr>
              <w:t>内审策划、实施的符合性。</w:t>
            </w:r>
          </w:p>
        </w:tc>
        <w:tc>
          <w:tcPr>
            <w:tcW w:w="425" w:type="dxa"/>
          </w:tcPr>
          <w:p>
            <w:pPr>
              <w:rPr>
                <w:color w:val="auto"/>
              </w:rPr>
            </w:pPr>
          </w:p>
        </w:tc>
        <w:tc>
          <w:tcPr>
            <w:tcW w:w="11063" w:type="dxa"/>
          </w:tcPr>
          <w:p>
            <w:pPr>
              <w:pStyle w:val="2"/>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公司制定《内部审核控制程序 》，提供了《20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年内部审核实施计划》，计划内容有：目的、范围、审核准则、拟审核时间</w:t>
            </w:r>
            <w:r>
              <w:rPr>
                <w:rFonts w:hint="default"/>
                <w:lang w:val="en-US" w:eastAsia="zh-CN"/>
              </w:rPr>
              <w:t>2021年6月19日-20日</w:t>
            </w:r>
            <w:r>
              <w:rPr>
                <w:rFonts w:hint="eastAsia" w:asciiTheme="minorEastAsia" w:hAnsiTheme="minorEastAsia" w:eastAsiaTheme="minorEastAsia" w:cstheme="minorEastAsia"/>
                <w:color w:val="auto"/>
                <w:szCs w:val="21"/>
              </w:rPr>
              <w:t>，拟稿-</w:t>
            </w:r>
            <w:r>
              <w:rPr>
                <w:rFonts w:hint="eastAsia" w:asciiTheme="minorEastAsia" w:hAnsiTheme="minorEastAsia" w:eastAsiaTheme="minorEastAsia" w:cstheme="minorEastAsia"/>
                <w:color w:val="auto"/>
                <w:szCs w:val="21"/>
                <w:lang w:val="en-US" w:eastAsia="zh-CN"/>
              </w:rPr>
              <w:t>办公室</w:t>
            </w:r>
            <w:r>
              <w:rPr>
                <w:rFonts w:hint="eastAsia" w:asciiTheme="minorEastAsia" w:hAnsiTheme="minorEastAsia" w:eastAsiaTheme="minorEastAsia" w:cstheme="minorEastAsia"/>
                <w:color w:val="auto"/>
                <w:szCs w:val="21"/>
              </w:rPr>
              <w:t>， 签发-</w:t>
            </w:r>
            <w:r>
              <w:rPr>
                <w:rFonts w:hint="eastAsia"/>
              </w:rPr>
              <w:t>江珊</w:t>
            </w:r>
            <w:r>
              <w:rPr>
                <w:rFonts w:hint="eastAsia" w:asciiTheme="minorEastAsia" w:hAnsiTheme="minorEastAsia" w:eastAsiaTheme="minorEastAsia" w:cstheme="minorEastAsia"/>
                <w:color w:val="auto"/>
                <w:szCs w:val="21"/>
              </w:rPr>
              <w:t>提供了《内审不合格报告》，不符合和项1个，进行了原因分析并制定纠正措施计划，经过审核组验证，纠正措施有效。</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提供《审核报告》，</w:t>
            </w:r>
            <w:bookmarkStart w:id="3" w:name="_Hlk22415168"/>
            <w:r>
              <w:rPr>
                <w:rFonts w:hint="eastAsia" w:asciiTheme="minorEastAsia" w:hAnsiTheme="minorEastAsia" w:eastAsiaTheme="minorEastAsia" w:cstheme="minorEastAsia"/>
                <w:color w:val="auto"/>
                <w:szCs w:val="21"/>
              </w:rPr>
              <w:t>审核组长：</w:t>
            </w:r>
            <w:r>
              <w:rPr>
                <w:rFonts w:hint="default"/>
                <w:lang w:val="en-US" w:eastAsia="zh-CN"/>
              </w:rPr>
              <w:t>马星旭</w:t>
            </w:r>
            <w:r>
              <w:rPr>
                <w:rFonts w:hint="eastAsia"/>
                <w:color w:val="auto"/>
              </w:rPr>
              <w:t xml:space="preserve"> </w:t>
            </w:r>
            <w:r>
              <w:rPr>
                <w:rFonts w:hint="eastAsia" w:asciiTheme="minorEastAsia" w:hAnsiTheme="minorEastAsia" w:eastAsiaTheme="minorEastAsia" w:cstheme="minorEastAsia"/>
                <w:color w:val="auto"/>
                <w:szCs w:val="21"/>
              </w:rPr>
              <w:t>，审核组成员：</w:t>
            </w:r>
            <w:bookmarkEnd w:id="3"/>
            <w:r>
              <w:rPr>
                <w:rFonts w:hint="eastAsia"/>
              </w:rPr>
              <w:t>李娜</w:t>
            </w:r>
          </w:p>
          <w:p>
            <w:pPr>
              <w:spacing w:line="400" w:lineRule="exact"/>
              <w:ind w:firstLine="420" w:firstLineChars="200"/>
              <w:rPr>
                <w:color w:val="auto"/>
              </w:rPr>
            </w:pPr>
            <w:r>
              <w:rPr>
                <w:rFonts w:hint="eastAsia" w:asciiTheme="minorEastAsia" w:hAnsiTheme="minorEastAsia" w:eastAsiaTheme="minorEastAsia" w:cstheme="minorEastAsia"/>
                <w:color w:val="auto"/>
                <w:szCs w:val="21"/>
              </w:rPr>
              <w:t>提供了内审员培训记录，审核员没有审核自己部门工作，具有独立性。</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atLeast"/>
        </w:trPr>
        <w:tc>
          <w:tcPr>
            <w:tcW w:w="2160" w:type="dxa"/>
          </w:tcPr>
          <w:p>
            <w:pPr>
              <w:rPr>
                <w:rFonts w:ascii="宋体" w:hAnsi="宋体" w:cs="宋体"/>
                <w:color w:val="auto"/>
                <w:kern w:val="0"/>
                <w:szCs w:val="21"/>
              </w:rPr>
            </w:pPr>
            <w:r>
              <w:rPr>
                <w:rFonts w:hint="eastAsia" w:ascii="宋体" w:hAnsi="宋体" w:cs="宋体"/>
                <w:bCs/>
                <w:color w:val="auto"/>
                <w:szCs w:val="21"/>
              </w:rPr>
              <w:t>管理评审的策划、实施情况及符合性、有效性</w:t>
            </w:r>
          </w:p>
        </w:tc>
        <w:tc>
          <w:tcPr>
            <w:tcW w:w="425" w:type="dxa"/>
          </w:tcPr>
          <w:p>
            <w:pPr>
              <w:rPr>
                <w:color w:val="auto"/>
              </w:rPr>
            </w:pPr>
          </w:p>
        </w:tc>
        <w:tc>
          <w:tcPr>
            <w:tcW w:w="11063" w:type="dxa"/>
          </w:tcPr>
          <w:p>
            <w:pPr>
              <w:ind w:firstLine="420" w:firstLineChars="200"/>
              <w:rPr>
                <w:color w:val="auto"/>
              </w:rPr>
            </w:pPr>
            <w:r>
              <w:rPr>
                <w:rFonts w:hint="eastAsia"/>
                <w:color w:val="auto"/>
              </w:rPr>
              <w:t>公司于</w:t>
            </w:r>
            <w:bookmarkStart w:id="4" w:name="OLE_LINK1"/>
            <w:r>
              <w:rPr>
                <w:rFonts w:hint="eastAsia"/>
                <w:color w:val="auto"/>
              </w:rPr>
              <w:t>20</w:t>
            </w:r>
            <w:r>
              <w:rPr>
                <w:rFonts w:hint="eastAsia"/>
                <w:color w:val="auto"/>
                <w:lang w:val="en-US" w:eastAsia="zh-CN"/>
              </w:rPr>
              <w:t>21</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30</w:t>
            </w:r>
            <w:r>
              <w:rPr>
                <w:rFonts w:hint="eastAsia"/>
                <w:color w:val="auto"/>
              </w:rPr>
              <w:t>日</w:t>
            </w:r>
            <w:bookmarkEnd w:id="4"/>
            <w:r>
              <w:rPr>
                <w:rFonts w:hint="eastAsia"/>
                <w:color w:val="auto"/>
              </w:rPr>
              <w:t>，依据：GB/T19001-2016\GB/T24001-2016\GB/T</w:t>
            </w:r>
            <w:r>
              <w:rPr>
                <w:rFonts w:hint="eastAsia"/>
                <w:color w:val="auto"/>
                <w:lang w:val="en-US" w:eastAsia="zh-CN"/>
              </w:rPr>
              <w:t>45</w:t>
            </w:r>
            <w:r>
              <w:rPr>
                <w:rFonts w:hint="eastAsia"/>
                <w:color w:val="auto"/>
              </w:rPr>
              <w:t>001-20</w:t>
            </w:r>
            <w:r>
              <w:rPr>
                <w:rFonts w:hint="eastAsia"/>
                <w:color w:val="auto"/>
                <w:lang w:val="en-US" w:eastAsia="zh-CN"/>
              </w:rPr>
              <w:t>20</w:t>
            </w:r>
            <w:r>
              <w:rPr>
                <w:rFonts w:hint="eastAsia"/>
                <w:color w:val="auto"/>
              </w:rPr>
              <w:t>标准进行管理评审。</w:t>
            </w:r>
          </w:p>
          <w:p>
            <w:pPr>
              <w:ind w:firstLine="420" w:firstLineChars="200"/>
              <w:rPr>
                <w:color w:val="auto"/>
              </w:rPr>
            </w:pPr>
            <w:r>
              <w:rPr>
                <w:rFonts w:hint="eastAsia"/>
                <w:color w:val="auto"/>
              </w:rPr>
              <w:t>目前按标准要求平稳运行，至今暂无变更情况发生。</w:t>
            </w:r>
          </w:p>
          <w:p>
            <w:pPr>
              <w:rPr>
                <w:color w:val="auto"/>
              </w:rPr>
            </w:pPr>
            <w:r>
              <w:rPr>
                <w:rFonts w:hint="eastAsia"/>
                <w:color w:val="auto"/>
              </w:rPr>
              <w:t>查阅公司管理评审资料：</w:t>
            </w:r>
          </w:p>
          <w:p>
            <w:pPr>
              <w:rPr>
                <w:color w:val="auto"/>
              </w:rPr>
            </w:pPr>
            <w:r>
              <w:rPr>
                <w:rFonts w:hint="eastAsia"/>
                <w:color w:val="auto"/>
              </w:rPr>
              <w:t>一，</w:t>
            </w:r>
            <w:r>
              <w:rPr>
                <w:rFonts w:hint="eastAsia"/>
                <w:color w:val="auto"/>
                <w:lang w:val="en-US" w:eastAsia="zh-CN"/>
              </w:rPr>
              <w:t>办公室</w:t>
            </w:r>
            <w:r>
              <w:rPr>
                <w:rFonts w:hint="eastAsia"/>
                <w:color w:val="auto"/>
              </w:rPr>
              <w:t>发布管理评审计划， 拟稿-</w:t>
            </w:r>
            <w:r>
              <w:rPr>
                <w:rFonts w:hint="eastAsia"/>
                <w:color w:val="auto"/>
                <w:lang w:val="en-US" w:eastAsia="zh-CN"/>
              </w:rPr>
              <w:t>办公室</w:t>
            </w:r>
            <w:r>
              <w:rPr>
                <w:rFonts w:hint="eastAsia"/>
                <w:color w:val="auto"/>
              </w:rPr>
              <w:t>，批准：</w:t>
            </w:r>
            <w:r>
              <w:rPr>
                <w:rFonts w:hint="eastAsia"/>
              </w:rPr>
              <w:t>江珊</w:t>
            </w:r>
            <w:r>
              <w:rPr>
                <w:rFonts w:hint="eastAsia"/>
                <w:color w:val="auto"/>
              </w:rPr>
              <w:t>，评审方式：会议评审，拟评审时间：20</w:t>
            </w:r>
            <w:r>
              <w:rPr>
                <w:rFonts w:hint="eastAsia"/>
                <w:color w:val="auto"/>
                <w:lang w:val="en-US" w:eastAsia="zh-CN"/>
              </w:rPr>
              <w:t>21</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30</w:t>
            </w:r>
            <w:r>
              <w:rPr>
                <w:rFonts w:hint="eastAsia"/>
                <w:color w:val="auto"/>
              </w:rPr>
              <w:t>日。</w:t>
            </w:r>
          </w:p>
          <w:p>
            <w:pPr>
              <w:rPr>
                <w:color w:val="auto"/>
              </w:rPr>
            </w:pPr>
            <w:r>
              <w:rPr>
                <w:rFonts w:hint="eastAsia"/>
                <w:color w:val="auto"/>
              </w:rPr>
              <w:t>二、管理评审输入：</w:t>
            </w:r>
          </w:p>
          <w:p>
            <w:pPr>
              <w:ind w:firstLine="420" w:firstLineChars="200"/>
              <w:rPr>
                <w:color w:val="auto"/>
              </w:rPr>
            </w:pPr>
            <w:r>
              <w:rPr>
                <w:rFonts w:hint="eastAsia"/>
                <w:color w:val="auto"/>
              </w:rPr>
              <w:t>方针目标适宜性、质量目标的实现程度、体系策划和运行情况、可能的变更、外部供方的绩效、内审情况、顾客满意情况及纠正措施完成情况，应对风险和机遇所采取措施的有效性以及改进的建议等等。</w:t>
            </w:r>
          </w:p>
          <w:p>
            <w:pPr>
              <w:numPr>
                <w:ilvl w:val="0"/>
                <w:numId w:val="3"/>
              </w:numPr>
              <w:rPr>
                <w:color w:val="auto"/>
              </w:rPr>
            </w:pPr>
            <w:r>
              <w:rPr>
                <w:rFonts w:hint="eastAsia"/>
                <w:color w:val="auto"/>
              </w:rPr>
              <w:t>查看“管理评审报告”，报告中对本次管理评审做了总结，评价了公司建立、运行管理体系的效果。</w:t>
            </w:r>
          </w:p>
          <w:p>
            <w:pPr>
              <w:rPr>
                <w:color w:val="auto"/>
              </w:rPr>
            </w:pPr>
            <w:r>
              <w:rPr>
                <w:rFonts w:hint="eastAsia"/>
                <w:color w:val="auto"/>
              </w:rPr>
              <w:t>四、管理评审输出/评审结论：</w:t>
            </w:r>
          </w:p>
          <w:p>
            <w:pPr>
              <w:rPr>
                <w:color w:val="auto"/>
              </w:rPr>
            </w:pPr>
            <w:r>
              <w:rPr>
                <w:rFonts w:hint="eastAsia"/>
                <w:color w:val="auto"/>
              </w:rPr>
              <w:t>通过本次评审，最终得出本公司管理体系是适宜的、充分的、有效的，方针和目标是适宜的和有效的。提出了管理评审改进决议：</w:t>
            </w:r>
            <w:r>
              <w:rPr>
                <w:rFonts w:hint="eastAsia" w:asciiTheme="minorEastAsia" w:hAnsiTheme="minorEastAsia" w:eastAsiaTheme="minorEastAsia" w:cstheme="minorEastAsia"/>
                <w:color w:val="auto"/>
                <w:szCs w:val="21"/>
              </w:rPr>
              <w:t>基本符合。</w:t>
            </w:r>
            <w:r>
              <w:rPr>
                <w:rFonts w:hint="eastAsia" w:ascii="宋体" w:hAnsi="宋体"/>
                <w:color w:val="auto"/>
                <w:szCs w:val="21"/>
              </w:rPr>
              <w:t>。</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jc w:val="left"/>
              <w:rPr>
                <w:rFonts w:ascii="宋体" w:hAnsi="宋体" w:cs="宋体"/>
                <w:color w:val="auto"/>
                <w:szCs w:val="21"/>
              </w:rPr>
            </w:pPr>
            <w:r>
              <w:rPr>
                <w:rFonts w:hint="eastAsia" w:ascii="宋体" w:hAnsi="宋体" w:cs="宋体"/>
                <w:color w:val="auto"/>
                <w:szCs w:val="21"/>
              </w:rPr>
              <w:t>内外部沟通及相关方抱怨、投诉的处理情况。</w:t>
            </w:r>
          </w:p>
          <w:p>
            <w:pPr>
              <w:rPr>
                <w:rFonts w:ascii="宋体" w:hAnsi="宋体" w:cs="宋体"/>
                <w:color w:val="auto"/>
                <w:kern w:val="0"/>
                <w:szCs w:val="21"/>
              </w:rPr>
            </w:pPr>
          </w:p>
        </w:tc>
        <w:tc>
          <w:tcPr>
            <w:tcW w:w="425" w:type="dxa"/>
          </w:tcPr>
          <w:p>
            <w:pPr>
              <w:rPr>
                <w:color w:val="auto"/>
              </w:rPr>
            </w:pPr>
          </w:p>
        </w:tc>
        <w:tc>
          <w:tcPr>
            <w:tcW w:w="11063" w:type="dxa"/>
          </w:tcPr>
          <w:p>
            <w:pPr>
              <w:spacing w:line="400" w:lineRule="exact"/>
              <w:rPr>
                <w:rFonts w:ascii="宋体" w:hAnsi="宋体"/>
                <w:color w:val="auto"/>
                <w:szCs w:val="21"/>
                <w:lang w:val="zh-CN"/>
              </w:rPr>
            </w:pPr>
            <w:r>
              <w:rPr>
                <w:rFonts w:hint="eastAsia" w:ascii="宋体" w:hAnsi="宋体"/>
                <w:color w:val="auto"/>
                <w:szCs w:val="21"/>
                <w:lang w:val="zh-CN"/>
              </w:rPr>
              <w:t>内外部沟通的主要方式为：</w:t>
            </w:r>
          </w:p>
          <w:p>
            <w:pPr>
              <w:spacing w:line="400" w:lineRule="exact"/>
              <w:rPr>
                <w:rFonts w:ascii="宋体" w:hAnsi="宋体"/>
                <w:color w:val="auto"/>
                <w:szCs w:val="21"/>
                <w:lang w:val="zh-CN"/>
              </w:rPr>
            </w:pPr>
            <w:r>
              <w:rPr>
                <w:rFonts w:hint="eastAsia" w:ascii="宋体" w:hAnsi="宋体"/>
                <w:color w:val="auto"/>
                <w:szCs w:val="21"/>
                <w:lang w:val="zh-CN"/>
              </w:rPr>
              <w:t>a)会议形式。如各种例会、协调会、座谈会、评审会和研讨会等；</w:t>
            </w:r>
          </w:p>
          <w:p>
            <w:pPr>
              <w:spacing w:line="400" w:lineRule="exact"/>
              <w:rPr>
                <w:rFonts w:ascii="宋体" w:hAnsi="宋体"/>
                <w:color w:val="auto"/>
                <w:szCs w:val="21"/>
                <w:lang w:val="zh-CN"/>
              </w:rPr>
            </w:pPr>
            <w:r>
              <w:rPr>
                <w:rFonts w:hint="eastAsia" w:ascii="宋体" w:hAnsi="宋体"/>
                <w:color w:val="auto"/>
                <w:szCs w:val="21"/>
                <w:lang w:val="zh-CN"/>
              </w:rPr>
              <w:t>b)文件形式。如工作报告、情况简报、技术服务报告、各种分析报告和布告等；</w:t>
            </w:r>
          </w:p>
          <w:p>
            <w:pPr>
              <w:spacing w:line="400" w:lineRule="exact"/>
              <w:rPr>
                <w:rFonts w:ascii="宋体" w:hAnsi="宋体"/>
                <w:color w:val="auto"/>
                <w:szCs w:val="21"/>
                <w:lang w:val="zh-CN"/>
              </w:rPr>
            </w:pPr>
            <w:r>
              <w:rPr>
                <w:rFonts w:hint="eastAsia" w:ascii="宋体" w:hAnsi="宋体"/>
                <w:color w:val="auto"/>
                <w:szCs w:val="21"/>
                <w:lang w:val="zh-CN"/>
              </w:rPr>
              <w:t>c)电子媒介形式。如录像、广播、信息网络等；</w:t>
            </w:r>
          </w:p>
          <w:p>
            <w:pPr>
              <w:spacing w:line="400" w:lineRule="exact"/>
              <w:rPr>
                <w:rFonts w:ascii="宋体" w:hAnsi="宋体"/>
                <w:color w:val="auto"/>
                <w:szCs w:val="21"/>
                <w:lang w:val="zh-CN"/>
              </w:rPr>
            </w:pPr>
            <w:r>
              <w:rPr>
                <w:rFonts w:hint="eastAsia" w:ascii="宋体" w:hAnsi="宋体"/>
                <w:color w:val="auto"/>
                <w:szCs w:val="21"/>
                <w:lang w:val="zh-CN"/>
              </w:rPr>
              <w:t>d)管理评审及内审；</w:t>
            </w:r>
          </w:p>
          <w:p>
            <w:pPr>
              <w:spacing w:line="400" w:lineRule="exact"/>
              <w:rPr>
                <w:rFonts w:ascii="宋体" w:hAnsi="宋体"/>
                <w:color w:val="auto"/>
                <w:szCs w:val="21"/>
                <w:lang w:val="zh-CN"/>
              </w:rPr>
            </w:pPr>
            <w:r>
              <w:rPr>
                <w:rFonts w:hint="eastAsia" w:ascii="宋体" w:hAnsi="宋体"/>
                <w:color w:val="auto"/>
                <w:szCs w:val="21"/>
                <w:lang w:val="zh-CN"/>
              </w:rPr>
              <w:t>e)谈话交流等方式。</w:t>
            </w:r>
          </w:p>
          <w:p>
            <w:pPr>
              <w:spacing w:line="400" w:lineRule="exact"/>
              <w:ind w:firstLine="420" w:firstLineChars="200"/>
              <w:rPr>
                <w:rFonts w:ascii="宋体" w:hAnsi="宋体"/>
                <w:color w:val="auto"/>
                <w:szCs w:val="21"/>
                <w:lang w:val="zh-CN"/>
              </w:rPr>
            </w:pPr>
            <w:r>
              <w:rPr>
                <w:rFonts w:hint="eastAsia" w:ascii="宋体" w:hAnsi="宋体"/>
                <w:color w:val="auto"/>
                <w:szCs w:val="21"/>
                <w:lang w:val="zh-CN"/>
              </w:rPr>
              <w:t>内部沟通的主要内容为：</w:t>
            </w:r>
          </w:p>
          <w:p>
            <w:pPr>
              <w:spacing w:line="400" w:lineRule="exact"/>
              <w:rPr>
                <w:rFonts w:ascii="宋体" w:hAnsi="宋体"/>
                <w:color w:val="auto"/>
                <w:szCs w:val="21"/>
                <w:lang w:val="zh-CN"/>
              </w:rPr>
            </w:pPr>
            <w:r>
              <w:rPr>
                <w:rFonts w:hint="eastAsia" w:ascii="宋体" w:hAnsi="宋体"/>
                <w:color w:val="auto"/>
                <w:szCs w:val="21"/>
                <w:lang w:val="zh-CN"/>
              </w:rPr>
              <w:t>a)质量管理体系运行状态、业绩及任何需要改进的信息；</w:t>
            </w:r>
          </w:p>
          <w:p>
            <w:pPr>
              <w:spacing w:line="400" w:lineRule="exact"/>
              <w:rPr>
                <w:rFonts w:ascii="宋体" w:hAnsi="宋体"/>
                <w:color w:val="auto"/>
                <w:szCs w:val="21"/>
                <w:lang w:val="zh-CN"/>
              </w:rPr>
            </w:pPr>
            <w:r>
              <w:rPr>
                <w:rFonts w:hint="eastAsia" w:ascii="宋体" w:hAnsi="宋体"/>
                <w:color w:val="auto"/>
                <w:szCs w:val="21"/>
                <w:lang w:val="zh-CN"/>
              </w:rPr>
              <w:t>b)产品要求，特别是顾客要求；</w:t>
            </w:r>
          </w:p>
          <w:p>
            <w:pPr>
              <w:spacing w:line="400" w:lineRule="exact"/>
              <w:rPr>
                <w:rFonts w:ascii="宋体" w:hAnsi="宋体"/>
                <w:color w:val="auto"/>
                <w:szCs w:val="21"/>
                <w:lang w:val="zh-CN"/>
              </w:rPr>
            </w:pPr>
            <w:r>
              <w:rPr>
                <w:rFonts w:hint="eastAsia" w:ascii="宋体" w:hAnsi="宋体"/>
                <w:color w:val="auto"/>
                <w:szCs w:val="21"/>
                <w:lang w:val="zh-CN"/>
              </w:rPr>
              <w:t>c)顾客反馈，包括顾客投诉与抱怨的信息；</w:t>
            </w:r>
          </w:p>
          <w:p>
            <w:pPr>
              <w:spacing w:line="400" w:lineRule="exact"/>
              <w:rPr>
                <w:rFonts w:ascii="宋体" w:hAnsi="宋体"/>
                <w:color w:val="auto"/>
                <w:szCs w:val="21"/>
                <w:lang w:val="zh-CN"/>
              </w:rPr>
            </w:pPr>
            <w:r>
              <w:rPr>
                <w:rFonts w:hint="eastAsia" w:ascii="宋体" w:hAnsi="宋体"/>
                <w:color w:val="auto"/>
                <w:szCs w:val="21"/>
                <w:lang w:val="zh-CN"/>
              </w:rPr>
              <w:t>d)产品的采购、生产、试验、交付、交付后活动等过程和信息；</w:t>
            </w:r>
          </w:p>
          <w:p>
            <w:pPr>
              <w:spacing w:line="400" w:lineRule="exact"/>
              <w:rPr>
                <w:rFonts w:ascii="宋体" w:hAnsi="宋体"/>
                <w:color w:val="auto"/>
                <w:szCs w:val="21"/>
                <w:lang w:val="zh-CN"/>
              </w:rPr>
            </w:pPr>
            <w:r>
              <w:rPr>
                <w:rFonts w:hint="eastAsia" w:ascii="宋体" w:hAnsi="宋体"/>
                <w:color w:val="auto"/>
                <w:szCs w:val="21"/>
                <w:lang w:val="zh-CN"/>
              </w:rPr>
              <w:t>e)质量方针、质量目标，职责、权限和相互关系；</w:t>
            </w:r>
          </w:p>
          <w:p>
            <w:pPr>
              <w:spacing w:line="400" w:lineRule="exact"/>
              <w:rPr>
                <w:rFonts w:ascii="宋体" w:hAnsi="宋体"/>
                <w:color w:val="auto"/>
                <w:szCs w:val="21"/>
                <w:lang w:val="zh-CN"/>
              </w:rPr>
            </w:pPr>
            <w:r>
              <w:rPr>
                <w:rFonts w:hint="eastAsia" w:ascii="宋体" w:hAnsi="宋体"/>
                <w:color w:val="auto"/>
                <w:szCs w:val="21"/>
                <w:lang w:val="zh-CN"/>
              </w:rPr>
              <w:t>f)质量问题的通报与处理等。</w:t>
            </w:r>
          </w:p>
          <w:p>
            <w:pPr>
              <w:spacing w:line="400" w:lineRule="exact"/>
              <w:ind w:firstLine="420" w:firstLineChars="200"/>
              <w:rPr>
                <w:rFonts w:ascii="宋体" w:hAnsi="宋体"/>
                <w:color w:val="auto"/>
                <w:szCs w:val="21"/>
                <w:lang w:val="zh-CN"/>
              </w:rPr>
            </w:pPr>
            <w:r>
              <w:rPr>
                <w:rFonts w:hint="eastAsia" w:ascii="宋体" w:hAnsi="宋体"/>
                <w:color w:val="auto"/>
                <w:szCs w:val="21"/>
                <w:lang w:val="zh-CN"/>
              </w:rPr>
              <w:t>外部沟通的主要内容为：</w:t>
            </w:r>
          </w:p>
          <w:p>
            <w:pPr>
              <w:numPr>
                <w:ilvl w:val="0"/>
                <w:numId w:val="4"/>
              </w:numPr>
              <w:spacing w:line="400" w:lineRule="exact"/>
              <w:rPr>
                <w:rFonts w:ascii="宋体" w:hAnsi="宋体"/>
                <w:color w:val="auto"/>
                <w:szCs w:val="21"/>
                <w:lang w:val="zh-CN"/>
              </w:rPr>
            </w:pPr>
            <w:r>
              <w:rPr>
                <w:rFonts w:hint="eastAsia" w:ascii="宋体" w:hAnsi="宋体"/>
                <w:color w:val="auto"/>
                <w:szCs w:val="21"/>
                <w:lang w:val="zh-CN"/>
              </w:rPr>
              <w:t>法规要求/技术规范要求/上级或行业要求；</w:t>
            </w:r>
            <w:r>
              <w:rPr>
                <w:rFonts w:hint="eastAsia" w:ascii="宋体" w:hAnsi="宋体"/>
                <w:color w:val="auto"/>
                <w:szCs w:val="21"/>
                <w:lang w:val="zh-CN"/>
              </w:rPr>
              <w:br w:type="textWrapping"/>
            </w:r>
            <w:r>
              <w:rPr>
                <w:rFonts w:hint="eastAsia" w:ascii="宋体" w:hAnsi="宋体"/>
                <w:color w:val="auto"/>
                <w:szCs w:val="21"/>
                <w:lang w:val="zh-CN"/>
              </w:rPr>
              <w:t>b)相关方的要求和期望，以及顾客反馈的信息；</w:t>
            </w:r>
            <w:r>
              <w:rPr>
                <w:rFonts w:hint="eastAsia" w:ascii="宋体" w:hAnsi="宋体"/>
                <w:color w:val="auto"/>
                <w:szCs w:val="21"/>
                <w:lang w:val="zh-CN"/>
              </w:rPr>
              <w:br w:type="textWrapping"/>
            </w:r>
            <w:r>
              <w:rPr>
                <w:rFonts w:hint="eastAsia" w:ascii="宋体" w:hAnsi="宋体"/>
                <w:color w:val="auto"/>
                <w:szCs w:val="21"/>
                <w:lang w:val="zh-CN"/>
              </w:rPr>
              <w:t>c)对相关方施加影响；</w:t>
            </w:r>
          </w:p>
          <w:p>
            <w:pPr>
              <w:spacing w:line="400" w:lineRule="exact"/>
              <w:ind w:firstLine="420" w:firstLineChars="200"/>
              <w:rPr>
                <w:color w:val="auto"/>
              </w:rPr>
            </w:pPr>
            <w:r>
              <w:rPr>
                <w:rFonts w:hint="eastAsia" w:ascii="宋体" w:hAnsi="宋体"/>
                <w:color w:val="auto"/>
                <w:szCs w:val="21"/>
                <w:lang w:val="zh-CN"/>
              </w:rPr>
              <w:t>对于承包方，应就影响他们的职业健康安全的变更进行协商。在管理需要时，应就有关的职业健康安全事务与相关的外部相关方进行协商。具体按《信息交流与协商沟通控制程序》要求执行。</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numPr>
                <w:ilvl w:val="0"/>
                <w:numId w:val="5"/>
              </w:numPr>
              <w:spacing w:line="360" w:lineRule="auto"/>
              <w:jc w:val="left"/>
              <w:rPr>
                <w:rFonts w:ascii="宋体" w:hAnsi="宋体" w:cs="宋体"/>
                <w:color w:val="auto"/>
                <w:szCs w:val="21"/>
              </w:rPr>
            </w:pPr>
            <w:r>
              <w:rPr>
                <w:rFonts w:hint="eastAsia" w:ascii="宋体" w:hAnsi="宋体" w:cs="宋体"/>
                <w:color w:val="auto"/>
                <w:szCs w:val="21"/>
              </w:rPr>
              <w:t>财务部资金投入</w:t>
            </w:r>
          </w:p>
          <w:p>
            <w:pPr>
              <w:rPr>
                <w:rFonts w:ascii="宋体" w:hAnsi="宋体" w:cs="宋体"/>
                <w:color w:val="auto"/>
                <w:kern w:val="0"/>
                <w:szCs w:val="21"/>
              </w:rPr>
            </w:pPr>
          </w:p>
        </w:tc>
        <w:tc>
          <w:tcPr>
            <w:tcW w:w="425" w:type="dxa"/>
          </w:tcPr>
          <w:p>
            <w:pPr>
              <w:rPr>
                <w:color w:val="auto"/>
              </w:rPr>
            </w:pPr>
          </w:p>
        </w:tc>
        <w:tc>
          <w:tcPr>
            <w:tcW w:w="11063" w:type="dxa"/>
          </w:tcPr>
          <w:p>
            <w:pPr>
              <w:rPr>
                <w:color w:val="auto"/>
              </w:rPr>
            </w:pPr>
            <w:r>
              <w:rPr>
                <w:rFonts w:hint="eastAsia" w:ascii="宋体" w:hAnsi="宋体"/>
                <w:color w:val="auto"/>
                <w:szCs w:val="21"/>
              </w:rPr>
              <w:t>经与财务部负责人沟通，对环境、职业健康安全目标及管理方案已经进行了资金投入；对公司员工按法律法规要求，缴纳了养老、医疗、意外等社会保险</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kern w:val="0"/>
                <w:szCs w:val="21"/>
              </w:rPr>
            </w:pPr>
            <w:r>
              <w:rPr>
                <w:rFonts w:hint="eastAsia" w:ascii="宋体" w:hAnsi="宋体" w:cs="宋体"/>
                <w:color w:val="auto"/>
                <w:szCs w:val="21"/>
              </w:rPr>
              <w:t>了解产品实现过程的策划、实施和监视测量情况</w:t>
            </w:r>
          </w:p>
        </w:tc>
        <w:tc>
          <w:tcPr>
            <w:tcW w:w="425" w:type="dxa"/>
          </w:tcPr>
          <w:p>
            <w:pPr>
              <w:rPr>
                <w:color w:val="auto"/>
              </w:rPr>
            </w:pPr>
          </w:p>
        </w:tc>
        <w:tc>
          <w:tcPr>
            <w:tcW w:w="11063" w:type="dxa"/>
          </w:tcPr>
          <w:p>
            <w:pPr>
              <w:rPr>
                <w:rFonts w:hint="eastAsia"/>
                <w:bCs/>
                <w:color w:val="auto"/>
                <w:lang w:val="en-US" w:eastAsia="zh-CN"/>
              </w:rPr>
            </w:pPr>
            <w:r>
              <w:rPr>
                <w:rFonts w:hint="eastAsia"/>
              </w:rPr>
              <w:t>工程</w:t>
            </w:r>
            <w:r>
              <w:rPr>
                <w:rFonts w:hint="eastAsia"/>
                <w:lang w:val="en-US" w:eastAsia="zh-CN"/>
              </w:rPr>
              <w:t>造价</w:t>
            </w:r>
            <w:r>
              <w:rPr>
                <w:rFonts w:hint="eastAsia"/>
              </w:rPr>
              <w:t>咨询服务</w:t>
            </w:r>
            <w:r>
              <w:rPr>
                <w:rFonts w:hint="eastAsia"/>
                <w:lang w:val="en-US" w:eastAsia="zh-CN"/>
              </w:rPr>
              <w:t>流</w:t>
            </w:r>
            <w:r>
              <w:rPr>
                <w:rFonts w:hint="eastAsia"/>
                <w:bCs/>
                <w:color w:val="auto"/>
                <w:lang w:val="en-US" w:eastAsia="zh-CN"/>
              </w:rPr>
              <w:t>程：</w:t>
            </w:r>
          </w:p>
          <w:p>
            <w:pPr>
              <w:rPr>
                <w:rFonts w:hint="eastAsia"/>
                <w:bCs/>
                <w:color w:val="auto"/>
                <w:lang w:val="en-US" w:eastAsia="zh-CN"/>
              </w:rPr>
            </w:pPr>
            <w:r>
              <w:rPr>
                <w:rFonts w:hint="eastAsia"/>
                <w:bCs/>
                <w:color w:val="auto"/>
                <w:lang w:val="en-US" w:eastAsia="zh-CN"/>
              </w:rPr>
              <w:t>组建团队—收集项目资料（含现场收集）—梳理分析—工程计量/计价—评审—验收</w:t>
            </w:r>
          </w:p>
          <w:p>
            <w:pPr>
              <w:pStyle w:val="2"/>
              <w:rPr>
                <w:rFonts w:hint="eastAsia" w:ascii="宋体" w:hAnsi="宋体"/>
                <w:color w:val="auto"/>
                <w:szCs w:val="21"/>
              </w:rPr>
            </w:pPr>
            <w:r>
              <w:rPr>
                <w:rFonts w:hint="eastAsia" w:ascii="宋体" w:hAnsi="宋体"/>
                <w:color w:val="auto"/>
                <w:szCs w:val="21"/>
              </w:rPr>
              <w:t>招标代理服务服务流程：</w:t>
            </w:r>
          </w:p>
          <w:p>
            <w:pPr>
              <w:pStyle w:val="2"/>
              <w:rPr>
                <w:rFonts w:hint="eastAsia" w:ascii="宋体" w:hAnsi="宋体"/>
                <w:color w:val="auto"/>
                <w:szCs w:val="21"/>
              </w:rPr>
            </w:pPr>
            <w:bookmarkStart w:id="5" w:name="_Hlk22238300"/>
            <w:r>
              <w:rPr>
                <w:rFonts w:hint="eastAsia" w:ascii="宋体" w:hAnsi="宋体"/>
                <w:color w:val="auto"/>
                <w:szCs w:val="21"/>
              </w:rPr>
              <w:t>签订招投标代理合同→采用公开竞争性谈判采购请示→项目备案→发布公开竞争性谈判公告→竞标单位报名→编制竞争性谈判文件→竞争性谈判文件会审→竞标单位领取竞争性谈判文件→开标→评标→定标→发布成交公示→打印发放成交通知书</w:t>
            </w:r>
          </w:p>
          <w:bookmarkEnd w:id="5"/>
          <w:p>
            <w:pPr>
              <w:spacing w:line="400" w:lineRule="exact"/>
              <w:rPr>
                <w:rFonts w:hint="default" w:ascii="宋体" w:hAnsi="宋体"/>
                <w:color w:val="auto"/>
                <w:szCs w:val="21"/>
                <w:lang w:val="en-US"/>
              </w:rPr>
            </w:pPr>
            <w:r>
              <w:rPr>
                <w:rFonts w:hint="eastAsia" w:ascii="宋体" w:hAnsi="宋体"/>
                <w:color w:val="auto"/>
                <w:szCs w:val="21"/>
                <w:lang w:val="zh-CN"/>
              </w:rPr>
              <w:t>关键过程有：</w:t>
            </w:r>
            <w:r>
              <w:rPr>
                <w:rFonts w:hint="eastAsia" w:ascii="宋体" w:hAnsi="宋体"/>
                <w:color w:val="auto"/>
                <w:szCs w:val="21"/>
                <w:lang w:val="en-US" w:eastAsia="zh-CN"/>
              </w:rPr>
              <w:t>服务过程</w:t>
            </w:r>
          </w:p>
          <w:p>
            <w:pPr>
              <w:spacing w:line="400" w:lineRule="exact"/>
              <w:rPr>
                <w:rFonts w:hint="eastAsia" w:ascii="宋体" w:hAnsi="宋体"/>
                <w:color w:val="auto"/>
                <w:szCs w:val="21"/>
                <w:lang w:val="zh-CN"/>
              </w:rPr>
            </w:pPr>
            <w:r>
              <w:rPr>
                <w:rFonts w:hint="eastAsia" w:ascii="宋体" w:hAnsi="宋体"/>
                <w:color w:val="auto"/>
                <w:szCs w:val="21"/>
                <w:lang w:val="zh-CN"/>
              </w:rPr>
              <w:t>针对关键过程建立的控制文件有：</w:t>
            </w:r>
            <w:r>
              <w:rPr>
                <w:rFonts w:hint="eastAsia" w:ascii="宋体" w:hAnsi="宋体"/>
                <w:color w:val="auto"/>
                <w:szCs w:val="21"/>
                <w:lang w:val="en-US" w:eastAsia="zh-CN"/>
              </w:rPr>
              <w:t>服务</w:t>
            </w:r>
            <w:r>
              <w:rPr>
                <w:rFonts w:hint="eastAsia" w:ascii="宋体" w:hAnsi="宋体"/>
                <w:color w:val="auto"/>
                <w:szCs w:val="21"/>
                <w:lang w:val="zh-CN"/>
              </w:rPr>
              <w:t>控制流程</w:t>
            </w:r>
          </w:p>
          <w:p>
            <w:pPr>
              <w:spacing w:line="400" w:lineRule="exact"/>
              <w:rPr>
                <w:rFonts w:hint="default" w:ascii="宋体" w:hAnsi="宋体"/>
                <w:color w:val="auto"/>
                <w:szCs w:val="21"/>
                <w:lang w:val="en-US"/>
              </w:rPr>
            </w:pPr>
            <w:r>
              <w:rPr>
                <w:rFonts w:hint="eastAsia" w:ascii="宋体" w:hAnsi="宋体"/>
                <w:color w:val="auto"/>
                <w:szCs w:val="21"/>
                <w:lang w:val="zh-CN"/>
              </w:rPr>
              <w:t>需要确认过程：</w:t>
            </w:r>
            <w:r>
              <w:rPr>
                <w:rFonts w:hint="eastAsia" w:ascii="宋体" w:hAnsi="宋体"/>
                <w:color w:val="auto"/>
                <w:szCs w:val="21"/>
                <w:lang w:val="en-US" w:eastAsia="zh-CN"/>
              </w:rPr>
              <w:t>服务过程</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办公设备:电脑/打印机/传真机/电话等。</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本公司无硬件监视与测量设备，</w:t>
            </w:r>
            <w:r>
              <w:rPr>
                <w:rFonts w:hint="eastAsia" w:ascii="宋体" w:hAnsi="宋体" w:cs="Times New Roman"/>
                <w:color w:val="auto"/>
                <w:szCs w:val="21"/>
                <w:lang w:val="en-US" w:eastAsia="zh-CN"/>
              </w:rPr>
              <w:t>造价咨询</w:t>
            </w:r>
            <w:r>
              <w:rPr>
                <w:rFonts w:hint="eastAsia" w:ascii="宋体" w:hAnsi="宋体" w:eastAsia="宋体" w:cs="Times New Roman"/>
                <w:color w:val="auto"/>
                <w:szCs w:val="21"/>
                <w:lang w:val="en-US" w:eastAsia="zh-CN"/>
              </w:rPr>
              <w:t>工具主要有用于设计使用的auto cad；autodesk 3ds max等软件</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环保设施包括：垃圾桶、灭火器；</w:t>
            </w:r>
          </w:p>
          <w:p>
            <w:pPr>
              <w:spacing w:line="400" w:lineRule="exact"/>
              <w:ind w:firstLine="420" w:firstLineChars="200"/>
              <w:rPr>
                <w:color w:val="auto"/>
              </w:rPr>
            </w:pPr>
            <w:r>
              <w:rPr>
                <w:rFonts w:hint="eastAsia" w:ascii="宋体" w:hAnsi="宋体" w:eastAsia="宋体" w:cs="Times New Roman"/>
                <w:color w:val="auto"/>
                <w:szCs w:val="21"/>
                <w:lang w:val="en-US" w:eastAsia="zh-CN"/>
              </w:rPr>
              <w:t>安全设施配置主要有：标识牌、灭火器、消防器材等</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tcPr>
          <w:p>
            <w:pPr>
              <w:rPr>
                <w:rFonts w:ascii="宋体" w:hAnsi="宋体" w:cs="宋体"/>
                <w:color w:val="auto"/>
                <w:szCs w:val="21"/>
              </w:rPr>
            </w:pPr>
            <w:r>
              <w:rPr>
                <w:rFonts w:hint="eastAsia" w:ascii="宋体" w:hAnsi="宋体" w:cs="宋体"/>
                <w:color w:val="auto"/>
                <w:szCs w:val="21"/>
              </w:rPr>
              <w:t>检验人员对产品质量的保障情况，产品放行情况</w:t>
            </w:r>
          </w:p>
        </w:tc>
        <w:tc>
          <w:tcPr>
            <w:tcW w:w="425" w:type="dxa"/>
          </w:tcPr>
          <w:p>
            <w:pPr>
              <w:rPr>
                <w:color w:val="auto"/>
              </w:rPr>
            </w:pPr>
          </w:p>
        </w:tc>
        <w:tc>
          <w:tcPr>
            <w:tcW w:w="11063" w:type="dxa"/>
          </w:tcPr>
          <w:p>
            <w:pPr>
              <w:pStyle w:val="2"/>
              <w:rPr>
                <w:color w:val="auto"/>
              </w:rPr>
            </w:pPr>
            <w:r>
              <w:rPr>
                <w:rFonts w:hint="eastAsia"/>
                <w:color w:val="auto"/>
                <w:szCs w:val="22"/>
              </w:rPr>
              <w:t>监测资源：</w:t>
            </w:r>
            <w:r>
              <w:rPr>
                <w:rFonts w:hint="eastAsia"/>
                <w:color w:val="auto"/>
                <w:szCs w:val="22"/>
                <w:lang w:val="en-US" w:eastAsia="zh-CN"/>
              </w:rPr>
              <w:t>平时的检查、内审、管评</w:t>
            </w:r>
            <w:r>
              <w:rPr>
                <w:rFonts w:hint="eastAsia"/>
                <w:color w:val="auto"/>
              </w:rPr>
              <w:t>等</w:t>
            </w:r>
          </w:p>
          <w:p>
            <w:pPr>
              <w:pStyle w:val="2"/>
              <w:rPr>
                <w:rFonts w:hint="default" w:eastAsia="宋体"/>
                <w:color w:val="auto"/>
                <w:lang w:val="en-US" w:eastAsia="zh-CN"/>
              </w:rPr>
            </w:pPr>
            <w:r>
              <w:rPr>
                <w:rFonts w:hint="eastAsia"/>
                <w:color w:val="auto"/>
                <w:lang w:val="en-US" w:eastAsia="zh-CN"/>
              </w:rPr>
              <w:t>验收</w:t>
            </w:r>
            <w:r>
              <w:rPr>
                <w:rFonts w:hint="eastAsia"/>
                <w:color w:val="auto"/>
              </w:rPr>
              <w:t>报告有：</w:t>
            </w:r>
            <w:r>
              <w:rPr>
                <w:rFonts w:hint="eastAsia"/>
                <w:color w:val="auto"/>
                <w:lang w:val="en-US" w:eastAsia="zh-CN"/>
              </w:rPr>
              <w:t>工程造价报告、中标通知书</w:t>
            </w:r>
            <w:bookmarkStart w:id="6" w:name="_GoBack"/>
            <w:bookmarkEnd w:id="6"/>
          </w:p>
          <w:p>
            <w:pPr>
              <w:pStyle w:val="2"/>
              <w:rPr>
                <w:color w:val="auto"/>
              </w:rPr>
            </w:pPr>
            <w:r>
              <w:rPr>
                <w:rFonts w:hint="eastAsia"/>
                <w:color w:val="auto"/>
              </w:rPr>
              <w:t>二阶段进一步审核</w:t>
            </w:r>
          </w:p>
          <w:p>
            <w:pPr>
              <w:spacing w:line="400" w:lineRule="exact"/>
              <w:rPr>
                <w:rFonts w:ascii="宋体" w:hAnsi="宋体"/>
                <w:color w:val="auto"/>
                <w:szCs w:val="21"/>
              </w:rPr>
            </w:pP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不符合、纠正预防措施的控制与实施的有效性（Q/E/S）；</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企业经过策划，采用对产品的监视和测量，对不合格品控制等来证实产品的符合性。企业通过过程的监视和测量、绩效考核、内审、管理评审等方式和机制，确保质量管理制度有效执行。制定《不合格品控制程序》、《事故、事件、不符合管理程序》和《纠正预防措施控制程序》等，通过分析实际存在的或潜在的不符合的原因，制定纠正和预防措施，并验证其效果，以防止不符合的发生／再发生，实现持续改进绩效的目的。</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 xml:space="preserve">对内审中的不符合，采取了纠正措施，并验证； </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为保证公司职业健康安全管理体系的有效运行，通过对安全事件的调查处理，以确保管理体系运行的有效性。</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经查在公司正常经营活动中，出现了轻微不符合，部门已经采取纠正和纠正措施，经验证纠正措施有效。</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公司未发生过环境、安全等事故。</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了解公司环境因素、危险源的识别、评价和控制情况</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zh-CN"/>
              </w:rPr>
              <w:t>查到</w:t>
            </w:r>
            <w:r>
              <w:rPr>
                <w:rFonts w:hint="eastAsia" w:ascii="宋体" w:hAnsi="宋体" w:eastAsia="宋体" w:cs="Times New Roman"/>
                <w:color w:val="auto"/>
                <w:szCs w:val="21"/>
                <w:lang w:val="en-GB"/>
              </w:rPr>
              <w:t>《应急准备与响应控制程序 》，及《应急预案 》包含有事件级别及不同级别事件的处理程序、事件处理组织机构及职责分工、通用及特殊处理程序、各岗位要求等。具有可操作性。编制：</w:t>
            </w:r>
            <w:r>
              <w:rPr>
                <w:rFonts w:hint="eastAsia" w:ascii="宋体" w:hAnsi="宋体" w:cs="Times New Roman"/>
                <w:color w:val="auto"/>
                <w:szCs w:val="21"/>
                <w:lang w:val="en-US" w:eastAsia="zh-CN"/>
              </w:rPr>
              <w:t>综合部</w:t>
            </w:r>
            <w:r>
              <w:rPr>
                <w:rFonts w:hint="eastAsia" w:ascii="宋体" w:hAnsi="宋体" w:eastAsia="宋体" w:cs="Times New Roman"/>
                <w:color w:val="auto"/>
                <w:szCs w:val="21"/>
                <w:lang w:val="en-GB"/>
              </w:rPr>
              <w:t xml:space="preserve">  </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zh-CN"/>
              </w:rPr>
              <w:t>批准：</w:t>
            </w:r>
            <w:r>
              <w:rPr>
                <w:rFonts w:hint="eastAsia" w:ascii="宋体" w:hAnsi="宋体" w:cs="Times New Roman"/>
                <w:color w:val="auto"/>
                <w:szCs w:val="21"/>
                <w:lang w:val="en-US" w:eastAsia="zh-CN"/>
              </w:rPr>
              <w:t>陈静</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w:t>
            </w:r>
            <w:r>
              <w:rPr>
                <w:rFonts w:hint="eastAsia" w:ascii="宋体" w:hAnsi="宋体" w:eastAsia="宋体" w:cs="Times New Roman"/>
                <w:color w:val="auto"/>
                <w:szCs w:val="21"/>
                <w:lang w:val="en-GB"/>
              </w:rPr>
              <w:t>抽查消防安全应急预案演练记录</w:t>
            </w:r>
            <w:r>
              <w:rPr>
                <w:rFonts w:hint="eastAsia" w:ascii="宋体" w:hAnsi="宋体" w:eastAsia="宋体" w:cs="Times New Roman"/>
                <w:color w:val="auto"/>
                <w:szCs w:val="21"/>
                <w:lang w:val="zh-CN"/>
              </w:rPr>
              <w:t xml:space="preserve">  详见二阶段记录</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运行控制和应急准备与响应活动的符合性（E/S）；</w:t>
            </w:r>
          </w:p>
          <w:p>
            <w:pPr>
              <w:spacing w:line="400" w:lineRule="exact"/>
              <w:ind w:firstLine="420" w:firstLineChars="200"/>
              <w:rPr>
                <w:rFonts w:hint="eastAsia" w:ascii="宋体" w:hAnsi="宋体" w:eastAsia="宋体" w:cs="Times New Roman"/>
                <w:color w:val="auto"/>
                <w:szCs w:val="21"/>
                <w:lang w:val="zh-CN"/>
              </w:rPr>
            </w:pP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执行节能降耗控制程序、固体废弃物控制程序、环境管理控制程序、档案管理制定合同管理制定、印章管理制度、代理工作办法项目管理手册</w:t>
            </w:r>
            <w:r>
              <w:rPr>
                <w:rFonts w:hint="eastAsia" w:ascii="宋体" w:hAnsi="宋体" w:eastAsia="宋体" w:cs="Times New Roman"/>
                <w:color w:val="auto"/>
                <w:szCs w:val="21"/>
                <w:lang w:val="en-GB"/>
              </w:rPr>
              <w:t>、车辆管理规定</w:t>
            </w:r>
            <w:r>
              <w:rPr>
                <w:rFonts w:hint="eastAsia" w:ascii="宋体" w:hAnsi="宋体" w:eastAsia="宋体" w:cs="Times New Roman"/>
                <w:color w:val="auto"/>
                <w:szCs w:val="21"/>
                <w:lang w:val="zh-CN"/>
              </w:rPr>
              <w:t>等。</w:t>
            </w:r>
            <w:r>
              <w:rPr>
                <w:rFonts w:hint="eastAsia" w:ascii="宋体" w:hAnsi="宋体" w:eastAsia="宋体" w:cs="Times New Roman"/>
                <w:color w:val="auto"/>
                <w:szCs w:val="21"/>
                <w:lang w:val="en-GB"/>
              </w:rPr>
              <w:t>办公用品按要求由</w:t>
            </w:r>
            <w:r>
              <w:rPr>
                <w:rFonts w:hint="eastAsia" w:ascii="宋体" w:hAnsi="宋体" w:cs="Times New Roman"/>
                <w:color w:val="auto"/>
                <w:szCs w:val="21"/>
                <w:lang w:val="zh-CN"/>
              </w:rPr>
              <w:t>综合部</w:t>
            </w:r>
            <w:r>
              <w:rPr>
                <w:rFonts w:hint="eastAsia" w:ascii="宋体" w:hAnsi="宋体" w:eastAsia="宋体" w:cs="Times New Roman"/>
                <w:color w:val="auto"/>
                <w:szCs w:val="21"/>
                <w:lang w:val="en-GB"/>
              </w:rPr>
              <w:t>负责发放，作好记录；</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运行控制情况：办公过程注意节约用电，做到人走灯灭，电脑长时间不用时关机，下班前要关闭电源；办公区域内配置的灭火器,在有效期内，</w:t>
            </w:r>
            <w:r>
              <w:rPr>
                <w:rFonts w:hint="eastAsia" w:ascii="宋体" w:hAnsi="宋体" w:eastAsia="宋体" w:cs="Times New Roman"/>
                <w:color w:val="auto"/>
                <w:szCs w:val="21"/>
                <w:lang w:val="zh-CN"/>
              </w:rPr>
              <w:t>办公过程使用的电器如：空调、电脑、灯具均符合安全设计要求，使用过程注意安全，预防触电，工作时间平均每天8小时；</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公司为员工缴纳了养老、工伤、医疗等保险。</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en-GB"/>
              </w:rPr>
              <w:t>提供了缴纳保险的</w:t>
            </w:r>
            <w:r>
              <w:rPr>
                <w:rFonts w:hint="eastAsia" w:ascii="宋体" w:hAnsi="宋体" w:eastAsia="宋体" w:cs="Times New Roman"/>
                <w:color w:val="auto"/>
                <w:szCs w:val="21"/>
                <w:lang w:val="zh-CN"/>
              </w:rPr>
              <w:t>票据及社会保险在职人员信息统计表。</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驾驶员要求遵守道路交通安全法，不违章驾车，驾驶证和车辆定期年审，确保行车安全。</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办公区域现场观察：与质量、环境、职业健康安全有关活动的现场观察</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废水</w:t>
            </w:r>
            <w:r>
              <w:rPr>
                <w:rFonts w:hint="eastAsia" w:ascii="宋体" w:hAnsi="宋体" w:eastAsia="宋体" w:cs="Times New Roman"/>
                <w:color w:val="auto"/>
                <w:szCs w:val="21"/>
                <w:lang w:val="zh-CN" w:eastAsia="zh-CN"/>
              </w:rPr>
              <w:t>：</w:t>
            </w:r>
            <w:r>
              <w:rPr>
                <w:rFonts w:hint="eastAsia" w:ascii="宋体" w:hAnsi="宋体" w:eastAsia="宋体" w:cs="Times New Roman"/>
                <w:color w:val="auto"/>
                <w:szCs w:val="21"/>
                <w:lang w:val="zh-CN"/>
              </w:rPr>
              <w:t>公司的的</w:t>
            </w:r>
            <w:r>
              <w:rPr>
                <w:rFonts w:hint="eastAsia" w:ascii="宋体" w:hAnsi="宋体" w:cs="Times New Roman"/>
                <w:color w:val="auto"/>
                <w:szCs w:val="21"/>
                <w:lang w:val="en-US" w:eastAsia="zh-CN"/>
              </w:rPr>
              <w:t>服务</w:t>
            </w:r>
            <w:r>
              <w:rPr>
                <w:rFonts w:hint="eastAsia" w:ascii="宋体" w:hAnsi="宋体" w:eastAsia="宋体" w:cs="Times New Roman"/>
                <w:color w:val="auto"/>
                <w:szCs w:val="21"/>
                <w:lang w:val="zh-CN"/>
              </w:rPr>
              <w:t>管理不产生废水，办公用水最后排入市政管网。</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废气</w:t>
            </w:r>
            <w:r>
              <w:rPr>
                <w:rFonts w:hint="eastAsia" w:ascii="宋体" w:hAnsi="宋体" w:eastAsia="宋体" w:cs="Times New Roman"/>
                <w:color w:val="auto"/>
                <w:szCs w:val="21"/>
                <w:lang w:val="zh-CN" w:eastAsia="zh-CN"/>
              </w:rPr>
              <w:t>：</w:t>
            </w:r>
            <w:r>
              <w:rPr>
                <w:rFonts w:hint="eastAsia" w:ascii="宋体" w:hAnsi="宋体" w:cs="Times New Roman"/>
                <w:color w:val="auto"/>
                <w:szCs w:val="21"/>
                <w:lang w:val="en-US" w:eastAsia="zh-CN"/>
              </w:rPr>
              <w:t>服务过程</w:t>
            </w:r>
            <w:r>
              <w:rPr>
                <w:rFonts w:hint="eastAsia" w:ascii="宋体" w:hAnsi="宋体" w:eastAsia="宋体" w:cs="Times New Roman"/>
                <w:color w:val="auto"/>
                <w:szCs w:val="21"/>
                <w:lang w:val="zh-CN"/>
              </w:rPr>
              <w:t>管理不产生废气，公司清扫地面及临时场所服务时，有少量的灰尘产生，公司发口罩，对员工进行个体防护</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固废</w:t>
            </w:r>
            <w:r>
              <w:rPr>
                <w:rFonts w:hint="eastAsia" w:ascii="宋体" w:hAnsi="宋体" w:eastAsia="宋体" w:cs="Times New Roman"/>
                <w:color w:val="auto"/>
                <w:szCs w:val="21"/>
                <w:lang w:val="zh-CN" w:eastAsia="zh-CN"/>
              </w:rPr>
              <w:t>：</w:t>
            </w:r>
            <w:r>
              <w:rPr>
                <w:rFonts w:hint="eastAsia" w:ascii="宋体" w:hAnsi="宋体" w:eastAsia="宋体" w:cs="Times New Roman"/>
                <w:color w:val="auto"/>
                <w:szCs w:val="21"/>
                <w:lang w:val="en-US" w:eastAsia="zh-CN"/>
              </w:rPr>
              <w:t>固废为生活固废，现场有固废存放地，积攒一定数量后交环卫部门处理</w:t>
            </w:r>
            <w:r>
              <w:rPr>
                <w:rFonts w:hint="eastAsia" w:ascii="宋体" w:hAnsi="宋体" w:eastAsia="宋体" w:cs="Times New Roman"/>
                <w:color w:val="auto"/>
                <w:szCs w:val="21"/>
                <w:lang w:val="zh-CN"/>
              </w:rPr>
              <w:t>。</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办公墨盒、电池等由厂家回收</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 xml:space="preserve">能源消耗：水电等能源均为办公场所正常使用，在工作过程中注意节约能源，如人走灯灭、电脑不用时关机或待机状态，及时关闭水源开关和电源开关、可回收废弃物和不可回收废弃分开，不可回收废弃物由公司统一组织回收处理； </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危险源：办公区域危险源主要是安全标识不清、电器设备漏电等，均安排专人检查，及时改善，更换危险的电器设备。财务部室外装有摄像头，室内有保险柜，防盗门等安全措施。</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二阶段细查。</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ascii="宋体" w:hAnsi="宋体" w:cs="宋体"/>
                <w:color w:val="auto"/>
                <w:szCs w:val="21"/>
              </w:rPr>
            </w:pPr>
            <w:r>
              <w:rPr>
                <w:rFonts w:hint="eastAsia" w:ascii="宋体" w:hAnsi="宋体" w:cs="宋体"/>
                <w:bCs/>
                <w:color w:val="auto"/>
                <w:szCs w:val="21"/>
              </w:rPr>
              <w:t>近两年公司里管理服务环境和安全等是否有违规被处罚、曝光情况；</w:t>
            </w:r>
          </w:p>
        </w:tc>
        <w:tc>
          <w:tcPr>
            <w:tcW w:w="425" w:type="dxa"/>
          </w:tcPr>
          <w:p>
            <w:pPr>
              <w:rPr>
                <w:color w:val="auto"/>
              </w:rPr>
            </w:pPr>
          </w:p>
        </w:tc>
        <w:tc>
          <w:tcPr>
            <w:tcW w:w="11063" w:type="dxa"/>
          </w:tcPr>
          <w:p>
            <w:pPr>
              <w:spacing w:line="400" w:lineRule="exact"/>
              <w:ind w:firstLine="420" w:firstLineChars="200"/>
              <w:rPr>
                <w:rFonts w:hint="eastAsia" w:ascii="宋体" w:hAnsi="宋体"/>
                <w:color w:val="auto"/>
                <w:szCs w:val="21"/>
              </w:rPr>
            </w:pPr>
          </w:p>
          <w:p>
            <w:pPr>
              <w:spacing w:line="400" w:lineRule="exact"/>
              <w:ind w:firstLine="420" w:firstLineChars="200"/>
              <w:rPr>
                <w:rFonts w:ascii="宋体" w:hAnsi="宋体"/>
                <w:color w:val="auto"/>
                <w:szCs w:val="21"/>
                <w:lang w:val="zh-CN"/>
              </w:rPr>
            </w:pPr>
            <w:r>
              <w:rPr>
                <w:rFonts w:hint="eastAsia" w:ascii="宋体" w:hAnsi="宋体"/>
                <w:color w:val="auto"/>
                <w:szCs w:val="21"/>
              </w:rPr>
              <w:t>经查，</w:t>
            </w:r>
            <w:r>
              <w:rPr>
                <w:rFonts w:hint="eastAsia" w:ascii="宋体" w:hAnsi="宋体"/>
                <w:color w:val="auto"/>
                <w:szCs w:val="21"/>
                <w:lang w:val="zh-CN"/>
              </w:rPr>
              <w:t>近年</w:t>
            </w:r>
            <w:r>
              <w:rPr>
                <w:rFonts w:hint="eastAsia" w:ascii="宋体" w:hAnsi="宋体"/>
                <w:color w:val="auto"/>
                <w:szCs w:val="21"/>
              </w:rPr>
              <w:t>没有发生</w:t>
            </w:r>
            <w:r>
              <w:rPr>
                <w:rFonts w:hint="eastAsia" w:ascii="宋体" w:hAnsi="宋体"/>
                <w:color w:val="auto"/>
                <w:szCs w:val="21"/>
                <w:lang w:val="zh-CN"/>
              </w:rPr>
              <w:t>服务</w:t>
            </w:r>
            <w:r>
              <w:rPr>
                <w:rFonts w:hint="eastAsia" w:ascii="宋体" w:hAnsi="宋体"/>
                <w:color w:val="auto"/>
                <w:szCs w:val="21"/>
                <w:lang w:val="en-US" w:eastAsia="zh-CN"/>
              </w:rPr>
              <w:t>及销售</w:t>
            </w:r>
            <w:r>
              <w:rPr>
                <w:rFonts w:hint="eastAsia" w:ascii="宋体" w:hAnsi="宋体"/>
                <w:color w:val="auto"/>
                <w:szCs w:val="21"/>
                <w:lang w:val="zh-CN"/>
              </w:rPr>
              <w:t>环境和安全等是否有违规被处罚、曝光情况。</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vAlign w:val="top"/>
          </w:tcPr>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是否具备二阶段审核结论</w:t>
            </w:r>
          </w:p>
          <w:p>
            <w:pPr>
              <w:spacing w:line="400" w:lineRule="exact"/>
              <w:ind w:firstLine="420" w:firstLineChars="200"/>
              <w:rPr>
                <w:rFonts w:hint="eastAsia" w:ascii="宋体" w:hAnsi="宋体" w:eastAsia="宋体" w:cs="Times New Roman"/>
                <w:szCs w:val="21"/>
                <w:lang w:val="zh-CN"/>
              </w:rPr>
            </w:pPr>
          </w:p>
          <w:p>
            <w:pPr>
              <w:spacing w:line="400" w:lineRule="exact"/>
              <w:ind w:firstLine="420" w:firstLineChars="200"/>
              <w:rPr>
                <w:rFonts w:hint="eastAsia" w:ascii="宋体" w:hAnsi="宋体" w:eastAsia="宋体" w:cs="Times New Roman"/>
                <w:kern w:val="2"/>
                <w:sz w:val="21"/>
                <w:szCs w:val="21"/>
                <w:lang w:val="zh-CN" w:eastAsia="zh-CN" w:bidi="ar-SA"/>
              </w:rPr>
            </w:pPr>
            <w:r>
              <w:rPr>
                <w:rFonts w:hint="eastAsia" w:ascii="宋体" w:hAnsi="宋体" w:eastAsia="宋体" w:cs="Times New Roman"/>
                <w:szCs w:val="21"/>
                <w:lang w:val="zh-CN"/>
              </w:rPr>
              <w:t>第二阶段重要审核点等相关内容</w:t>
            </w:r>
          </w:p>
        </w:tc>
        <w:tc>
          <w:tcPr>
            <w:tcW w:w="425" w:type="dxa"/>
            <w:vAlign w:val="top"/>
          </w:tcPr>
          <w:p>
            <w:pPr>
              <w:spacing w:line="400" w:lineRule="exact"/>
              <w:ind w:firstLine="420" w:firstLineChars="200"/>
              <w:rPr>
                <w:rFonts w:hint="eastAsia" w:ascii="宋体" w:hAnsi="宋体" w:eastAsia="宋体" w:cs="Times New Roman"/>
                <w:kern w:val="2"/>
                <w:sz w:val="21"/>
                <w:szCs w:val="21"/>
                <w:lang w:val="zh-CN" w:eastAsia="zh-CN" w:bidi="ar-SA"/>
              </w:rPr>
            </w:pPr>
          </w:p>
        </w:tc>
        <w:tc>
          <w:tcPr>
            <w:tcW w:w="11063" w:type="dxa"/>
            <w:vAlign w:val="top"/>
          </w:tcPr>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通过一阶段对受审核方的</w:t>
            </w:r>
            <w:r>
              <w:rPr>
                <w:rFonts w:hint="eastAsia" w:ascii="宋体" w:hAnsi="宋体" w:eastAsia="宋体" w:cs="Times New Roman"/>
                <w:szCs w:val="21"/>
                <w:lang w:val="en-US" w:eastAsia="zh-CN"/>
              </w:rPr>
              <w:t>现场</w:t>
            </w:r>
            <w:r>
              <w:rPr>
                <w:rFonts w:hint="eastAsia" w:ascii="宋体" w:hAnsi="宋体" w:eastAsia="宋体" w:cs="Times New Roman"/>
                <w:szCs w:val="21"/>
                <w:lang w:val="zh-CN"/>
              </w:rPr>
              <w:t>巡视和观察，对管理体系绩效要求有重大影响的过程、活动、场所和现场运行进行观察、巡视及总体性评价，组织具备二阶段审核条件，可进行二阶段审核。</w:t>
            </w:r>
          </w:p>
          <w:p>
            <w:pPr>
              <w:spacing w:line="400" w:lineRule="exact"/>
              <w:ind w:firstLine="420" w:firstLineChars="200"/>
              <w:rPr>
                <w:rFonts w:hint="eastAsia" w:ascii="宋体" w:hAnsi="宋体" w:eastAsia="宋体" w:cs="Times New Roman"/>
                <w:szCs w:val="21"/>
                <w:lang w:val="zh-CN"/>
              </w:rPr>
            </w:pP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二阶段重点审核：</w:t>
            </w:r>
          </w:p>
          <w:p>
            <w:pPr>
              <w:ind w:firstLine="630" w:firstLineChars="300"/>
              <w:rPr>
                <w:rFonts w:hint="eastAsia" w:ascii="宋体" w:hAnsi="宋体" w:eastAsia="宋体" w:cs="Times New Roman"/>
                <w:szCs w:val="21"/>
                <w:lang w:val="zh-CN"/>
              </w:rPr>
            </w:pPr>
            <w:r>
              <w:rPr>
                <w:rFonts w:hint="eastAsia" w:ascii="宋体" w:hAnsi="宋体" w:eastAsia="宋体" w:cs="Times New Roman"/>
                <w:szCs w:val="21"/>
                <w:lang w:val="zh-CN"/>
              </w:rPr>
              <w:t>Q:</w:t>
            </w:r>
            <w:r>
              <w:rPr>
                <w:rFonts w:hint="eastAsia" w:ascii="宋体" w:hAnsi="宋体"/>
                <w:szCs w:val="21"/>
              </w:rPr>
              <w:t>资质范围内工程造价咨询；招标代理</w:t>
            </w:r>
            <w:r>
              <w:rPr>
                <w:rFonts w:hint="eastAsia" w:ascii="宋体" w:hAnsi="宋体" w:eastAsia="宋体" w:cs="Times New Roman"/>
                <w:szCs w:val="21"/>
                <w:lang w:val="zh-CN"/>
              </w:rPr>
              <w:t>过程等</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E:环境因素识别、重要环境因素管理方案、相关方的信息沟通、应急准备和响应控制措施等</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O:危险源辨识、不可接受风险识别及管理方案、相关方的信息沟通、应急准备和响应控制措施等</w:t>
            </w:r>
          </w:p>
          <w:p>
            <w:pPr>
              <w:spacing w:line="40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zh-CN"/>
              </w:rPr>
              <w:t>重点审核部门：</w:t>
            </w:r>
            <w:r>
              <w:rPr>
                <w:rFonts w:hint="eastAsia" w:ascii="宋体" w:hAnsi="宋体" w:cs="Times New Roman"/>
                <w:szCs w:val="21"/>
                <w:lang w:val="en-US" w:eastAsia="zh-CN"/>
              </w:rPr>
              <w:t>办公室</w:t>
            </w:r>
            <w:r>
              <w:rPr>
                <w:rFonts w:hint="eastAsia" w:ascii="宋体" w:hAnsi="宋体" w:eastAsia="宋体" w:cs="Times New Roman"/>
                <w:szCs w:val="21"/>
                <w:lang w:val="zh-CN"/>
              </w:rPr>
              <w:t>、</w:t>
            </w:r>
            <w:r>
              <w:rPr>
                <w:rFonts w:hint="eastAsia" w:ascii="宋体" w:hAnsi="宋体" w:cs="Times New Roman"/>
                <w:szCs w:val="21"/>
                <w:lang w:val="en-US" w:eastAsia="zh-CN"/>
              </w:rPr>
              <w:t>招标</w:t>
            </w:r>
            <w:r>
              <w:rPr>
                <w:rFonts w:hint="eastAsia" w:ascii="宋体" w:hAnsi="宋体" w:eastAsia="宋体" w:cs="Times New Roman"/>
                <w:szCs w:val="21"/>
                <w:lang w:val="zh-CN"/>
              </w:rPr>
              <w:t>部</w:t>
            </w:r>
            <w:r>
              <w:rPr>
                <w:rFonts w:hint="eastAsia" w:ascii="宋体" w:hAnsi="宋体" w:cs="Times New Roman"/>
                <w:szCs w:val="21"/>
                <w:lang w:val="zh-CN"/>
              </w:rPr>
              <w:t>、</w:t>
            </w:r>
            <w:r>
              <w:rPr>
                <w:rFonts w:hint="eastAsia" w:ascii="宋体" w:hAnsi="宋体" w:cs="Times New Roman"/>
                <w:szCs w:val="21"/>
                <w:lang w:val="en-US" w:eastAsia="zh-CN"/>
              </w:rPr>
              <w:t>造价部</w:t>
            </w:r>
            <w:r>
              <w:rPr>
                <w:rFonts w:hint="eastAsia" w:ascii="宋体" w:hAnsi="宋体" w:eastAsia="宋体" w:cs="Times New Roman"/>
                <w:szCs w:val="21"/>
                <w:lang w:val="zh-CN"/>
              </w:rPr>
              <w:t xml:space="preserve"> </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重点审核过程：环境因素识别、风险识别评价、运行过程、监视和测量、不符合控制、合规性评价等。</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重点审核场所：</w:t>
            </w:r>
            <w:r>
              <w:rPr>
                <w:rFonts w:hint="eastAsia" w:ascii="宋体" w:hAnsi="宋体" w:cs="Times New Roman"/>
                <w:szCs w:val="21"/>
                <w:lang w:val="en-US" w:eastAsia="zh-CN"/>
              </w:rPr>
              <w:t>技术服务</w:t>
            </w:r>
            <w:r>
              <w:rPr>
                <w:rFonts w:hint="eastAsia" w:ascii="宋体" w:hAnsi="宋体" w:eastAsia="宋体" w:cs="Times New Roman"/>
                <w:szCs w:val="21"/>
                <w:lang w:val="zh-CN"/>
              </w:rPr>
              <w:t>场所、办公场所。</w:t>
            </w:r>
          </w:p>
          <w:p>
            <w:pPr>
              <w:spacing w:line="400" w:lineRule="exact"/>
              <w:ind w:firstLine="420" w:firstLineChars="200"/>
              <w:rPr>
                <w:rFonts w:hint="eastAsia" w:ascii="宋体" w:hAnsi="宋体" w:eastAsia="宋体" w:cs="Times New Roman"/>
                <w:kern w:val="2"/>
                <w:sz w:val="21"/>
                <w:szCs w:val="21"/>
                <w:lang w:val="zh-CN" w:eastAsia="zh-CN" w:bidi="ar-SA"/>
              </w:rPr>
            </w:pPr>
            <w:r>
              <w:rPr>
                <w:rFonts w:hint="eastAsia" w:ascii="宋体" w:hAnsi="宋体" w:eastAsia="宋体" w:cs="Times New Roman"/>
                <w:szCs w:val="21"/>
                <w:lang w:val="zh-CN"/>
              </w:rPr>
              <w:t>审核时间：2021.</w:t>
            </w:r>
            <w:r>
              <w:rPr>
                <w:rFonts w:hint="eastAsia" w:ascii="宋体" w:hAnsi="宋体" w:cs="Times New Roman"/>
                <w:szCs w:val="21"/>
                <w:lang w:val="en-US" w:eastAsia="zh-CN"/>
              </w:rPr>
              <w:t>8.5-6</w:t>
            </w:r>
            <w:r>
              <w:rPr>
                <w:rFonts w:hint="eastAsia" w:ascii="宋体" w:hAnsi="宋体" w:eastAsia="宋体" w:cs="Times New Roman"/>
                <w:szCs w:val="21"/>
                <w:lang w:val="zh-CN"/>
              </w:rPr>
              <w:t>日</w:t>
            </w:r>
          </w:p>
        </w:tc>
        <w:tc>
          <w:tcPr>
            <w:tcW w:w="1061" w:type="dxa"/>
          </w:tcPr>
          <w:p>
            <w:pPr>
              <w:rPr>
                <w:color w:val="auto"/>
              </w:rPr>
            </w:pPr>
          </w:p>
        </w:tc>
      </w:tr>
    </w:tbl>
    <w:p>
      <w:pPr>
        <w:rPr>
          <w:color w:val="auto"/>
        </w:rPr>
      </w:pPr>
      <w:r>
        <w:rPr>
          <w:color w:val="auto"/>
        </w:rPr>
        <w:ptab w:relativeTo="margin" w:alignment="center" w:leader="none"/>
      </w:r>
    </w:p>
    <w:p>
      <w:pPr>
        <w:pStyle w:val="4"/>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7ACCB"/>
    <w:multiLevelType w:val="singleLevel"/>
    <w:tmpl w:val="8E57ACCB"/>
    <w:lvl w:ilvl="0" w:tentative="0">
      <w:start w:val="1"/>
      <w:numFmt w:val="lowerLetter"/>
      <w:lvlText w:val="%1)"/>
      <w:lvlJc w:val="left"/>
      <w:pPr>
        <w:tabs>
          <w:tab w:val="left" w:pos="312"/>
        </w:tabs>
      </w:pPr>
    </w:lvl>
  </w:abstractNum>
  <w:abstractNum w:abstractNumId="1">
    <w:nsid w:val="901E1307"/>
    <w:multiLevelType w:val="singleLevel"/>
    <w:tmpl w:val="901E1307"/>
    <w:lvl w:ilvl="0" w:tentative="0">
      <w:start w:val="3"/>
      <w:numFmt w:val="chineseCounting"/>
      <w:suff w:val="nothing"/>
      <w:lvlText w:val="%1、"/>
      <w:lvlJc w:val="left"/>
      <w:rPr>
        <w:rFonts w:hint="eastAsia"/>
      </w:rPr>
    </w:lvl>
  </w:abstractNum>
  <w:abstractNum w:abstractNumId="2">
    <w:nsid w:val="B46D1FD5"/>
    <w:multiLevelType w:val="singleLevel"/>
    <w:tmpl w:val="B46D1FD5"/>
    <w:lvl w:ilvl="0" w:tentative="0">
      <w:start w:val="2"/>
      <w:numFmt w:val="decimal"/>
      <w:suff w:val="nothing"/>
      <w:lvlText w:val="%1）"/>
      <w:lvlJc w:val="left"/>
      <w:pPr>
        <w:ind w:left="3045" w:leftChars="0" w:firstLine="0" w:firstLineChars="0"/>
      </w:pPr>
    </w:lvl>
  </w:abstractNum>
  <w:abstractNum w:abstractNumId="3">
    <w:nsid w:val="5A6A4FD1"/>
    <w:multiLevelType w:val="singleLevel"/>
    <w:tmpl w:val="5A6A4FD1"/>
    <w:lvl w:ilvl="0" w:tentative="0">
      <w:start w:val="1"/>
      <w:numFmt w:val="decimal"/>
      <w:suff w:val="nothing"/>
      <w:lvlText w:val="%1、"/>
      <w:lvlJc w:val="left"/>
    </w:lvl>
  </w:abstractNum>
  <w:abstractNum w:abstractNumId="4">
    <w:nsid w:val="77443122"/>
    <w:multiLevelType w:val="singleLevel"/>
    <w:tmpl w:val="77443122"/>
    <w:lvl w:ilvl="0" w:tentative="0">
      <w:start w:val="7"/>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80C1F"/>
    <w:rsid w:val="001864C7"/>
    <w:rsid w:val="001A2D7F"/>
    <w:rsid w:val="001F570B"/>
    <w:rsid w:val="0027409D"/>
    <w:rsid w:val="00337922"/>
    <w:rsid w:val="00340867"/>
    <w:rsid w:val="00380837"/>
    <w:rsid w:val="003E456A"/>
    <w:rsid w:val="003E5D09"/>
    <w:rsid w:val="00410914"/>
    <w:rsid w:val="004B5C10"/>
    <w:rsid w:val="00536930"/>
    <w:rsid w:val="00564E53"/>
    <w:rsid w:val="005F0D5C"/>
    <w:rsid w:val="00644FE2"/>
    <w:rsid w:val="0067640C"/>
    <w:rsid w:val="006E678B"/>
    <w:rsid w:val="007757F3"/>
    <w:rsid w:val="007E34EF"/>
    <w:rsid w:val="007E6AEB"/>
    <w:rsid w:val="00892097"/>
    <w:rsid w:val="008973EE"/>
    <w:rsid w:val="00917E1F"/>
    <w:rsid w:val="00917FB8"/>
    <w:rsid w:val="00971600"/>
    <w:rsid w:val="009973B4"/>
    <w:rsid w:val="009F0A1E"/>
    <w:rsid w:val="009F7EED"/>
    <w:rsid w:val="00A01CB9"/>
    <w:rsid w:val="00A72519"/>
    <w:rsid w:val="00AF0AAB"/>
    <w:rsid w:val="00B93DBA"/>
    <w:rsid w:val="00BF597E"/>
    <w:rsid w:val="00C51A36"/>
    <w:rsid w:val="00C55228"/>
    <w:rsid w:val="00C81A4B"/>
    <w:rsid w:val="00CE315A"/>
    <w:rsid w:val="00D06F59"/>
    <w:rsid w:val="00D8388C"/>
    <w:rsid w:val="00EB0164"/>
    <w:rsid w:val="00ED0F62"/>
    <w:rsid w:val="00F15B45"/>
    <w:rsid w:val="00F2595B"/>
    <w:rsid w:val="0112049F"/>
    <w:rsid w:val="01E86ADF"/>
    <w:rsid w:val="02471F32"/>
    <w:rsid w:val="02D62DAF"/>
    <w:rsid w:val="032D41CE"/>
    <w:rsid w:val="034F5360"/>
    <w:rsid w:val="03B4713C"/>
    <w:rsid w:val="05574559"/>
    <w:rsid w:val="064D1A4F"/>
    <w:rsid w:val="06FF140F"/>
    <w:rsid w:val="08020A1A"/>
    <w:rsid w:val="09616EA2"/>
    <w:rsid w:val="097A79AF"/>
    <w:rsid w:val="09C63592"/>
    <w:rsid w:val="0A8A08B3"/>
    <w:rsid w:val="0AC26DEC"/>
    <w:rsid w:val="0BF45F0C"/>
    <w:rsid w:val="0C0E2924"/>
    <w:rsid w:val="0D287F2B"/>
    <w:rsid w:val="0D4C4241"/>
    <w:rsid w:val="0D610903"/>
    <w:rsid w:val="0DAF18F2"/>
    <w:rsid w:val="10273980"/>
    <w:rsid w:val="108219C2"/>
    <w:rsid w:val="108B5ACB"/>
    <w:rsid w:val="1110240E"/>
    <w:rsid w:val="11370FA2"/>
    <w:rsid w:val="11A1366E"/>
    <w:rsid w:val="11EE3B56"/>
    <w:rsid w:val="123A37D5"/>
    <w:rsid w:val="12671076"/>
    <w:rsid w:val="12DA704D"/>
    <w:rsid w:val="13AE083E"/>
    <w:rsid w:val="14670DE6"/>
    <w:rsid w:val="14914362"/>
    <w:rsid w:val="150E5123"/>
    <w:rsid w:val="16C50018"/>
    <w:rsid w:val="16ED1FFF"/>
    <w:rsid w:val="181053A5"/>
    <w:rsid w:val="18841694"/>
    <w:rsid w:val="1A29370E"/>
    <w:rsid w:val="1AF26115"/>
    <w:rsid w:val="1BE235E4"/>
    <w:rsid w:val="1C6C7552"/>
    <w:rsid w:val="1C84646C"/>
    <w:rsid w:val="1D62714A"/>
    <w:rsid w:val="1E140045"/>
    <w:rsid w:val="1FCD3036"/>
    <w:rsid w:val="20EA40BF"/>
    <w:rsid w:val="21A1160E"/>
    <w:rsid w:val="238F24A8"/>
    <w:rsid w:val="23F31483"/>
    <w:rsid w:val="23F37A05"/>
    <w:rsid w:val="246D3A6B"/>
    <w:rsid w:val="24817691"/>
    <w:rsid w:val="24B1474B"/>
    <w:rsid w:val="256E2769"/>
    <w:rsid w:val="25DE41C1"/>
    <w:rsid w:val="272A38A8"/>
    <w:rsid w:val="28886DB8"/>
    <w:rsid w:val="288C6B78"/>
    <w:rsid w:val="29AC4420"/>
    <w:rsid w:val="2AF04A37"/>
    <w:rsid w:val="2BF0428A"/>
    <w:rsid w:val="2CDB7450"/>
    <w:rsid w:val="2CF63DA1"/>
    <w:rsid w:val="2D3B0381"/>
    <w:rsid w:val="2D804B65"/>
    <w:rsid w:val="2DD920D5"/>
    <w:rsid w:val="2E8B2113"/>
    <w:rsid w:val="2FFC2363"/>
    <w:rsid w:val="31131BF3"/>
    <w:rsid w:val="314800EE"/>
    <w:rsid w:val="327E23D6"/>
    <w:rsid w:val="33D76529"/>
    <w:rsid w:val="33F77A52"/>
    <w:rsid w:val="34914A65"/>
    <w:rsid w:val="35FF0031"/>
    <w:rsid w:val="36DD1450"/>
    <w:rsid w:val="37B811B1"/>
    <w:rsid w:val="38F37997"/>
    <w:rsid w:val="39544057"/>
    <w:rsid w:val="39B13010"/>
    <w:rsid w:val="3A783CDD"/>
    <w:rsid w:val="3C342E3A"/>
    <w:rsid w:val="3E5B304C"/>
    <w:rsid w:val="3E6C4DAB"/>
    <w:rsid w:val="41880D6C"/>
    <w:rsid w:val="41E87CC6"/>
    <w:rsid w:val="42CC3460"/>
    <w:rsid w:val="435D2F7B"/>
    <w:rsid w:val="44A05C3C"/>
    <w:rsid w:val="44C461B5"/>
    <w:rsid w:val="465052DF"/>
    <w:rsid w:val="46660FDC"/>
    <w:rsid w:val="47011C21"/>
    <w:rsid w:val="48446D17"/>
    <w:rsid w:val="48945FE5"/>
    <w:rsid w:val="49B57DF5"/>
    <w:rsid w:val="49D3753E"/>
    <w:rsid w:val="4ADB03B6"/>
    <w:rsid w:val="4B014AF0"/>
    <w:rsid w:val="4BF16B09"/>
    <w:rsid w:val="4DA6597F"/>
    <w:rsid w:val="4E9571BC"/>
    <w:rsid w:val="4EB57A7E"/>
    <w:rsid w:val="501A2BC1"/>
    <w:rsid w:val="504F78CE"/>
    <w:rsid w:val="50554871"/>
    <w:rsid w:val="507A55CF"/>
    <w:rsid w:val="50A84121"/>
    <w:rsid w:val="532F3E38"/>
    <w:rsid w:val="53E45CD9"/>
    <w:rsid w:val="55422A42"/>
    <w:rsid w:val="55EF48D9"/>
    <w:rsid w:val="56212E46"/>
    <w:rsid w:val="56290ECA"/>
    <w:rsid w:val="56453B17"/>
    <w:rsid w:val="56E52FB2"/>
    <w:rsid w:val="56FC6DD2"/>
    <w:rsid w:val="57F6787C"/>
    <w:rsid w:val="58C00CA7"/>
    <w:rsid w:val="5A6B59F2"/>
    <w:rsid w:val="5BC06BD3"/>
    <w:rsid w:val="5CC63670"/>
    <w:rsid w:val="5D31608C"/>
    <w:rsid w:val="5DDB20A9"/>
    <w:rsid w:val="5DED1225"/>
    <w:rsid w:val="5EA12B9A"/>
    <w:rsid w:val="5F972E7D"/>
    <w:rsid w:val="61160F0A"/>
    <w:rsid w:val="6125709D"/>
    <w:rsid w:val="617848A5"/>
    <w:rsid w:val="627C58DE"/>
    <w:rsid w:val="6306465F"/>
    <w:rsid w:val="63263694"/>
    <w:rsid w:val="63354D36"/>
    <w:rsid w:val="659325D0"/>
    <w:rsid w:val="65AA3A0D"/>
    <w:rsid w:val="660233BE"/>
    <w:rsid w:val="664E2351"/>
    <w:rsid w:val="686D34B0"/>
    <w:rsid w:val="69192091"/>
    <w:rsid w:val="69195B4D"/>
    <w:rsid w:val="693D36AD"/>
    <w:rsid w:val="6B327BA0"/>
    <w:rsid w:val="6B8504A3"/>
    <w:rsid w:val="6B885EA2"/>
    <w:rsid w:val="6D127A4E"/>
    <w:rsid w:val="6D186A1C"/>
    <w:rsid w:val="6D4C475B"/>
    <w:rsid w:val="6D543100"/>
    <w:rsid w:val="6DE03A86"/>
    <w:rsid w:val="6E5272ED"/>
    <w:rsid w:val="6FA52CA9"/>
    <w:rsid w:val="719329E2"/>
    <w:rsid w:val="72842BB6"/>
    <w:rsid w:val="730E3127"/>
    <w:rsid w:val="73A249E4"/>
    <w:rsid w:val="757F5514"/>
    <w:rsid w:val="779A5D91"/>
    <w:rsid w:val="77A73786"/>
    <w:rsid w:val="77DD3A5A"/>
    <w:rsid w:val="79B80C12"/>
    <w:rsid w:val="7AB96E14"/>
    <w:rsid w:val="7B0C184B"/>
    <w:rsid w:val="7C7B2584"/>
    <w:rsid w:val="7EDE1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664</Words>
  <Characters>3787</Characters>
  <Lines>31</Lines>
  <Paragraphs>8</Paragraphs>
  <TotalTime>2</TotalTime>
  <ScaleCrop>false</ScaleCrop>
  <LinksUpToDate>false</LinksUpToDate>
  <CharactersWithSpaces>4443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2021-08-06T13:05:03Z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9BA88833FAAC40DC8992807003F14412</vt:lpwstr>
  </property>
</Properties>
</file>