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受审核方：宝鸡市鑫钻石油机械有限公司</w:t>
      </w:r>
    </w:p>
    <w:p>
      <w:pPr>
        <w:snapToGrid w:val="0"/>
        <w:spacing w:after="98" w:afterLines="30"/>
        <w:rPr>
          <w:rFonts w:ascii="楷体" w:hAnsi="楷体" w:eastAsia="楷体"/>
          <w:b/>
          <w:color w:val="000000"/>
          <w:sz w:val="32"/>
          <w:szCs w:val="32"/>
          <w:u w:val="single"/>
        </w:rPr>
      </w:pP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843" w:type="dxa"/>
            <w:gridSpan w:val="2"/>
            <w:vAlign w:val="center"/>
          </w:tcPr>
          <w:p>
            <w:pPr>
              <w:jc w:val="center"/>
              <w:rPr>
                <w:b/>
                <w:sz w:val="21"/>
                <w:szCs w:val="21"/>
              </w:rPr>
            </w:pPr>
            <w:r>
              <w:rPr>
                <w:rFonts w:hint="eastAsia"/>
                <w:b/>
                <w:sz w:val="21"/>
                <w:szCs w:val="21"/>
              </w:rPr>
              <w:t>专业代码</w:t>
            </w:r>
          </w:p>
        </w:tc>
        <w:tc>
          <w:tcPr>
            <w:tcW w:w="161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2018-N1QMS-1222792</w:t>
            </w:r>
          </w:p>
        </w:tc>
        <w:tc>
          <w:tcPr>
            <w:tcW w:w="1843" w:type="dxa"/>
            <w:gridSpan w:val="2"/>
            <w:vAlign w:val="center"/>
          </w:tcPr>
          <w:p>
            <w:pPr>
              <w:jc w:val="center"/>
              <w:rPr>
                <w:b/>
                <w:sz w:val="21"/>
                <w:szCs w:val="21"/>
              </w:rPr>
            </w:pPr>
            <w:r>
              <w:rPr>
                <w:b/>
                <w:sz w:val="21"/>
                <w:szCs w:val="21"/>
              </w:rPr>
              <w:t>18.05.02,18.08.00</w:t>
            </w:r>
          </w:p>
        </w:tc>
        <w:tc>
          <w:tcPr>
            <w:tcW w:w="1614" w:type="dxa"/>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刘国斌</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宝鸡市通华石油设备制造有限公司</w:t>
            </w:r>
          </w:p>
        </w:tc>
        <w:tc>
          <w:tcPr>
            <w:tcW w:w="1843" w:type="dxa"/>
            <w:gridSpan w:val="2"/>
            <w:vAlign w:val="center"/>
          </w:tcPr>
          <w:p>
            <w:pPr>
              <w:jc w:val="center"/>
              <w:rPr>
                <w:b/>
                <w:sz w:val="21"/>
                <w:szCs w:val="21"/>
              </w:rPr>
            </w:pPr>
            <w:r>
              <w:rPr>
                <w:b/>
                <w:sz w:val="21"/>
                <w:szCs w:val="21"/>
              </w:rPr>
              <w:t>39.03.02</w:t>
            </w:r>
          </w:p>
        </w:tc>
        <w:tc>
          <w:tcPr>
            <w:tcW w:w="1614" w:type="dxa"/>
            <w:vAlign w:val="center"/>
          </w:tcPr>
          <w:p>
            <w:pPr>
              <w:jc w:val="center"/>
              <w:rPr>
                <w:b/>
                <w:sz w:val="21"/>
                <w:szCs w:val="21"/>
              </w:rPr>
            </w:pPr>
            <w:r>
              <w:rPr>
                <w:b/>
                <w:sz w:val="21"/>
                <w:szCs w:val="21"/>
              </w:rPr>
              <w:t>ISC-JSZJ-018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5"/>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5"/>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cs="Times New Roman"/>
                <w:b/>
                <w:sz w:val="21"/>
              </w:rPr>
              <w:t>受审核方名称</w:t>
            </w:r>
          </w:p>
        </w:tc>
        <w:tc>
          <w:tcPr>
            <w:tcW w:w="4416" w:type="dxa"/>
            <w:gridSpan w:val="4"/>
            <w:vAlign w:val="center"/>
          </w:tcPr>
          <w:p>
            <w:pPr>
              <w:spacing w:line="260" w:lineRule="exact"/>
              <w:jc w:val="center"/>
              <w:rPr>
                <w:rFonts w:ascii="宋体"/>
                <w:b/>
                <w:color w:val="FF0000"/>
                <w:sz w:val="21"/>
              </w:rPr>
            </w:pPr>
            <w:r>
              <w:rPr>
                <w:rFonts w:hint="eastAsia" w:ascii="宋体" w:hAnsi="宋体" w:cs="Times New Roman"/>
                <w:b/>
                <w:sz w:val="21"/>
              </w:rPr>
              <w:t>宝鸡市鑫钻石油机械有限公司</w:t>
            </w:r>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jc w:val="center"/>
              <w:rPr>
                <w:b/>
                <w:spacing w:val="-20"/>
              </w:rPr>
            </w:pPr>
            <w:r>
              <w:rPr>
                <w:rFonts w:hint="eastAsia" w:ascii="宋体" w:hAnsi="宋体"/>
                <w:b/>
                <w:sz w:val="21"/>
              </w:rPr>
              <w:t>变动情况核实</w:t>
            </w:r>
          </w:p>
        </w:tc>
        <w:tc>
          <w:tcPr>
            <w:tcW w:w="1500" w:type="dxa"/>
            <w:vAlign w:val="center"/>
          </w:tcPr>
          <w:p>
            <w:pPr>
              <w:spacing w:line="260" w:lineRule="exact"/>
              <w:jc w:val="center"/>
              <w:rPr>
                <w:rFonts w:ascii="宋体"/>
                <w:b/>
                <w:sz w:val="21"/>
              </w:rPr>
            </w:pPr>
            <w:r>
              <w:rPr>
                <w:rFonts w:hint="eastAsia" w:ascii="宋体"/>
                <w:b/>
                <w:sz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vAlign w:val="center"/>
          </w:tcPr>
          <w:p>
            <w:pPr>
              <w:jc w:val="center"/>
              <w:rPr>
                <w:rFonts w:ascii="宋体"/>
                <w:b/>
                <w:sz w:val="21"/>
              </w:rPr>
            </w:pPr>
            <w:r>
              <w:rPr>
                <w:rFonts w:ascii="宋体"/>
                <w:b/>
                <w:sz w:val="21"/>
              </w:rPr>
              <w:t>陕西省宝鸡市高新开发区高新10路20号</w:t>
            </w:r>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vAlign w:val="center"/>
          </w:tcPr>
          <w:p>
            <w:pPr>
              <w:jc w:val="center"/>
              <w:rPr>
                <w:rFonts w:ascii="宋体"/>
                <w:b/>
                <w:sz w:val="21"/>
              </w:rPr>
            </w:pPr>
            <w:r>
              <w:rPr>
                <w:rFonts w:ascii="宋体"/>
                <w:b/>
                <w:sz w:val="21"/>
              </w:rPr>
              <w:t>721013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vAlign w:val="top"/>
          </w:tcPr>
          <w:p>
            <w:pPr>
              <w:rPr>
                <w:rFonts w:ascii="宋体"/>
                <w:b/>
                <w:sz w:val="21"/>
              </w:rPr>
            </w:pPr>
            <w:r>
              <w:rPr>
                <w:rFonts w:ascii="宋体"/>
                <w:b/>
                <w:sz w:val="21"/>
              </w:rPr>
              <w:t>陕西省宝鸡市高新开发区高新10路20号</w:t>
            </w:r>
          </w:p>
        </w:tc>
        <w:tc>
          <w:tcPr>
            <w:tcW w:w="1672" w:type="dxa"/>
            <w:vMerge w:val="continue"/>
            <w:vAlign w:val="center"/>
          </w:tcPr>
          <w:p>
            <w:pPr>
              <w:jc w:val="center"/>
              <w:rPr>
                <w:rFonts w:ascii="宋体"/>
                <w:b/>
                <w:sz w:val="21"/>
              </w:rPr>
            </w:pPr>
          </w:p>
        </w:tc>
        <w:tc>
          <w:tcPr>
            <w:tcW w:w="1500" w:type="dxa"/>
            <w:vAlign w:val="top"/>
          </w:tcPr>
          <w:p>
            <w:pPr>
              <w:rPr>
                <w:rFonts w:ascii="宋体"/>
                <w:b/>
                <w:sz w:val="21"/>
              </w:rPr>
            </w:pPr>
            <w:r>
              <w:rPr>
                <w:rFonts w:ascii="宋体"/>
                <w:b/>
                <w:sz w:val="21"/>
              </w:rPr>
              <w:t>721013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vAlign w:val="top"/>
          </w:tcPr>
          <w:p>
            <w:pPr>
              <w:rPr>
                <w:rFonts w:ascii="宋体"/>
                <w:b/>
                <w:sz w:val="21"/>
              </w:rPr>
            </w:pPr>
            <w:r>
              <w:rPr>
                <w:rFonts w:ascii="宋体"/>
                <w:b/>
                <w:sz w:val="21"/>
              </w:rPr>
              <w:t>陕西省宝鸡市高新开发区高新10路20号</w:t>
            </w:r>
          </w:p>
        </w:tc>
        <w:tc>
          <w:tcPr>
            <w:tcW w:w="1672" w:type="dxa"/>
            <w:vMerge w:val="continue"/>
            <w:vAlign w:val="center"/>
          </w:tcPr>
          <w:p>
            <w:pPr>
              <w:jc w:val="center"/>
              <w:rPr>
                <w:rFonts w:ascii="宋体"/>
                <w:b/>
                <w:sz w:val="21"/>
              </w:rPr>
            </w:pPr>
          </w:p>
        </w:tc>
        <w:tc>
          <w:tcPr>
            <w:tcW w:w="1500" w:type="dxa"/>
            <w:vAlign w:val="top"/>
          </w:tcPr>
          <w:p>
            <w:pPr>
              <w:rPr>
                <w:rFonts w:ascii="宋体"/>
                <w:b/>
                <w:sz w:val="21"/>
              </w:rPr>
            </w:pPr>
            <w:r>
              <w:rPr>
                <w:rFonts w:ascii="宋体"/>
                <w:b/>
                <w:sz w:val="21"/>
              </w:rPr>
              <w:t>721013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vAlign w:val="top"/>
          </w:tcPr>
          <w:p>
            <w:pPr>
              <w:rPr>
                <w:rFonts w:ascii="宋体"/>
                <w:b/>
                <w:sz w:val="21"/>
              </w:rPr>
            </w:pPr>
            <w:r>
              <w:rPr>
                <w:rFonts w:ascii="宋体"/>
                <w:b/>
                <w:sz w:val="21"/>
              </w:rPr>
              <w:t>王卫国</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r>
              <w:rPr>
                <w:rFonts w:ascii="宋体"/>
                <w:b/>
                <w:sz w:val="21"/>
              </w:rPr>
              <w:t>0917-3909025</w:t>
            </w:r>
          </w:p>
        </w:tc>
        <w:tc>
          <w:tcPr>
            <w:tcW w:w="1672" w:type="dxa"/>
            <w:vAlign w:val="center"/>
          </w:tcPr>
          <w:p>
            <w:pPr>
              <w:jc w:val="center"/>
              <w:rPr>
                <w:rFonts w:ascii="宋体"/>
                <w:b/>
                <w:sz w:val="21"/>
              </w:rPr>
            </w:pPr>
            <w:r>
              <w:rPr>
                <w:rFonts w:hint="eastAsia" w:ascii="宋体" w:hAnsi="宋体"/>
                <w:b/>
                <w:sz w:val="21"/>
              </w:rPr>
              <w:t>传真</w:t>
            </w:r>
          </w:p>
        </w:tc>
        <w:tc>
          <w:tcPr>
            <w:tcW w:w="1500" w:type="dxa"/>
            <w:vAlign w:val="top"/>
          </w:tcPr>
          <w:p>
            <w:pPr>
              <w:rPr>
                <w:rFonts w:ascii="宋体"/>
                <w:b/>
                <w:sz w:val="21"/>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top"/>
          </w:tcPr>
          <w:p>
            <w:pPr>
              <w:rPr>
                <w:rFonts w:ascii="宋体" w:hAnsi="宋体"/>
                <w:b/>
                <w:sz w:val="21"/>
                <w:szCs w:val="21"/>
              </w:rPr>
            </w:pPr>
            <w:r>
              <w:rPr>
                <w:rFonts w:ascii="宋体" w:hAnsi="宋体"/>
                <w:b/>
                <w:sz w:val="21"/>
                <w:szCs w:val="21"/>
              </w:rPr>
              <w:t>蔡晓军</w:t>
            </w:r>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top"/>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top"/>
          </w:tcPr>
          <w:p>
            <w:pPr>
              <w:rPr>
                <w:rFonts w:ascii="宋体"/>
                <w:b/>
                <w:sz w:val="21"/>
              </w:rPr>
            </w:pPr>
            <w:r>
              <w:rPr>
                <w:rFonts w:ascii="宋体"/>
                <w:b/>
                <w:sz w:val="21"/>
              </w:rPr>
              <w:t>王卫国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1" w:name="审核日期"/>
            <w:r>
              <w:rPr>
                <w:rFonts w:ascii="宋体" w:hAnsi="宋体"/>
                <w:b/>
                <w:sz w:val="21"/>
                <w:szCs w:val="21"/>
              </w:rPr>
              <w:t>2021年08月02日 下午至2021年08月02日 下午</w:t>
            </w:r>
            <w:bookmarkEnd w:id="1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vAlign w:val="top"/>
          </w:tcPr>
          <w:p>
            <w:pPr>
              <w:spacing w:line="360" w:lineRule="exact"/>
              <w:rPr>
                <w:rFonts w:ascii="宋体" w:hAnsi="宋体"/>
                <w:b/>
                <w:sz w:val="21"/>
                <w:szCs w:val="21"/>
              </w:rPr>
            </w:pPr>
            <w:r>
              <w:rPr>
                <w:rFonts w:hint="eastAsia" w:ascii="宋体" w:hAnsi="宋体"/>
                <w:b/>
                <w:sz w:val="21"/>
                <w:szCs w:val="21"/>
              </w:rPr>
              <w:t>■</w:t>
            </w:r>
            <w:r>
              <w:rPr>
                <w:rFonts w:ascii="宋体" w:hAnsi="宋体"/>
                <w:b/>
                <w:sz w:val="21"/>
                <w:szCs w:val="21"/>
              </w:rPr>
              <w:t>QMS</w:t>
            </w:r>
            <w:r>
              <w:rPr>
                <w:rFonts w:hint="eastAsia" w:ascii="宋体" w:hAnsi="宋体"/>
                <w:b/>
                <w:sz w:val="21"/>
                <w:szCs w:val="21"/>
              </w:rPr>
              <w:t>：石油钻井机械设备及配件的生产和修理技术服务；石油钻井油泥、泥浆的固液分离处理</w:t>
            </w:r>
          </w:p>
          <w:p>
            <w:pPr>
              <w:spacing w:line="36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r>
              <w:rPr>
                <w:rFonts w:hint="eastAsia" w:ascii="宋体" w:hAnsi="宋体"/>
                <w:b/>
                <w:sz w:val="21"/>
                <w:szCs w:val="21"/>
              </w:rPr>
              <w:t>□</w:t>
            </w:r>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vAlign w:val="top"/>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vAlign w:val="top"/>
          </w:tcPr>
          <w:p>
            <w:pPr>
              <w:spacing w:line="260" w:lineRule="exact"/>
              <w:rPr>
                <w:rFonts w:ascii="宋体" w:hAnsi="宋体"/>
                <w:b/>
                <w:sz w:val="21"/>
                <w:szCs w:val="21"/>
              </w:rPr>
            </w:pPr>
            <w:r>
              <w:rPr>
                <w:rFonts w:ascii="宋体" w:hAnsi="宋体"/>
                <w:b/>
                <w:sz w:val="21"/>
                <w:szCs w:val="21"/>
              </w:rPr>
              <w:t>18.05.02;18.08.00;39.03.02</w:t>
            </w:r>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top"/>
          </w:tcPr>
          <w:p>
            <w:pPr>
              <w:spacing w:line="260" w:lineRule="exact"/>
              <w:rPr>
                <w:rFonts w:ascii="宋体" w:hAnsi="宋体"/>
                <w:b/>
                <w:sz w:val="21"/>
                <w:szCs w:val="21"/>
              </w:rPr>
            </w:pPr>
            <w:r>
              <w:rPr>
                <w:rFonts w:hint="eastAsia" w:ascii="宋体" w:hAnsi="宋体"/>
                <w:b/>
                <w:color w:val="000000"/>
                <w:sz w:val="21"/>
                <w:szCs w:val="21"/>
                <w:lang w:val="en-US" w:eastAsia="zh-CN"/>
              </w:rPr>
              <w:t>2022.9.17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top"/>
          </w:tcPr>
          <w:p>
            <w:pPr>
              <w:spacing w:line="260" w:lineRule="exact"/>
              <w:rPr>
                <w:rFonts w:ascii="宋体"/>
                <w:b/>
                <w:sz w:val="21"/>
              </w:rPr>
            </w:pPr>
            <w:r>
              <w:rPr>
                <w:rFonts w:ascii="宋体" w:hAnsi="宋体"/>
                <w:b/>
                <w:sz w:val="21"/>
                <w:szCs w:val="21"/>
              </w:rPr>
              <w:t>2020</w:t>
            </w:r>
            <w:r>
              <w:rPr>
                <w:rFonts w:hint="eastAsia" w:ascii="宋体" w:hAnsi="宋体"/>
                <w:b/>
                <w:sz w:val="21"/>
                <w:szCs w:val="21"/>
                <w:lang w:eastAsia="zh-CN"/>
              </w:rPr>
              <w:t>.</w:t>
            </w:r>
            <w:r>
              <w:rPr>
                <w:rFonts w:ascii="宋体" w:hAnsi="宋体"/>
                <w:b/>
                <w:sz w:val="21"/>
                <w:szCs w:val="21"/>
              </w:rPr>
              <w:t>0</w:t>
            </w:r>
            <w:r>
              <w:rPr>
                <w:rFonts w:hint="eastAsia" w:ascii="宋体" w:hAnsi="宋体"/>
                <w:b/>
                <w:sz w:val="21"/>
                <w:szCs w:val="21"/>
                <w:lang w:val="en-US" w:eastAsia="zh-CN"/>
              </w:rPr>
              <w:t>7.</w:t>
            </w:r>
            <w:r>
              <w:rPr>
                <w:rFonts w:ascii="宋体" w:hAnsi="宋体"/>
                <w:b/>
                <w:sz w:val="21"/>
                <w:szCs w:val="21"/>
              </w:rPr>
              <w:t>16</w:t>
            </w:r>
          </w:p>
        </w:tc>
      </w:tr>
    </w:tbl>
    <w:p>
      <w:pPr>
        <w:tabs>
          <w:tab w:val="left" w:pos="645"/>
        </w:tabs>
        <w:spacing w:after="163" w:afterLines="50" w:line="240" w:lineRule="auto"/>
        <w:rPr>
          <w:b/>
          <w:spacing w:val="-6"/>
          <w:sz w:val="16"/>
          <w:szCs w:val="16"/>
        </w:rPr>
      </w:pPr>
      <w:r>
        <w:rPr>
          <w:rFonts w:hint="eastAsia"/>
          <w:b/>
          <w:sz w:val="26"/>
          <w:szCs w:val="26"/>
        </w:rPr>
        <w:t>五、审核活动安排综述</w:t>
      </w:r>
    </w:p>
    <w:p>
      <w:pPr>
        <w:spacing w:before="163" w:beforeLines="50" w:line="240" w:lineRule="auto"/>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line="240" w:lineRule="auto"/>
        <w:ind w:left="-194" w:leftChars="-81" w:firstLine="211" w:firstLineChars="100"/>
        <w:rPr>
          <w:rFonts w:hint="eastAsia"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pStyle w:val="2"/>
        <w:spacing w:line="240" w:lineRule="auto"/>
        <w:ind w:firstLine="422" w:firstLineChars="200"/>
      </w:pPr>
      <w:r>
        <w:rPr>
          <w:rFonts w:hint="eastAsia" w:ascii="宋体" w:hAnsi="宋体" w:eastAsia="宋体" w:cs="宋体"/>
          <w:sz w:val="21"/>
          <w:szCs w:val="21"/>
          <w:lang w:val="en-US" w:eastAsia="zh-CN"/>
        </w:rPr>
        <w:t>项目地：</w:t>
      </w:r>
      <w:r>
        <w:rPr>
          <w:rFonts w:hint="eastAsia" w:ascii="宋体" w:hAnsi="宋体" w:eastAsia="宋体" w:cs="宋体"/>
          <w:sz w:val="21"/>
          <w:szCs w:val="21"/>
        </w:rPr>
        <w:t>四川省南充市西充县仁和镇福应宫村</w:t>
      </w:r>
      <w:r>
        <w:rPr>
          <w:rFonts w:hint="eastAsia" w:ascii="宋体" w:hAnsi="宋体" w:eastAsia="宋体" w:cs="宋体"/>
          <w:color w:val="000000"/>
          <w:sz w:val="21"/>
          <w:szCs w:val="21"/>
        </w:rPr>
        <w:t>逢深7井</w:t>
      </w:r>
    </w:p>
    <w:p>
      <w:pPr>
        <w:spacing w:before="163" w:beforeLines="50" w:line="240" w:lineRule="auto"/>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rPr>
        <w:t>石油钻井油泥、泥浆的固液分离处理</w:t>
      </w:r>
    </w:p>
    <w:p>
      <w:pPr>
        <w:spacing w:line="240" w:lineRule="auto"/>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240" w:lineRule="auto"/>
        <w:ind w:firstLine="211" w:firstLineChars="100"/>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ascii="宋体" w:hAnsi="宋体"/>
          <w:b/>
          <w:sz w:val="21"/>
          <w:szCs w:val="21"/>
        </w:rPr>
        <w:t xml:space="preserve">2020年07月16日 </w:t>
      </w:r>
      <w:r>
        <w:rPr>
          <w:rFonts w:hint="eastAsia" w:ascii="宋体" w:hAnsi="宋体"/>
          <w:b/>
          <w:sz w:val="21"/>
          <w:szCs w:val="21"/>
        </w:rPr>
        <w:t>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b/>
          <w:sz w:val="26"/>
          <w:szCs w:val="26"/>
        </w:rPr>
      </w:pPr>
      <w:r>
        <w:rPr>
          <w:rFonts w:hint="eastAsia" w:ascii="宋体" w:hAnsi="宋体"/>
          <w:b/>
          <w:sz w:val="21"/>
          <w:szCs w:val="21"/>
        </w:rPr>
        <w:t>□未完成计划，未完成的内容和原因是</w:t>
      </w:r>
      <w:r>
        <w:rPr>
          <w:rFonts w:ascii="宋体" w:hAnsi="宋体"/>
          <w:b/>
          <w:sz w:val="21"/>
          <w:szCs w:val="21"/>
        </w:rPr>
        <w:t>:</w:t>
      </w: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360" w:lineRule="auto"/>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360" w:lineRule="auto"/>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360" w:lineRule="auto"/>
              <w:rPr>
                <w:rFonts w:ascii="宋体" w:hAnsi="宋体"/>
                <w:b/>
                <w:sz w:val="21"/>
                <w:szCs w:val="21"/>
              </w:rPr>
            </w:pPr>
            <w:r>
              <w:rPr>
                <w:rFonts w:hint="eastAsia" w:ascii="宋体" w:hAnsi="宋体"/>
                <w:b w:val="0"/>
                <w:bCs/>
                <w:sz w:val="2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和技术服务不需再进行设计开发，所以Q8.3条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continue"/>
            <w:textDirection w:val="tbRlV"/>
            <w:vAlign w:val="center"/>
          </w:tcPr>
          <w:p>
            <w:pPr>
              <w:spacing w:line="360" w:lineRule="auto"/>
              <w:ind w:left="241" w:right="113" w:hanging="241" w:hangingChars="100"/>
              <w:jc w:val="center"/>
              <w:rPr>
                <w:rFonts w:ascii="宋体"/>
                <w:b/>
                <w:szCs w:val="21"/>
              </w:rPr>
            </w:pPr>
          </w:p>
        </w:tc>
        <w:tc>
          <w:tcPr>
            <w:tcW w:w="9198" w:type="dxa"/>
          </w:tcPr>
          <w:p>
            <w:pPr>
              <w:numPr>
                <w:ilvl w:val="0"/>
                <w:numId w:val="1"/>
              </w:numPr>
              <w:spacing w:line="360" w:lineRule="auto"/>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360" w:lineRule="auto"/>
              <w:rPr>
                <w:rFonts w:ascii="宋体" w:hAnsi="宋体"/>
                <w:b/>
                <w:sz w:val="21"/>
                <w:szCs w:val="21"/>
              </w:rPr>
            </w:pPr>
            <w:r>
              <w:rPr>
                <w:rFonts w:hint="eastAsia" w:ascii="宋体" w:hAnsi="宋体"/>
                <w:b w:val="0"/>
                <w:bCs/>
                <w:sz w:val="21"/>
                <w:szCs w:val="21"/>
              </w:rPr>
              <w:t>相关方包括顾客、股东、员工、供应商、竞争对手、社会团体等。相关方期望和要求为价格、安全性、合同协议、行业规范标准等。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360" w:lineRule="auto"/>
              <w:ind w:left="241" w:right="113" w:hanging="241" w:hangingChars="100"/>
              <w:jc w:val="center"/>
              <w:rPr>
                <w:rFonts w:ascii="宋体"/>
                <w:b/>
                <w:szCs w:val="21"/>
              </w:rPr>
            </w:pPr>
          </w:p>
        </w:tc>
        <w:tc>
          <w:tcPr>
            <w:tcW w:w="9198" w:type="dxa"/>
          </w:tcPr>
          <w:p>
            <w:pPr>
              <w:numPr>
                <w:ilvl w:val="0"/>
                <w:numId w:val="2"/>
              </w:numPr>
              <w:spacing w:line="360" w:lineRule="auto"/>
              <w:ind w:leftChars="19"/>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360" w:lineRule="auto"/>
              <w:rPr>
                <w:rFonts w:hint="eastAsia" w:ascii="宋体" w:hAnsi="宋体"/>
                <w:b w:val="0"/>
                <w:bCs/>
                <w:sz w:val="21"/>
                <w:szCs w:val="21"/>
              </w:rPr>
            </w:pPr>
            <w:r>
              <w:rPr>
                <w:rFonts w:hint="eastAsia" w:ascii="宋体" w:hAnsi="宋体"/>
                <w:b w:val="0"/>
                <w:bCs/>
                <w:sz w:val="21"/>
                <w:szCs w:val="21"/>
              </w:rPr>
              <w:t>公司的质量方针是：</w:t>
            </w:r>
          </w:p>
          <w:p>
            <w:pPr>
              <w:spacing w:line="360" w:lineRule="auto"/>
              <w:rPr>
                <w:rFonts w:hint="eastAsia" w:ascii="宋体" w:hAnsi="宋体"/>
                <w:b w:val="0"/>
                <w:bCs/>
                <w:sz w:val="21"/>
                <w:szCs w:val="21"/>
              </w:rPr>
            </w:pPr>
            <w:r>
              <w:rPr>
                <w:rFonts w:hint="eastAsia" w:ascii="宋体" w:hAnsi="宋体"/>
                <w:b w:val="0"/>
                <w:bCs/>
                <w:sz w:val="21"/>
                <w:szCs w:val="21"/>
              </w:rPr>
              <w:t>质量保生存、顾客满意；创新求发展、持续改进。</w:t>
            </w:r>
          </w:p>
          <w:p>
            <w:pPr>
              <w:spacing w:line="360" w:lineRule="auto"/>
              <w:rPr>
                <w:rFonts w:ascii="宋体" w:hAnsi="宋体"/>
                <w:b/>
                <w:sz w:val="21"/>
                <w:szCs w:val="21"/>
              </w:rPr>
            </w:pPr>
            <w:r>
              <w:rPr>
                <w:rFonts w:hint="eastAsia" w:ascii="宋体" w:hAnsi="宋体"/>
                <w:b w:val="0"/>
                <w:bCs/>
                <w:sz w:val="21"/>
                <w:szCs w:val="21"/>
              </w:rPr>
              <w:t>管理方针在内部适当的沟通，管理评审时进行了评审，方针适宜。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720" w:type="dxa"/>
            <w:vMerge w:val="continue"/>
            <w:textDirection w:val="tbRlV"/>
            <w:vAlign w:val="center"/>
          </w:tcPr>
          <w:p>
            <w:pPr>
              <w:spacing w:line="360" w:lineRule="auto"/>
              <w:ind w:left="241" w:right="113" w:hanging="241" w:hangingChars="100"/>
              <w:jc w:val="center"/>
              <w:rPr>
                <w:rFonts w:ascii="宋体"/>
                <w:b/>
                <w:szCs w:val="21"/>
              </w:rPr>
            </w:pPr>
          </w:p>
        </w:tc>
        <w:tc>
          <w:tcPr>
            <w:tcW w:w="9198" w:type="dxa"/>
          </w:tcPr>
          <w:p>
            <w:pPr>
              <w:numPr>
                <w:ilvl w:val="0"/>
                <w:numId w:val="1"/>
              </w:numPr>
              <w:spacing w:line="360" w:lineRule="auto"/>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360" w:lineRule="auto"/>
              <w:ind w:leftChars="0"/>
              <w:rPr>
                <w:rFonts w:ascii="宋体" w:hAnsi="宋体"/>
                <w:b/>
                <w:sz w:val="21"/>
                <w:szCs w:val="21"/>
              </w:rPr>
            </w:pPr>
            <w:r>
              <w:rPr>
                <w:rFonts w:hint="eastAsia" w:ascii="宋体" w:hAnsi="宋体"/>
                <w:b w:val="0"/>
                <w:bCs/>
                <w:sz w:val="21"/>
                <w:szCs w:val="21"/>
                <w:lang w:val="en-US" w:eastAsia="zh-CN"/>
              </w:rPr>
              <w:t>执行：</w:t>
            </w:r>
            <w:r>
              <w:rPr>
                <w:rFonts w:hint="eastAsia" w:ascii="宋体" w:hAnsi="宋体"/>
                <w:b w:val="0"/>
                <w:bCs/>
                <w:sz w:val="21"/>
                <w:szCs w:val="21"/>
              </w:rPr>
              <w:t>《风险和机遇评估分析表》，风险和机遇及应对的措施策划适当符合要求。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4"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60" w:lineRule="auto"/>
              <w:ind w:left="211" w:hanging="211" w:hangingChars="100"/>
              <w:rPr>
                <w:rFonts w:hint="eastAsia" w:ascii="宋体" w:hAnsi="宋体"/>
                <w:b/>
                <w:sz w:val="21"/>
                <w:szCs w:val="21"/>
              </w:rPr>
            </w:pPr>
            <w:r>
              <w:rPr>
                <w:rFonts w:hint="eastAsia" w:ascii="宋体" w:hAnsi="宋体"/>
                <w:b/>
                <w:sz w:val="21"/>
                <w:szCs w:val="21"/>
              </w:rPr>
              <w:t>质量管理体系过程有：</w:t>
            </w:r>
          </w:p>
          <w:p>
            <w:pPr>
              <w:tabs>
                <w:tab w:val="left" w:pos="540"/>
              </w:tabs>
              <w:spacing w:line="360" w:lineRule="auto"/>
              <w:ind w:left="211" w:hanging="211" w:hangingChars="100"/>
              <w:rPr>
                <w:rFonts w:hint="eastAsia" w:ascii="宋体" w:hAnsi="宋体"/>
                <w:b/>
                <w:sz w:val="21"/>
                <w:szCs w:val="21"/>
              </w:rPr>
            </w:pPr>
            <w:r>
              <w:rPr>
                <w:rFonts w:hint="eastAsia" w:ascii="宋体" w:hAnsi="宋体"/>
                <w:b/>
                <w:sz w:val="21"/>
                <w:szCs w:val="21"/>
              </w:rPr>
              <w:t xml:space="preserve">其中关键过程有 </w:t>
            </w:r>
            <w:r>
              <w:rPr>
                <w:rFonts w:hint="eastAsia" w:ascii="宋体" w:hAnsi="宋体"/>
                <w:b/>
                <w:sz w:val="21"/>
                <w:szCs w:val="21"/>
                <w:u w:val="single"/>
              </w:rPr>
              <w:t xml:space="preserve"> </w:t>
            </w:r>
            <w:r>
              <w:rPr>
                <w:rFonts w:hint="eastAsia" w:ascii="宋体" w:hAnsi="宋体"/>
                <w:b w:val="0"/>
                <w:bCs/>
                <w:sz w:val="21"/>
                <w:szCs w:val="21"/>
                <w:u w:val="single"/>
              </w:rPr>
              <w:t>焊接</w:t>
            </w:r>
            <w:r>
              <w:rPr>
                <w:rFonts w:hint="eastAsia" w:ascii="宋体" w:hAnsi="宋体"/>
                <w:b w:val="0"/>
                <w:bCs/>
                <w:sz w:val="21"/>
                <w:szCs w:val="21"/>
                <w:u w:val="single"/>
                <w:lang w:eastAsia="zh-CN"/>
              </w:rPr>
              <w:t>、</w:t>
            </w:r>
            <w:r>
              <w:rPr>
                <w:rFonts w:hint="eastAsia" w:ascii="宋体" w:hAnsi="宋体"/>
                <w:b w:val="0"/>
                <w:bCs/>
                <w:sz w:val="21"/>
                <w:szCs w:val="21"/>
                <w:u w:val="single"/>
              </w:rPr>
              <w:t xml:space="preserve">组装过程 </w:t>
            </w:r>
            <w:r>
              <w:rPr>
                <w:rFonts w:hint="eastAsia" w:ascii="宋体" w:hAnsi="宋体"/>
                <w:b/>
                <w:sz w:val="21"/>
                <w:szCs w:val="21"/>
              </w:rPr>
              <w:t xml:space="preserve"> ，</w:t>
            </w:r>
          </w:p>
          <w:p>
            <w:pPr>
              <w:tabs>
                <w:tab w:val="left" w:pos="540"/>
              </w:tabs>
              <w:spacing w:line="360" w:lineRule="auto"/>
              <w:ind w:left="211" w:hanging="211" w:hangingChars="100"/>
              <w:rPr>
                <w:rFonts w:hint="eastAsia" w:ascii="宋体" w:hAnsi="宋体"/>
                <w:b/>
                <w:sz w:val="21"/>
                <w:szCs w:val="21"/>
              </w:rPr>
            </w:pPr>
            <w:r>
              <w:rPr>
                <w:rFonts w:hint="eastAsia" w:ascii="宋体" w:hAnsi="宋体"/>
                <w:b/>
                <w:sz w:val="21"/>
                <w:szCs w:val="21"/>
              </w:rPr>
              <w:t xml:space="preserve">需要确认过程  </w:t>
            </w:r>
            <w:r>
              <w:rPr>
                <w:rFonts w:hint="eastAsia" w:ascii="宋体" w:hAnsi="宋体"/>
                <w:b w:val="0"/>
                <w:bCs/>
                <w:sz w:val="21"/>
                <w:szCs w:val="21"/>
                <w:u w:val="single"/>
                <w:lang w:eastAsia="zh-CN"/>
              </w:rPr>
              <w:t>焊接，</w:t>
            </w:r>
          </w:p>
          <w:p>
            <w:pPr>
              <w:tabs>
                <w:tab w:val="left" w:pos="540"/>
              </w:tabs>
              <w:spacing w:line="360" w:lineRule="auto"/>
              <w:ind w:left="211" w:hanging="211" w:hangingChars="100"/>
              <w:rPr>
                <w:rFonts w:ascii="宋体" w:hAnsi="宋体"/>
                <w:b w:val="0"/>
                <w:bCs/>
                <w:sz w:val="21"/>
                <w:szCs w:val="21"/>
                <w:u w:val="single"/>
              </w:rPr>
            </w:pPr>
            <w:r>
              <w:rPr>
                <w:rFonts w:hint="eastAsia" w:ascii="宋体" w:hAnsi="宋体"/>
                <w:b/>
                <w:sz w:val="21"/>
                <w:szCs w:val="21"/>
              </w:rPr>
              <w:t xml:space="preserve">不适用条款是  </w:t>
            </w:r>
            <w:r>
              <w:rPr>
                <w:rFonts w:hint="eastAsia" w:ascii="宋体" w:hAnsi="宋体"/>
                <w:b/>
                <w:sz w:val="21"/>
                <w:szCs w:val="21"/>
                <w:u w:val="single"/>
              </w:rPr>
              <w:t xml:space="preserve">8.3条款   </w:t>
            </w:r>
            <w:r>
              <w:rPr>
                <w:rFonts w:hint="eastAsia" w:ascii="宋体" w:hAnsi="宋体"/>
                <w:b/>
                <w:sz w:val="21"/>
                <w:szCs w:val="21"/>
              </w:rPr>
              <w:t xml:space="preserve"> ，不适用理由： </w:t>
            </w:r>
            <w:r>
              <w:rPr>
                <w:rFonts w:hint="eastAsia" w:ascii="宋体" w:hAnsi="宋体"/>
                <w:b w:val="0"/>
                <w:bCs/>
                <w:sz w:val="21"/>
                <w:szCs w:val="21"/>
                <w:u w:val="single"/>
              </w:rPr>
              <w:t xml:space="preserve">按照标准和客户要求生产销售和技术服务，不需再进行设计开发，删减适宜。 </w:t>
            </w:r>
          </w:p>
          <w:p>
            <w:pPr>
              <w:tabs>
                <w:tab w:val="left" w:pos="540"/>
              </w:tabs>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60" w:lineRule="auto"/>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360" w:lineRule="auto"/>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numPr>
                <w:ilvl w:val="0"/>
                <w:numId w:val="3"/>
              </w:numPr>
              <w:tabs>
                <w:tab w:val="left" w:pos="540"/>
              </w:tabs>
              <w:spacing w:line="360" w:lineRule="auto"/>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4"/>
              <w:numPr>
                <w:ilvl w:val="0"/>
                <w:numId w:val="3"/>
              </w:numPr>
              <w:tabs>
                <w:tab w:val="left" w:pos="540"/>
              </w:tabs>
              <w:spacing w:line="360" w:lineRule="auto"/>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lang w:eastAsia="zh-CN"/>
              </w:rPr>
              <w:t>☑</w:t>
            </w:r>
            <w:r>
              <w:rPr>
                <w:rFonts w:hint="eastAsia" w:ascii="宋体" w:hAnsi="宋体"/>
                <w:b/>
                <w:szCs w:val="21"/>
              </w:rPr>
              <w:t>确定□未确定法律法规要求的具体条款，</w:t>
            </w:r>
          </w:p>
          <w:p>
            <w:pPr>
              <w:pStyle w:val="14"/>
              <w:numPr>
                <w:ilvl w:val="0"/>
                <w:numId w:val="3"/>
              </w:numPr>
              <w:tabs>
                <w:tab w:val="left" w:pos="540"/>
              </w:tabs>
              <w:spacing w:line="360" w:lineRule="auto"/>
              <w:ind w:firstLineChars="0"/>
              <w:rPr>
                <w:rFonts w:ascii="宋体" w:hAnsi="宋体"/>
                <w:b/>
                <w:szCs w:val="21"/>
              </w:rPr>
            </w:pPr>
            <w:r>
              <w:rPr>
                <w:rFonts w:hint="eastAsia" w:ascii="宋体" w:hAnsi="宋体"/>
                <w:b/>
                <w:szCs w:val="21"/>
              </w:rPr>
              <w:t>法律法规的宣传方式：</w:t>
            </w:r>
            <w:r>
              <w:rPr>
                <w:rFonts w:hint="eastAsia" w:ascii="宋体" w:hAnsi="宋体"/>
                <w:szCs w:val="21"/>
                <w:u w:val="single"/>
              </w:rPr>
              <w:t>公司通过培训、会议等方式向有关员工传达法律、法规及其它要求的相关要求。</w:t>
            </w:r>
          </w:p>
          <w:p>
            <w:pPr>
              <w:pStyle w:val="14"/>
              <w:numPr>
                <w:ilvl w:val="0"/>
                <w:numId w:val="3"/>
              </w:numPr>
              <w:tabs>
                <w:tab w:val="left" w:pos="540"/>
              </w:tabs>
              <w:spacing w:line="360" w:lineRule="auto"/>
              <w:ind w:firstLineChars="0"/>
              <w:rPr>
                <w:rFonts w:ascii="宋体" w:hAnsi="宋体"/>
                <w:b/>
                <w:szCs w:val="21"/>
              </w:rPr>
            </w:pPr>
            <w:r>
              <w:rPr>
                <w:rFonts w:hint="eastAsia" w:ascii="宋体" w:hAnsi="宋体"/>
                <w:b/>
                <w:szCs w:val="21"/>
              </w:rPr>
              <w:t>法律法规要求及时更新了</w:t>
            </w:r>
            <w:r>
              <w:rPr>
                <w:rFonts w:hint="eastAsia" w:ascii="宋体" w:hAnsi="宋体"/>
                <w:szCs w:val="21"/>
                <w:u w:val="single"/>
              </w:rPr>
              <w:t>为最新版本，每年更新一次。</w:t>
            </w:r>
          </w:p>
          <w:p>
            <w:pPr>
              <w:tabs>
                <w:tab w:val="left" w:pos="0"/>
              </w:tabs>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60" w:lineRule="auto"/>
              <w:rPr>
                <w:rFonts w:ascii="宋体" w:hAnsi="宋体"/>
                <w:sz w:val="21"/>
                <w:szCs w:val="21"/>
              </w:rPr>
            </w:pPr>
            <w:r>
              <w:rPr>
                <w:rFonts w:hint="eastAsia" w:ascii="宋体" w:hAnsi="宋体"/>
                <w:sz w:val="21"/>
                <w:szCs w:val="21"/>
              </w:rPr>
              <w:t>公司质量目标：</w:t>
            </w:r>
          </w:p>
          <w:p>
            <w:pPr>
              <w:numPr>
                <w:ilvl w:val="0"/>
                <w:numId w:val="4"/>
              </w:numPr>
              <w:spacing w:line="360" w:lineRule="auto"/>
              <w:ind w:left="851" w:hanging="403"/>
              <w:rPr>
                <w:rFonts w:ascii="宋体" w:hAnsi="宋体"/>
                <w:sz w:val="21"/>
                <w:szCs w:val="21"/>
              </w:rPr>
            </w:pPr>
            <w:r>
              <w:rPr>
                <w:rFonts w:hint="eastAsia" w:ascii="宋体" w:hAnsi="宋体"/>
                <w:sz w:val="21"/>
                <w:szCs w:val="21"/>
              </w:rPr>
              <w:t>产品/服务交付及时率100%；</w:t>
            </w:r>
          </w:p>
          <w:p>
            <w:pPr>
              <w:numPr>
                <w:ilvl w:val="0"/>
                <w:numId w:val="5"/>
              </w:numPr>
              <w:tabs>
                <w:tab w:val="left" w:pos="855"/>
              </w:tabs>
              <w:spacing w:line="360" w:lineRule="auto"/>
              <w:ind w:left="851" w:hanging="403"/>
              <w:rPr>
                <w:rFonts w:ascii="宋体" w:hAnsi="宋体"/>
                <w:sz w:val="21"/>
                <w:szCs w:val="21"/>
              </w:rPr>
            </w:pPr>
            <w:r>
              <w:rPr>
                <w:rFonts w:hint="eastAsia" w:ascii="宋体" w:hAnsi="宋体"/>
                <w:sz w:val="21"/>
                <w:szCs w:val="21"/>
              </w:rPr>
              <w:t>产品顾客验收合格率100%；</w:t>
            </w:r>
          </w:p>
          <w:p>
            <w:pPr>
              <w:numPr>
                <w:ilvl w:val="0"/>
                <w:numId w:val="5"/>
              </w:numPr>
              <w:tabs>
                <w:tab w:val="left" w:pos="855"/>
              </w:tabs>
              <w:spacing w:line="360" w:lineRule="auto"/>
              <w:ind w:left="851" w:hanging="403"/>
              <w:rPr>
                <w:rFonts w:ascii="宋体" w:hAnsi="宋体"/>
                <w:sz w:val="21"/>
                <w:szCs w:val="21"/>
              </w:rPr>
            </w:pPr>
            <w:r>
              <w:rPr>
                <w:rFonts w:hint="eastAsia" w:ascii="宋体" w:hAnsi="宋体"/>
                <w:sz w:val="21"/>
                <w:szCs w:val="21"/>
              </w:rPr>
              <w:t>顾客满意率≥90%。</w:t>
            </w:r>
          </w:p>
          <w:p>
            <w:pPr>
              <w:spacing w:line="360" w:lineRule="auto"/>
              <w:rPr>
                <w:rFonts w:ascii="宋体" w:hAnsi="宋体"/>
                <w:b/>
                <w:sz w:val="21"/>
                <w:szCs w:val="21"/>
              </w:rPr>
            </w:pPr>
            <w:r>
              <w:rPr>
                <w:rFonts w:hint="eastAsia" w:ascii="宋体" w:hAnsi="宋体"/>
                <w:sz w:val="21"/>
                <w:szCs w:val="21"/>
              </w:rPr>
              <w:t>目标已分解到各部门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360" w:lineRule="auto"/>
              <w:rPr>
                <w:rFonts w:ascii="宋体" w:hAnsi="宋体"/>
                <w:b/>
                <w:sz w:val="21"/>
                <w:szCs w:val="21"/>
              </w:rPr>
            </w:pPr>
            <w:r>
              <w:rPr>
                <w:rFonts w:hint="eastAsia" w:ascii="宋体" w:hAnsi="宋体"/>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restart"/>
            <w:textDirection w:val="tbRlV"/>
            <w:vAlign w:val="center"/>
          </w:tcPr>
          <w:p>
            <w:pPr>
              <w:spacing w:line="360" w:lineRule="auto"/>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6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lang w:val="en-US" w:eastAsia="zh-CN"/>
              </w:rPr>
              <w:t>执行《</w:t>
            </w:r>
            <w:r>
              <w:rPr>
                <w:rFonts w:hint="eastAsia" w:ascii="宋体" w:hAnsi="宋体"/>
                <w:b w:val="0"/>
                <w:bCs/>
                <w:sz w:val="21"/>
                <w:szCs w:val="21"/>
              </w:rPr>
              <w:t>人力资源管理程序</w:t>
            </w:r>
            <w:r>
              <w:rPr>
                <w:rFonts w:hint="eastAsia" w:ascii="宋体" w:hAnsi="宋体"/>
                <w:b w:val="0"/>
                <w:bCs/>
                <w:sz w:val="21"/>
                <w:szCs w:val="21"/>
                <w:lang w:val="en-US" w:eastAsia="zh-CN"/>
              </w:rPr>
              <w:t>》</w:t>
            </w:r>
            <w:r>
              <w:rPr>
                <w:rFonts w:hint="eastAsia" w:ascii="宋体" w:hAnsi="宋体"/>
                <w:b w:val="0"/>
                <w:bCs/>
                <w:sz w:val="21"/>
                <w:szCs w:val="21"/>
              </w:rPr>
              <w:t>，制定</w:t>
            </w:r>
            <w:r>
              <w:rPr>
                <w:rFonts w:hint="eastAsia" w:ascii="宋体" w:hAnsi="宋体"/>
                <w:b w:val="0"/>
                <w:bCs/>
                <w:sz w:val="21"/>
                <w:szCs w:val="21"/>
                <w:lang w:val="en-US" w:eastAsia="zh-CN"/>
              </w:rPr>
              <w:t>了</w:t>
            </w:r>
            <w:r>
              <w:rPr>
                <w:rFonts w:hint="eastAsia" w:ascii="宋体" w:hAnsi="宋体"/>
                <w:b w:val="0"/>
                <w:bCs/>
                <w:sz w:val="21"/>
                <w:szCs w:val="21"/>
              </w:rPr>
              <w:t>培训计划，</w:t>
            </w:r>
            <w:r>
              <w:rPr>
                <w:rFonts w:hint="eastAsia" w:ascii="宋体" w:hAnsi="宋体"/>
                <w:b w:val="0"/>
                <w:bCs/>
                <w:sz w:val="21"/>
                <w:szCs w:val="21"/>
                <w:lang w:val="en-US" w:eastAsia="zh-CN"/>
              </w:rPr>
              <w:t>有</w:t>
            </w:r>
            <w:r>
              <w:rPr>
                <w:rFonts w:hint="eastAsia" w:ascii="宋体" w:hAnsi="宋体"/>
                <w:b w:val="0"/>
                <w:bCs/>
                <w:sz w:val="21"/>
                <w:szCs w:val="21"/>
              </w:rPr>
              <w:t>组织相关培训</w:t>
            </w:r>
            <w:r>
              <w:rPr>
                <w:rFonts w:hint="eastAsia" w:ascii="宋体" w:hAnsi="宋体"/>
                <w:b w:val="0"/>
                <w:bCs/>
                <w:sz w:val="21"/>
                <w:szCs w:val="21"/>
                <w:lang w:val="en-US" w:eastAsia="zh-CN"/>
              </w:rPr>
              <w:t>记录</w:t>
            </w:r>
            <w:r>
              <w:rPr>
                <w:rFonts w:hint="eastAsia" w:ascii="宋体" w:hAnsi="宋体"/>
                <w:b w:val="0"/>
                <w:bCs/>
                <w:sz w:val="21"/>
                <w:szCs w:val="21"/>
              </w:rPr>
              <w:t>，能满足上岗要求。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hAnsi="宋体"/>
                <w:b w:val="0"/>
                <w:bCs/>
                <w:sz w:val="21"/>
                <w:szCs w:val="21"/>
              </w:rPr>
              <w:t>主要设备有：剪板机、车床、锯床、刨床、压力机、钻床、切割机、五金工具</w:t>
            </w:r>
            <w:r>
              <w:rPr>
                <w:rFonts w:hint="eastAsia" w:ascii="宋体" w:hAnsi="宋体"/>
                <w:b w:val="0"/>
                <w:bCs/>
                <w:sz w:val="21"/>
                <w:szCs w:val="21"/>
                <w:lang w:eastAsia="zh-CN"/>
              </w:rPr>
              <w:t>、</w:t>
            </w:r>
            <w:r>
              <w:rPr>
                <w:rFonts w:hint="eastAsia" w:ascii="宋体" w:hAnsi="宋体"/>
                <w:b w:val="0"/>
                <w:bCs/>
                <w:sz w:val="21"/>
                <w:szCs w:val="21"/>
              </w:rPr>
              <w:t>离心机、压滤机、搅拌罐、装载机等生产设备，有电脑、打印机、网络设备，厂房和办公室能满足要求；</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spacing w:line="360" w:lineRule="auto"/>
              <w:rPr>
                <w:rFonts w:ascii="宋体" w:hAnsi="宋体"/>
                <w:b/>
                <w:sz w:val="21"/>
                <w:szCs w:val="21"/>
              </w:rPr>
            </w:pPr>
            <w:r>
              <w:rPr>
                <w:rFonts w:hint="eastAsia" w:ascii="宋体" w:hAnsi="宋体"/>
                <w:b w:val="0"/>
                <w:bCs/>
                <w:sz w:val="21"/>
                <w:szCs w:val="21"/>
              </w:rPr>
              <w:t>产品生产对环境没有特殊要求，车间布局</w:t>
            </w:r>
            <w:r>
              <w:rPr>
                <w:rFonts w:hint="eastAsia" w:ascii="宋体" w:hAnsi="宋体"/>
                <w:b w:val="0"/>
                <w:bCs/>
                <w:sz w:val="21"/>
                <w:szCs w:val="21"/>
                <w:lang w:val="en-US" w:eastAsia="zh-CN"/>
              </w:rPr>
              <w:t>紧凑</w:t>
            </w:r>
            <w:r>
              <w:rPr>
                <w:rFonts w:hint="eastAsia" w:ascii="宋体" w:hAnsi="宋体"/>
                <w:b w:val="0"/>
                <w:bCs/>
                <w:sz w:val="21"/>
                <w:szCs w:val="21"/>
              </w:rPr>
              <w:t>，</w:t>
            </w:r>
            <w:r>
              <w:rPr>
                <w:rFonts w:hint="eastAsia" w:ascii="宋体" w:hAnsi="宋体"/>
                <w:b w:val="0"/>
                <w:bCs/>
                <w:sz w:val="21"/>
                <w:szCs w:val="21"/>
                <w:lang w:val="en-US" w:eastAsia="zh-CN"/>
              </w:rPr>
              <w:t>运输通道畅通</w:t>
            </w:r>
            <w:r>
              <w:rPr>
                <w:rFonts w:hint="eastAsia" w:ascii="宋体" w:hAnsi="宋体"/>
                <w:b w:val="0"/>
                <w:bCs/>
                <w:sz w:val="21"/>
                <w:szCs w:val="21"/>
              </w:rPr>
              <w:t>、</w:t>
            </w:r>
            <w:r>
              <w:rPr>
                <w:rFonts w:hint="eastAsia" w:ascii="宋体" w:hAnsi="宋体"/>
                <w:b w:val="0"/>
                <w:bCs/>
                <w:sz w:val="21"/>
                <w:szCs w:val="21"/>
                <w:lang w:val="en-US" w:eastAsia="zh-CN"/>
              </w:rPr>
              <w:t>通风、</w:t>
            </w:r>
            <w:r>
              <w:rPr>
                <w:rFonts w:hint="eastAsia" w:ascii="宋体" w:hAnsi="宋体"/>
                <w:b w:val="0"/>
                <w:bCs/>
                <w:sz w:val="21"/>
                <w:szCs w:val="21"/>
              </w:rPr>
              <w:t>光线</w:t>
            </w:r>
            <w:r>
              <w:rPr>
                <w:rFonts w:hint="eastAsia" w:ascii="宋体" w:hAnsi="宋体"/>
                <w:b w:val="0"/>
                <w:bCs/>
                <w:sz w:val="21"/>
                <w:szCs w:val="21"/>
                <w:lang w:val="en-US" w:eastAsia="zh-CN"/>
              </w:rPr>
              <w:t>充足</w:t>
            </w:r>
            <w:r>
              <w:rPr>
                <w:rFonts w:hint="eastAsia" w:ascii="宋体" w:hAnsi="宋体"/>
                <w:b w:val="0"/>
                <w:bCs/>
                <w:sz w:val="21"/>
                <w:szCs w:val="21"/>
              </w:rPr>
              <w:t>，生产和办公环境干净、整洁。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spacing w:line="360" w:lineRule="auto"/>
              <w:rPr>
                <w:rFonts w:ascii="宋体" w:hAnsi="宋体"/>
                <w:b/>
                <w:sz w:val="21"/>
                <w:szCs w:val="21"/>
              </w:rPr>
            </w:pPr>
            <w:r>
              <w:rPr>
                <w:rFonts w:hint="eastAsia" w:ascii="宋体" w:hAnsi="宋体"/>
                <w:b w:val="0"/>
                <w:bCs/>
                <w:sz w:val="21"/>
                <w:szCs w:val="21"/>
              </w:rPr>
              <w:t>千分尺、卡尺、百分表、电流表、万用表、扭力扳手、探伤仪等监视测量设备。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知识</w:t>
            </w:r>
          </w:p>
          <w:p>
            <w:pPr>
              <w:spacing w:line="360" w:lineRule="auto"/>
              <w:rPr>
                <w:rFonts w:ascii="宋体" w:hAnsi="宋体"/>
                <w:b/>
                <w:sz w:val="21"/>
                <w:szCs w:val="21"/>
              </w:rPr>
            </w:pPr>
            <w:r>
              <w:rPr>
                <w:rFonts w:hint="eastAsia" w:ascii="宋体" w:hAnsi="宋体" w:eastAsia="宋体" w:cs="Times New Roman"/>
                <w:b w:val="0"/>
                <w:bCs/>
                <w:sz w:val="21"/>
                <w:szCs w:val="21"/>
              </w:rPr>
              <w:t>企业运行过程所需的知识从内部来源获取的有：公司生产服务人员有以往多年工作经验，公司老员工负有对新员工进行的传帮带经验传授的职责。外部来源获取有：管理体系辅导老师传授的体系知识及所实施的培训；生产、检验、采购、销售、技术服务、泥浆处理人员的专业经历、外部供方的产品知识及相关标准、社会知识等</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720" w:type="dxa"/>
            <w:vMerge w:val="restart"/>
            <w:textDirection w:val="tbRlV"/>
            <w:vAlign w:val="center"/>
          </w:tcPr>
          <w:p>
            <w:pPr>
              <w:spacing w:line="360" w:lineRule="auto"/>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auto"/>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ind w:left="1"/>
              <w:rPr>
                <w:rFonts w:ascii="宋体" w:hAnsi="宋体"/>
                <w:b/>
                <w:sz w:val="21"/>
                <w:szCs w:val="21"/>
              </w:rPr>
            </w:pPr>
            <w:r>
              <w:rPr>
                <w:rFonts w:hint="eastAsia" w:ascii="宋体" w:hAnsi="宋体"/>
                <w:b w:val="0"/>
                <w:bCs/>
                <w:sz w:val="21"/>
                <w:szCs w:val="21"/>
              </w:rPr>
              <w:t>管理体系方针沟通、评审符合要求。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360" w:lineRule="auto"/>
              <w:rPr>
                <w:rFonts w:ascii="宋体" w:hAnsi="宋体"/>
                <w:b/>
                <w:sz w:val="21"/>
                <w:szCs w:val="21"/>
              </w:rPr>
            </w:pPr>
          </w:p>
          <w:p>
            <w:pPr>
              <w:spacing w:line="360" w:lineRule="auto"/>
              <w:rPr>
                <w:rFonts w:ascii="宋体" w:hAnsi="宋体"/>
                <w:b/>
                <w:sz w:val="21"/>
                <w:szCs w:val="21"/>
              </w:rPr>
            </w:pPr>
            <w:r>
              <w:rPr>
                <w:rFonts w:hint="eastAsia" w:ascii="宋体" w:hAnsi="宋体"/>
                <w:b/>
                <w:sz w:val="21"/>
                <w:szCs w:val="21"/>
              </w:rPr>
              <w:t>内部沟通的情况：内部沟通方式：</w:t>
            </w:r>
            <w:r>
              <w:rPr>
                <w:rFonts w:hint="eastAsia" w:ascii="宋体" w:hAnsi="宋体" w:eastAsia="宋体" w:cs="Times New Roman"/>
                <w:b w:val="0"/>
                <w:bCs/>
                <w:sz w:val="21"/>
                <w:szCs w:val="21"/>
                <w:u w:val="single"/>
              </w:rPr>
              <w:t>培训、会议、宣传栏；</w:t>
            </w:r>
          </w:p>
          <w:p>
            <w:pPr>
              <w:spacing w:line="360" w:lineRule="auto"/>
              <w:rPr>
                <w:rFonts w:ascii="宋体" w:hAnsi="宋体"/>
                <w:b/>
                <w:sz w:val="21"/>
                <w:szCs w:val="21"/>
              </w:rPr>
            </w:pPr>
            <w:r>
              <w:rPr>
                <w:rFonts w:hint="eastAsia" w:ascii="宋体" w:hAnsi="宋体"/>
                <w:b/>
                <w:sz w:val="21"/>
                <w:szCs w:val="21"/>
              </w:rPr>
              <w:t>内部沟通的效果：</w:t>
            </w:r>
            <w:r>
              <w:rPr>
                <w:rFonts w:hint="eastAsia" w:ascii="宋体" w:hAnsi="宋体" w:eastAsia="宋体"/>
                <w:sz w:val="21"/>
                <w:szCs w:val="21"/>
                <w:u w:val="single"/>
              </w:rPr>
              <w:t>沟通畅通；</w:t>
            </w:r>
          </w:p>
          <w:p>
            <w:pPr>
              <w:spacing w:line="360" w:lineRule="auto"/>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宋体" w:hAnsi="宋体" w:eastAsia="宋体"/>
                <w:sz w:val="21"/>
                <w:szCs w:val="21"/>
                <w:u w:val="single"/>
              </w:rPr>
              <w:t>定期组织顾客满意度调查和走访。</w:t>
            </w:r>
          </w:p>
          <w:p>
            <w:pPr>
              <w:spacing w:line="360" w:lineRule="auto"/>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p>
          <w:p>
            <w:pPr>
              <w:spacing w:line="360" w:lineRule="auto"/>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p>
          <w:p>
            <w:pPr>
              <w:spacing w:line="360" w:lineRule="auto"/>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360" w:lineRule="auto"/>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360" w:lineRule="auto"/>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360" w:lineRule="auto"/>
              <w:rPr>
                <w:rFonts w:hint="eastAsia" w:ascii="宋体" w:hAnsi="宋体"/>
                <w:b w:val="0"/>
                <w:bCs/>
                <w:sz w:val="21"/>
                <w:szCs w:val="21"/>
              </w:rPr>
            </w:pPr>
            <w:r>
              <w:rPr>
                <w:rFonts w:hint="eastAsia" w:ascii="宋体" w:hAnsi="宋体"/>
                <w:b w:val="0"/>
                <w:bCs/>
                <w:sz w:val="21"/>
                <w:szCs w:val="21"/>
              </w:rPr>
              <w:t>公司主要从事石油钻井机械设备及配件的生产和修理技术服务；石油钻井油泥、泥浆废弃物的处理，</w:t>
            </w:r>
          </w:p>
          <w:p>
            <w:pPr>
              <w:spacing w:line="360" w:lineRule="auto"/>
              <w:rPr>
                <w:rFonts w:hint="eastAsia" w:ascii="宋体" w:hAnsi="宋体"/>
                <w:b w:val="0"/>
                <w:bCs/>
                <w:sz w:val="21"/>
                <w:szCs w:val="21"/>
              </w:rPr>
            </w:pPr>
            <w:r>
              <w:rPr>
                <w:rFonts w:hint="eastAsia" w:ascii="宋体" w:hAnsi="宋体"/>
                <w:b w:val="0"/>
                <w:bCs/>
                <w:sz w:val="21"/>
                <w:szCs w:val="21"/>
              </w:rPr>
              <w:t>生产工艺流程为：</w:t>
            </w:r>
          </w:p>
          <w:p>
            <w:pPr>
              <w:spacing w:line="360" w:lineRule="auto"/>
              <w:rPr>
                <w:rFonts w:hint="eastAsia" w:ascii="宋体" w:hAnsi="宋体"/>
                <w:b w:val="0"/>
                <w:bCs/>
                <w:sz w:val="21"/>
                <w:szCs w:val="21"/>
              </w:rPr>
            </w:pPr>
            <w:r>
              <w:rPr>
                <w:rFonts w:hint="eastAsia" w:ascii="宋体" w:hAnsi="宋体"/>
                <w:b w:val="0"/>
                <w:bCs/>
                <w:sz w:val="21"/>
                <w:szCs w:val="21"/>
              </w:rPr>
              <w:t xml:space="preserve">生产流程图：采购→检验→下料→机加工→铆焊→组装→喷涂（外包）→检验→交付；  </w:t>
            </w:r>
          </w:p>
          <w:p>
            <w:pPr>
              <w:spacing w:line="360" w:lineRule="auto"/>
              <w:rPr>
                <w:rFonts w:hint="eastAsia" w:ascii="宋体" w:hAnsi="宋体"/>
                <w:b w:val="0"/>
                <w:bCs/>
                <w:sz w:val="21"/>
                <w:szCs w:val="21"/>
              </w:rPr>
            </w:pPr>
            <w:r>
              <w:rPr>
                <w:rFonts w:hint="eastAsia" w:ascii="宋体" w:hAnsi="宋体"/>
                <w:b w:val="0"/>
                <w:bCs/>
                <w:sz w:val="21"/>
                <w:szCs w:val="21"/>
              </w:rPr>
              <w:t>修理技术服务流程图：合同签订→修理方案确定→修理技术服务→客户验收交付；  　　　　　　　　　　　</w:t>
            </w:r>
          </w:p>
          <w:p>
            <w:pPr>
              <w:spacing w:line="360" w:lineRule="auto"/>
              <w:rPr>
                <w:rFonts w:hint="eastAsia" w:ascii="宋体" w:hAnsi="宋体"/>
                <w:b w:val="0"/>
                <w:bCs/>
                <w:sz w:val="21"/>
                <w:szCs w:val="21"/>
              </w:rPr>
            </w:pPr>
            <w:r>
              <w:rPr>
                <w:rFonts w:hint="eastAsia" w:ascii="宋体" w:hAnsi="宋体"/>
                <w:b w:val="0"/>
                <w:bCs/>
                <w:sz w:val="21"/>
                <w:szCs w:val="21"/>
              </w:rPr>
              <w:t>油泥、泥浆废弃物处理过程：收集→配药→搅拌→压滤→液固分别转运；</w:t>
            </w:r>
          </w:p>
          <w:p>
            <w:pPr>
              <w:spacing w:line="360" w:lineRule="auto"/>
              <w:rPr>
                <w:rFonts w:hint="eastAsia" w:ascii="宋体" w:hAnsi="宋体"/>
                <w:b w:val="0"/>
                <w:bCs/>
                <w:sz w:val="21"/>
                <w:szCs w:val="21"/>
              </w:rPr>
            </w:pPr>
            <w:r>
              <w:rPr>
                <w:rFonts w:hint="eastAsia" w:ascii="宋体" w:hAnsi="宋体"/>
                <w:b w:val="0"/>
                <w:bCs/>
                <w:sz w:val="21"/>
                <w:szCs w:val="21"/>
              </w:rPr>
              <w:t>关键过程是组装、压滤过程，特殊过程</w:t>
            </w:r>
            <w:r>
              <w:rPr>
                <w:rFonts w:hint="eastAsia" w:ascii="宋体" w:hAnsi="宋体"/>
                <w:b w:val="0"/>
                <w:bCs/>
                <w:sz w:val="21"/>
                <w:szCs w:val="21"/>
                <w:lang w:eastAsia="zh-CN"/>
              </w:rPr>
              <w:t>，焊接</w:t>
            </w:r>
            <w:r>
              <w:rPr>
                <w:rFonts w:hint="eastAsia" w:ascii="宋体" w:hAnsi="宋体"/>
                <w:b w:val="0"/>
                <w:bCs/>
                <w:sz w:val="21"/>
                <w:szCs w:val="21"/>
              </w:rPr>
              <w:t>。</w:t>
            </w:r>
          </w:p>
          <w:p>
            <w:pPr>
              <w:spacing w:line="360" w:lineRule="auto"/>
              <w:rPr>
                <w:rFonts w:hint="eastAsia" w:ascii="宋体" w:hAnsi="宋体"/>
                <w:b w:val="0"/>
                <w:bCs/>
                <w:sz w:val="21"/>
                <w:szCs w:val="21"/>
              </w:rPr>
            </w:pPr>
            <w:r>
              <w:rPr>
                <w:rFonts w:hint="eastAsia" w:ascii="宋体" w:hAnsi="宋体"/>
                <w:b w:val="0"/>
                <w:bCs/>
                <w:sz w:val="21"/>
                <w:szCs w:val="21"/>
              </w:rPr>
              <w:t>公司依据客户订单，下达生产计划，接到定单后召开生产会议，进行生产、质量及管理工作协调。</w:t>
            </w:r>
          </w:p>
          <w:p>
            <w:pPr>
              <w:spacing w:line="360" w:lineRule="auto"/>
              <w:rPr>
                <w:rFonts w:hint="eastAsia" w:ascii="宋体" w:hAnsi="宋体"/>
                <w:b w:val="0"/>
                <w:bCs/>
                <w:sz w:val="21"/>
                <w:szCs w:val="21"/>
              </w:rPr>
            </w:pPr>
            <w:r>
              <w:rPr>
                <w:rFonts w:hint="eastAsia" w:ascii="宋体" w:hAnsi="宋体"/>
                <w:b w:val="0"/>
                <w:bCs/>
                <w:sz w:val="21"/>
                <w:szCs w:val="21"/>
              </w:rPr>
              <w:t>通过原材料检验、过程检验、成品检验等过程对产品质量、生产进度等进行监控。</w:t>
            </w:r>
          </w:p>
          <w:p>
            <w:pPr>
              <w:spacing w:line="360" w:lineRule="auto"/>
              <w:rPr>
                <w:rFonts w:hint="eastAsia" w:ascii="宋体" w:hAnsi="宋体"/>
                <w:b w:val="0"/>
                <w:bCs/>
                <w:sz w:val="21"/>
                <w:szCs w:val="21"/>
              </w:rPr>
            </w:pPr>
            <w:r>
              <w:rPr>
                <w:rFonts w:hint="eastAsia" w:ascii="宋体" w:hAnsi="宋体"/>
                <w:b w:val="0"/>
                <w:bCs/>
                <w:sz w:val="21"/>
                <w:szCs w:val="21"/>
              </w:rPr>
              <w:t>为生产过程提供了适宜的设备及环境，配备了胜任的人员</w:t>
            </w:r>
            <w:r>
              <w:rPr>
                <w:rFonts w:hint="eastAsia" w:ascii="宋体" w:hAnsi="宋体"/>
                <w:b w:val="0"/>
                <w:bCs/>
                <w:sz w:val="21"/>
                <w:szCs w:val="21"/>
                <w:lang w:eastAsia="zh-CN"/>
              </w:rPr>
              <w:t>，</w:t>
            </w:r>
            <w:r>
              <w:rPr>
                <w:rFonts w:hint="eastAsia" w:ascii="宋体" w:hAnsi="宋体"/>
                <w:b w:val="0"/>
                <w:bCs/>
                <w:sz w:val="21"/>
                <w:szCs w:val="21"/>
              </w:rPr>
              <w:t>焊接进行了过程确认。</w:t>
            </w:r>
          </w:p>
          <w:p>
            <w:pPr>
              <w:spacing w:line="360" w:lineRule="auto"/>
              <w:rPr>
                <w:rFonts w:ascii="宋体" w:hAnsi="宋体"/>
                <w:b/>
                <w:sz w:val="21"/>
                <w:szCs w:val="21"/>
              </w:rPr>
            </w:pPr>
            <w:r>
              <w:rPr>
                <w:rFonts w:hint="eastAsia" w:ascii="宋体" w:hAnsi="宋体"/>
                <w:b w:val="0"/>
                <w:bCs/>
                <w:sz w:val="21"/>
                <w:szCs w:val="21"/>
              </w:rPr>
              <w:t>公司按照制定的产品检验规程、作业指导书、原料进货检验规程等文件对产品的生产和检验过程实施了过程控制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60" w:lineRule="auto"/>
              <w:rPr>
                <w:rFonts w:hint="eastAsia" w:ascii="宋体" w:hAnsi="宋体"/>
                <w:b w:val="0"/>
                <w:bCs/>
                <w:sz w:val="21"/>
                <w:szCs w:val="21"/>
              </w:rPr>
            </w:pPr>
            <w:r>
              <w:rPr>
                <w:rFonts w:hint="eastAsia" w:ascii="宋体" w:hAnsi="宋体"/>
                <w:b w:val="0"/>
                <w:bCs/>
                <w:sz w:val="21"/>
                <w:szCs w:val="21"/>
              </w:rPr>
              <w:t>企业参考国家行业主要有：GB/T17744-2015石油天然气工业钻井和修井设备、GB/T19190-2013石油天然气工业钻井和采油提升设备、SY/T5053.2-2007钻井井口控制设备及分流设备控制系统规范、SY/T5532-2016石油钻机绞车、JB/T4238-2005调速型液力偶合器、Q/SY XN0276-2015钻井废弃物无害化处理技术规范等。</w:t>
            </w:r>
          </w:p>
          <w:p>
            <w:pPr>
              <w:spacing w:line="360" w:lineRule="auto"/>
              <w:rPr>
                <w:rFonts w:ascii="宋体" w:hAnsi="宋体"/>
                <w:b/>
                <w:sz w:val="21"/>
                <w:szCs w:val="21"/>
              </w:rPr>
            </w:pPr>
            <w:r>
              <w:rPr>
                <w:rFonts w:hint="eastAsia" w:ascii="宋体" w:hAnsi="宋体"/>
                <w:b w:val="0"/>
                <w:bCs/>
                <w:sz w:val="21"/>
                <w:szCs w:val="21"/>
              </w:rPr>
              <w:t>提供了产品出厂检验报告，产品检验合格，满足顾客要求。</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360" w:lineRule="auto"/>
              <w:ind w:firstLine="211" w:firstLineChars="100"/>
              <w:rPr>
                <w:rFonts w:ascii="宋体" w:hAnsi="宋体"/>
                <w:b/>
                <w:sz w:val="21"/>
                <w:szCs w:val="21"/>
              </w:rPr>
            </w:pPr>
            <w:r>
              <w:rPr>
                <w:rFonts w:hint="eastAsia" w:ascii="宋体" w:hAnsi="宋体"/>
                <w:b/>
                <w:sz w:val="21"/>
                <w:szCs w:val="21"/>
                <w:lang w:val="en-US" w:eastAsia="zh-CN"/>
              </w:rPr>
              <w:t>无</w:t>
            </w:r>
          </w:p>
          <w:p>
            <w:pPr>
              <w:spacing w:line="360" w:lineRule="auto"/>
              <w:rPr>
                <w:rFonts w:ascii="宋体" w:hAnsi="宋体"/>
                <w:b/>
                <w:sz w:val="21"/>
                <w:szCs w:val="21"/>
              </w:rPr>
            </w:pPr>
          </w:p>
          <w:p>
            <w:pPr>
              <w:spacing w:line="360" w:lineRule="auto"/>
              <w:ind w:firstLine="207" w:firstLineChars="98"/>
              <w:rPr>
                <w:rFonts w:ascii="宋体" w:hAnsi="宋体"/>
                <w:b/>
                <w:sz w:val="21"/>
                <w:szCs w:val="21"/>
              </w:rPr>
            </w:pPr>
            <w:r>
              <w:rPr>
                <w:rFonts w:hint="eastAsia" w:ascii="宋体" w:hAnsi="宋体"/>
                <w:b/>
                <w:sz w:val="21"/>
                <w:szCs w:val="21"/>
              </w:rPr>
              <w:t>（附相关证据）：</w:t>
            </w:r>
          </w:p>
          <w:p>
            <w:pPr>
              <w:spacing w:line="360" w:lineRule="auto"/>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提供的《不合格输出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360" w:lineRule="auto"/>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360" w:lineRule="auto"/>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360" w:lineRule="auto"/>
              <w:ind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20" w:type="dxa"/>
            <w:vMerge w:val="restart"/>
            <w:textDirection w:val="tbRlV"/>
            <w:vAlign w:val="center"/>
          </w:tcPr>
          <w:p>
            <w:pPr>
              <w:spacing w:line="360" w:lineRule="auto"/>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360" w:lineRule="auto"/>
              <w:ind w:firstLine="105" w:firstLineChars="50"/>
              <w:rPr>
                <w:rFonts w:ascii="宋体" w:hAnsi="宋体"/>
                <w:b/>
                <w:sz w:val="21"/>
                <w:szCs w:val="21"/>
              </w:rPr>
            </w:pPr>
            <w:r>
              <w:rPr>
                <w:rFonts w:hint="eastAsia" w:ascii="宋体" w:hAnsi="宋体"/>
                <w:b w:val="0"/>
                <w:bCs/>
                <w:sz w:val="21"/>
                <w:szCs w:val="21"/>
                <w:u w:val="none"/>
              </w:rPr>
              <w:t>20</w:t>
            </w:r>
            <w:r>
              <w:rPr>
                <w:rFonts w:hint="eastAsia" w:ascii="宋体" w:hAnsi="宋体"/>
                <w:b w:val="0"/>
                <w:bCs/>
                <w:sz w:val="21"/>
                <w:szCs w:val="21"/>
                <w:u w:val="none"/>
                <w:lang w:val="en-US" w:eastAsia="zh-CN"/>
              </w:rPr>
              <w:t>21</w:t>
            </w:r>
            <w:r>
              <w:rPr>
                <w:rFonts w:hint="eastAsia" w:ascii="宋体" w:hAnsi="宋体"/>
                <w:b w:val="0"/>
                <w:bCs/>
                <w:sz w:val="21"/>
                <w:szCs w:val="21"/>
                <w:u w:val="none"/>
              </w:rPr>
              <w:t>.</w:t>
            </w:r>
            <w:r>
              <w:rPr>
                <w:rFonts w:hint="eastAsia" w:ascii="宋体" w:hAnsi="宋体"/>
                <w:b w:val="0"/>
                <w:bCs/>
                <w:sz w:val="21"/>
                <w:szCs w:val="21"/>
                <w:u w:val="none"/>
                <w:lang w:val="en-US" w:eastAsia="zh-CN"/>
              </w:rPr>
              <w:t>7</w:t>
            </w:r>
            <w:r>
              <w:rPr>
                <w:rFonts w:hint="eastAsia" w:ascii="宋体" w:hAnsi="宋体"/>
                <w:b w:val="0"/>
                <w:bCs/>
                <w:sz w:val="21"/>
                <w:szCs w:val="21"/>
                <w:u w:val="none"/>
              </w:rPr>
              <w:t>.</w:t>
            </w:r>
            <w:r>
              <w:rPr>
                <w:rFonts w:hint="eastAsia" w:ascii="宋体" w:hAnsi="宋体"/>
                <w:b w:val="0"/>
                <w:bCs/>
                <w:sz w:val="21"/>
                <w:szCs w:val="21"/>
                <w:u w:val="none"/>
                <w:lang w:val="en-US" w:eastAsia="zh-CN"/>
              </w:rPr>
              <w:t>5</w:t>
            </w:r>
            <w:r>
              <w:rPr>
                <w:rFonts w:hint="eastAsia" w:ascii="宋体" w:hAnsi="宋体"/>
                <w:b w:val="0"/>
                <w:bCs/>
                <w:sz w:val="21"/>
                <w:szCs w:val="21"/>
                <w:u w:val="none"/>
              </w:rPr>
              <w:t>日对质量目标进行了检查，能达标。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numPr>
                <w:ilvl w:val="0"/>
                <w:numId w:val="0"/>
              </w:numPr>
              <w:spacing w:line="360" w:lineRule="auto"/>
              <w:jc w:val="left"/>
              <w:rPr>
                <w:rFonts w:hint="eastAsia" w:ascii="宋体" w:hAnsi="宋体"/>
                <w:b/>
                <w:sz w:val="21"/>
                <w:szCs w:val="21"/>
              </w:rPr>
            </w:pPr>
            <w:r>
              <w:rPr>
                <w:rFonts w:hint="eastAsia" w:ascii="宋体" w:hAnsi="宋体"/>
                <w:b/>
                <w:sz w:val="21"/>
                <w:szCs w:val="21"/>
                <w:lang w:val="en-US" w:eastAsia="zh-CN"/>
              </w:rPr>
              <w:t>2.</w:t>
            </w:r>
            <w:r>
              <w:rPr>
                <w:rFonts w:hint="eastAsia" w:ascii="宋体" w:hAnsi="宋体"/>
                <w:b/>
                <w:sz w:val="21"/>
                <w:szCs w:val="21"/>
              </w:rPr>
              <w:t>顾客满意</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提供《顾客满意度统计分析表》，20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日</w:t>
            </w:r>
            <w:r>
              <w:rPr>
                <w:rFonts w:hint="eastAsia" w:ascii="宋体" w:hAnsi="宋体" w:eastAsia="宋体" w:cs="宋体"/>
                <w:sz w:val="21"/>
                <w:szCs w:val="21"/>
                <w:lang w:eastAsia="zh-CN"/>
              </w:rPr>
              <w:t>，</w:t>
            </w:r>
            <w:r>
              <w:rPr>
                <w:rFonts w:hint="eastAsia" w:ascii="宋体" w:hAnsi="宋体" w:eastAsia="宋体" w:cs="宋体"/>
                <w:sz w:val="21"/>
                <w:szCs w:val="21"/>
              </w:rPr>
              <w:t>对顾客</w:t>
            </w:r>
            <w:r>
              <w:rPr>
                <w:rFonts w:hint="eastAsia" w:ascii="宋体" w:hAnsi="宋体" w:eastAsia="宋体" w:cs="宋体"/>
                <w:color w:val="000000"/>
                <w:sz w:val="21"/>
                <w:szCs w:val="21"/>
              </w:rPr>
              <w:t>陕西宝鸡捷瑞能源设备有限公司</w:t>
            </w:r>
            <w:r>
              <w:rPr>
                <w:rFonts w:hint="eastAsia" w:ascii="宋体" w:hAnsi="宋体" w:eastAsia="宋体" w:cs="宋体"/>
                <w:sz w:val="21"/>
                <w:szCs w:val="21"/>
              </w:rPr>
              <w:t>满意度调查进行了分析, 满意度调查统计满意度为95%，至今没有发生顾客投诉，也没有因质量问题接到顾客反馈。</w:t>
            </w:r>
          </w:p>
          <w:p>
            <w:pPr>
              <w:tabs>
                <w:tab w:val="left" w:pos="6597"/>
              </w:tabs>
              <w:spacing w:line="360" w:lineRule="auto"/>
              <w:ind w:firstLine="422" w:firstLineChars="200"/>
              <w:rPr>
                <w:rFonts w:hint="default" w:ascii="宋体" w:hAnsi="宋体" w:eastAsia="宋体" w:cs="宋体"/>
                <w:b/>
                <w:bCs/>
                <w:sz w:val="21"/>
                <w:szCs w:val="21"/>
                <w:lang w:val="en-US" w:eastAsia="zh-CN"/>
              </w:rPr>
            </w:pPr>
            <w:r>
              <w:rPr>
                <w:rFonts w:hint="eastAsia" w:ascii="宋体" w:hAnsi="宋体" w:eastAsia="宋体" w:cs="宋体"/>
                <w:b/>
                <w:bCs/>
                <w:sz w:val="21"/>
                <w:szCs w:val="21"/>
              </w:rPr>
              <w:t>未能提供顾客满意度调查的证据</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已开不符合。</w:t>
            </w:r>
          </w:p>
          <w:p>
            <w:pPr>
              <w:spacing w:line="360" w:lineRule="auto"/>
              <w:ind w:left="105" w:hanging="105" w:hanging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360" w:lineRule="auto"/>
              <w:rPr>
                <w:rFonts w:hint="eastAsia" w:ascii="宋体" w:hAnsi="宋体" w:eastAsia="宋体" w:cs="宋体"/>
                <w:b/>
                <w:color w:val="000000"/>
                <w:sz w:val="21"/>
                <w:szCs w:val="21"/>
                <w:u w:val="none"/>
              </w:rPr>
            </w:pPr>
            <w:r>
              <w:rPr>
                <w:rFonts w:hint="eastAsia" w:ascii="宋体" w:hAnsi="宋体" w:eastAsia="宋体" w:cs="宋体"/>
                <w:b/>
                <w:color w:val="000000"/>
                <w:sz w:val="21"/>
                <w:szCs w:val="21"/>
              </w:rPr>
              <w:t xml:space="preserve"> </w:t>
            </w:r>
            <w:r>
              <w:rPr>
                <w:rFonts w:hint="eastAsia" w:ascii="宋体" w:hAnsi="宋体" w:cs="宋体"/>
                <w:b/>
                <w:color w:val="000000"/>
                <w:sz w:val="21"/>
                <w:szCs w:val="21"/>
                <w:lang w:val="en-US" w:eastAsia="zh-CN"/>
              </w:rPr>
              <w:t xml:space="preserve">  </w:t>
            </w:r>
            <w:r>
              <w:rPr>
                <w:rFonts w:hint="eastAsia" w:ascii="宋体" w:hAnsi="宋体" w:eastAsia="宋体" w:cs="宋体"/>
                <w:sz w:val="21"/>
                <w:szCs w:val="21"/>
                <w:u w:val="none"/>
              </w:rPr>
              <w:t>每年一次，本次2021年7月 10-11日内审。</w:t>
            </w:r>
          </w:p>
          <w:p>
            <w:pPr>
              <w:spacing w:line="360" w:lineRule="auto"/>
              <w:rPr>
                <w:b/>
                <w:color w:val="000000"/>
                <w:sz w:val="20"/>
                <w:szCs w:val="20"/>
              </w:rPr>
            </w:pPr>
            <w:r>
              <w:rPr>
                <w:rFonts w:hint="eastAsia"/>
                <w:b/>
                <w:color w:val="000000"/>
                <w:sz w:val="20"/>
                <w:szCs w:val="20"/>
              </w:rPr>
              <w:t xml:space="preserve">了解内审是否覆盖了管理体系范围内的活动及标准的要求; </w:t>
            </w:r>
          </w:p>
          <w:p>
            <w:pPr>
              <w:spacing w:line="360" w:lineRule="auto"/>
              <w:ind w:firstLine="240" w:firstLineChars="100"/>
              <w:rPr>
                <w:rFonts w:ascii="宋体" w:hAnsi="宋体" w:eastAsia="宋体"/>
                <w:szCs w:val="22"/>
                <w:u w:val="none"/>
              </w:rPr>
            </w:pPr>
            <w:r>
              <w:rPr>
                <w:rFonts w:hint="eastAsia" w:ascii="宋体" w:hAnsi="宋体" w:eastAsia="宋体"/>
                <w:szCs w:val="22"/>
                <w:u w:val="none"/>
              </w:rPr>
              <w:t>覆盖。</w:t>
            </w:r>
          </w:p>
          <w:p>
            <w:pPr>
              <w:spacing w:line="360" w:lineRule="auto"/>
              <w:rPr>
                <w:b/>
                <w:color w:val="000000"/>
                <w:sz w:val="20"/>
                <w:szCs w:val="20"/>
              </w:rPr>
            </w:pPr>
            <w:r>
              <w:rPr>
                <w:rFonts w:hint="eastAsia"/>
                <w:b/>
                <w:color w:val="000000"/>
                <w:sz w:val="20"/>
                <w:szCs w:val="20"/>
              </w:rPr>
              <w:t>了解内审结论是什么？</w:t>
            </w:r>
          </w:p>
          <w:p>
            <w:pPr>
              <w:spacing w:line="360" w:lineRule="auto"/>
              <w:rPr>
                <w:rFonts w:ascii="宋体" w:hAnsi="宋体"/>
                <w:b/>
                <w:sz w:val="21"/>
                <w:szCs w:val="21"/>
              </w:rPr>
            </w:pPr>
            <w:r>
              <w:rPr>
                <w:rFonts w:hint="eastAsia" w:ascii="宋体" w:hAnsi="宋体" w:eastAsia="宋体"/>
                <w:sz w:val="21"/>
                <w:szCs w:val="22"/>
                <w:u w:val="none"/>
              </w:rPr>
              <w:t>本次内审从体系运行的效果看，产品实体质量和受控情况有所改进，员工质量意识和顾客满意度有不同程度提高，管理以及物流和信息流的传递都有一定改进。说明公司质量管理体系总体有效运行，基本符合GB/T 19001:2016及体系文件的要求，具备达到规定的质量目标的能力。已发现的1个不符合项已及时纠正整改。</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360" w:lineRule="auto"/>
              <w:ind w:firstLine="210" w:firstLineChars="100"/>
              <w:rPr>
                <w:b/>
                <w:color w:val="000000"/>
                <w:sz w:val="21"/>
                <w:szCs w:val="21"/>
                <w:u w:val="none"/>
              </w:rPr>
            </w:pPr>
            <w:r>
              <w:rPr>
                <w:rFonts w:hint="eastAsia" w:ascii="宋体" w:hAnsi="宋体" w:eastAsia="宋体"/>
                <w:sz w:val="21"/>
                <w:szCs w:val="21"/>
                <w:u w:val="none"/>
              </w:rPr>
              <w:t>每年一次，20</w:t>
            </w:r>
            <w:r>
              <w:rPr>
                <w:rFonts w:hint="eastAsia" w:ascii="宋体" w:hAnsi="宋体" w:eastAsia="宋体"/>
                <w:sz w:val="21"/>
                <w:szCs w:val="21"/>
                <w:u w:val="none"/>
                <w:lang w:val="en-US" w:eastAsia="zh-CN"/>
              </w:rPr>
              <w:t>21</w:t>
            </w:r>
            <w:r>
              <w:rPr>
                <w:rFonts w:hint="eastAsia" w:ascii="宋体" w:hAnsi="宋体" w:eastAsia="宋体"/>
                <w:sz w:val="21"/>
                <w:szCs w:val="21"/>
                <w:u w:val="none"/>
              </w:rPr>
              <w:t>.</w:t>
            </w:r>
            <w:r>
              <w:rPr>
                <w:rFonts w:hint="eastAsia" w:ascii="宋体" w:hAnsi="宋体" w:eastAsia="宋体"/>
                <w:sz w:val="21"/>
                <w:szCs w:val="21"/>
                <w:u w:val="none"/>
                <w:lang w:val="en-US" w:eastAsia="zh-CN"/>
              </w:rPr>
              <w:t>7</w:t>
            </w:r>
            <w:r>
              <w:rPr>
                <w:rFonts w:hint="eastAsia" w:ascii="宋体" w:hAnsi="宋体" w:eastAsia="宋体"/>
                <w:sz w:val="21"/>
                <w:szCs w:val="21"/>
                <w:u w:val="none"/>
              </w:rPr>
              <w:t>.2</w:t>
            </w:r>
            <w:r>
              <w:rPr>
                <w:rFonts w:hint="eastAsia" w:ascii="宋体" w:hAnsi="宋体" w:eastAsia="宋体"/>
                <w:sz w:val="21"/>
                <w:szCs w:val="21"/>
                <w:u w:val="none"/>
                <w:lang w:val="en-US" w:eastAsia="zh-CN"/>
              </w:rPr>
              <w:t>5</w:t>
            </w:r>
            <w:r>
              <w:rPr>
                <w:rFonts w:hint="eastAsia" w:ascii="宋体" w:hAnsi="宋体" w:eastAsia="宋体"/>
                <w:sz w:val="21"/>
                <w:szCs w:val="21"/>
                <w:u w:val="none"/>
              </w:rPr>
              <w:t>日管理评审。</w:t>
            </w:r>
          </w:p>
          <w:p>
            <w:pPr>
              <w:spacing w:line="360" w:lineRule="auto"/>
              <w:rPr>
                <w:b/>
                <w:color w:val="000000"/>
                <w:sz w:val="20"/>
                <w:szCs w:val="20"/>
              </w:rPr>
            </w:pPr>
            <w:r>
              <w:rPr>
                <w:rFonts w:hint="eastAsia"/>
                <w:b/>
                <w:color w:val="000000"/>
                <w:sz w:val="20"/>
                <w:szCs w:val="20"/>
              </w:rPr>
              <w:t xml:space="preserve">了解管理评审输入是否充分; </w:t>
            </w:r>
          </w:p>
          <w:p>
            <w:pPr>
              <w:spacing w:line="360" w:lineRule="auto"/>
              <w:ind w:firstLine="210" w:firstLineChars="100"/>
              <w:rPr>
                <w:rFonts w:ascii="宋体" w:hAnsi="宋体" w:eastAsia="宋体"/>
                <w:sz w:val="21"/>
                <w:szCs w:val="21"/>
                <w:u w:val="none"/>
              </w:rPr>
            </w:pPr>
            <w:r>
              <w:rPr>
                <w:rFonts w:hint="eastAsia" w:ascii="宋体" w:hAnsi="宋体" w:eastAsia="宋体"/>
                <w:sz w:val="21"/>
                <w:szCs w:val="21"/>
                <w:u w:val="none"/>
              </w:rPr>
              <w:t>输入基本充分。</w:t>
            </w:r>
          </w:p>
          <w:p>
            <w:pPr>
              <w:spacing w:line="360" w:lineRule="auto"/>
              <w:rPr>
                <w:b/>
                <w:color w:val="000000"/>
                <w:sz w:val="20"/>
                <w:szCs w:val="20"/>
              </w:rPr>
            </w:pPr>
            <w:r>
              <w:rPr>
                <w:rFonts w:hint="eastAsia"/>
                <w:b/>
                <w:color w:val="000000"/>
                <w:sz w:val="20"/>
                <w:szCs w:val="20"/>
              </w:rPr>
              <w:t xml:space="preserve">了解管理评审结论; </w:t>
            </w:r>
          </w:p>
          <w:p>
            <w:pPr>
              <w:spacing w:line="360" w:lineRule="auto"/>
              <w:rPr>
                <w:rFonts w:ascii="宋体" w:hAnsi="宋体"/>
                <w:b/>
                <w:sz w:val="21"/>
                <w:szCs w:val="21"/>
              </w:rPr>
            </w:pPr>
            <w:r>
              <w:rPr>
                <w:rFonts w:hint="eastAsia"/>
                <w:sz w:val="24"/>
                <w:lang w:val="en-US" w:eastAsia="zh-CN"/>
              </w:rPr>
              <w:t xml:space="preserve"> </w:t>
            </w:r>
            <w:r>
              <w:rPr>
                <w:rFonts w:hint="eastAsia"/>
                <w:sz w:val="21"/>
                <w:szCs w:val="21"/>
              </w:rPr>
              <w:t>公司的质量管理体系基本适宜、充分和有效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60" w:lineRule="auto"/>
              <w:rPr>
                <w:rFonts w:ascii="宋体" w:hAnsi="宋体"/>
                <w:b/>
                <w:sz w:val="21"/>
                <w:szCs w:val="21"/>
              </w:rPr>
            </w:pP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360" w:lineRule="auto"/>
              <w:jc w:val="center"/>
              <w:rPr>
                <w:b/>
                <w:sz w:val="20"/>
              </w:rPr>
            </w:pPr>
          </w:p>
        </w:tc>
        <w:tc>
          <w:tcPr>
            <w:tcW w:w="9198" w:type="dxa"/>
          </w:tcPr>
          <w:p>
            <w:pPr>
              <w:widowControl/>
              <w:numPr>
                <w:ilvl w:val="0"/>
                <w:numId w:val="6"/>
              </w:numPr>
              <w:spacing w:line="360" w:lineRule="auto"/>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360" w:lineRule="auto"/>
              <w:ind w:left="113" w:right="113"/>
              <w:jc w:val="center"/>
              <w:rPr>
                <w:rFonts w:ascii="宋体" w:hAnsi="宋体"/>
                <w:b/>
                <w:szCs w:val="21"/>
              </w:rPr>
            </w:pPr>
            <w:r>
              <w:rPr>
                <w:rFonts w:hint="eastAsia" w:ascii="宋体" w:hAnsi="宋体"/>
                <w:b/>
                <w:szCs w:val="21"/>
              </w:rPr>
              <w:t>(五)持</w:t>
            </w:r>
          </w:p>
          <w:p>
            <w:pPr>
              <w:spacing w:line="360" w:lineRule="auto"/>
              <w:ind w:left="113" w:right="113"/>
              <w:jc w:val="center"/>
              <w:rPr>
                <w:rFonts w:ascii="宋体" w:hAnsi="宋体"/>
                <w:b/>
                <w:szCs w:val="21"/>
              </w:rPr>
            </w:pPr>
            <w:r>
              <w:rPr>
                <w:rFonts w:hint="eastAsia" w:ascii="宋体" w:hAnsi="宋体"/>
                <w:b/>
                <w:szCs w:val="21"/>
              </w:rPr>
              <w:t>续</w:t>
            </w:r>
          </w:p>
          <w:p>
            <w:pPr>
              <w:spacing w:line="360" w:lineRule="auto"/>
              <w:ind w:left="113" w:right="113"/>
              <w:jc w:val="center"/>
              <w:rPr>
                <w:rFonts w:ascii="宋体" w:hAnsi="宋体"/>
                <w:b/>
                <w:szCs w:val="21"/>
              </w:rPr>
            </w:pPr>
            <w:r>
              <w:rPr>
                <w:rFonts w:hint="eastAsia" w:ascii="宋体" w:hAnsi="宋体"/>
                <w:b/>
                <w:szCs w:val="21"/>
              </w:rPr>
              <w:t>改</w:t>
            </w:r>
          </w:p>
          <w:p>
            <w:pPr>
              <w:spacing w:line="360" w:lineRule="auto"/>
              <w:ind w:left="113" w:right="113"/>
              <w:jc w:val="center"/>
              <w:rPr>
                <w:b/>
                <w:sz w:val="20"/>
              </w:rPr>
            </w:pPr>
            <w:r>
              <w:rPr>
                <w:rFonts w:hint="eastAsia" w:ascii="宋体" w:hAnsi="宋体"/>
                <w:b/>
                <w:szCs w:val="21"/>
              </w:rPr>
              <w:t>进</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360" w:lineRule="auto"/>
              <w:rPr>
                <w:rFonts w:ascii="宋体" w:hAnsi="宋体"/>
                <w:b/>
                <w:sz w:val="21"/>
                <w:szCs w:val="21"/>
              </w:rPr>
            </w:pPr>
          </w:p>
          <w:p>
            <w:pPr>
              <w:spacing w:line="360" w:lineRule="auto"/>
              <w:rPr>
                <w:rFonts w:ascii="宋体" w:hAnsi="宋体"/>
                <w:b/>
                <w:sz w:val="21"/>
                <w:szCs w:val="21"/>
              </w:rPr>
            </w:pPr>
            <w:r>
              <w:rPr>
                <w:rFonts w:hint="eastAsia" w:ascii="宋体" w:hAnsi="宋体"/>
                <w:b w:val="0"/>
                <w:bCs/>
                <w:sz w:val="2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hint="eastAsia" w:ascii="宋体" w:hAnsi="宋体" w:eastAsia="宋体" w:cs="Times New Roman"/>
                <w:b/>
                <w:sz w:val="21"/>
                <w:szCs w:val="21"/>
              </w:rPr>
            </w:pPr>
            <w:r>
              <w:rPr>
                <w:rFonts w:hint="eastAsia" w:ascii="宋体" w:hAnsi="宋体" w:eastAsia="宋体" w:cs="Times New Roman"/>
                <w:b/>
                <w:sz w:val="21"/>
                <w:szCs w:val="21"/>
                <w:lang w:val="en-US" w:eastAsia="zh-CN"/>
              </w:rPr>
              <w:t>3.</w:t>
            </w:r>
            <w:r>
              <w:rPr>
                <w:rFonts w:hint="eastAsia" w:ascii="宋体" w:hAnsi="宋体" w:eastAsia="宋体" w:cs="Times New Roman"/>
                <w:b/>
                <w:sz w:val="21"/>
                <w:szCs w:val="21"/>
              </w:rPr>
              <w:t>创新情况</w:t>
            </w:r>
          </w:p>
          <w:p>
            <w:pPr>
              <w:numPr>
                <w:ilvl w:val="0"/>
                <w:numId w:val="0"/>
              </w:numPr>
              <w:spacing w:line="360" w:lineRule="auto"/>
              <w:ind w:left="448" w:leftChars="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hint="eastAsia" w:ascii="宋体" w:hAnsi="宋体" w:eastAsia="宋体" w:cs="Times New Roman"/>
                <w:b/>
                <w:sz w:val="21"/>
                <w:szCs w:val="21"/>
              </w:rPr>
            </w:pPr>
            <w:r>
              <w:rPr>
                <w:rFonts w:hint="eastAsia" w:ascii="宋体" w:hAnsi="宋体" w:eastAsia="宋体" w:cs="Times New Roman"/>
                <w:b/>
                <w:sz w:val="21"/>
                <w:szCs w:val="21"/>
                <w:lang w:val="en-US" w:eastAsia="zh-CN"/>
              </w:rPr>
              <w:t>4.</w:t>
            </w:r>
            <w:r>
              <w:rPr>
                <w:rFonts w:hint="eastAsia" w:ascii="宋体" w:hAnsi="宋体" w:eastAsia="宋体" w:cs="Times New Roman"/>
                <w:b/>
                <w:sz w:val="21"/>
                <w:szCs w:val="21"/>
              </w:rPr>
              <w:t>上次不符合的整改情况</w:t>
            </w:r>
          </w:p>
          <w:p>
            <w:pPr>
              <w:spacing w:line="360" w:lineRule="auto"/>
              <w:rPr>
                <w:rFonts w:hint="eastAsia" w:ascii="宋体" w:hAnsi="宋体" w:eastAsia="宋体" w:cs="Times New Roman"/>
                <w:b/>
                <w:sz w:val="21"/>
                <w:szCs w:val="21"/>
                <w:lang w:val="en-US" w:eastAsia="zh-CN"/>
              </w:rPr>
            </w:pPr>
          </w:p>
          <w:p>
            <w:pPr>
              <w:spacing w:line="360" w:lineRule="auto"/>
              <w:rPr>
                <w:rFonts w:hint="default" w:eastAsia="宋体"/>
                <w:lang w:val="en-US" w:eastAsia="zh-CN"/>
              </w:rPr>
            </w:pPr>
            <w:r>
              <w:rPr>
                <w:rFonts w:hint="eastAsia" w:ascii="宋体" w:hAnsi="宋体" w:eastAsia="宋体" w:cs="Times New Roman"/>
                <w:b/>
                <w:sz w:val="21"/>
                <w:szCs w:val="21"/>
                <w:lang w:val="en-US" w:eastAsia="zh-CN"/>
              </w:rPr>
              <w:t>已整改，符合要求</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hint="eastAsia"/>
          <w:b/>
          <w:spacing w:val="-10"/>
          <w:szCs w:val="21"/>
          <w:lang w:eastAsia="zh-CN"/>
        </w:rPr>
      </w:pPr>
    </w:p>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935" w:firstLineChars="4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4"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10" w:firstLineChars="100"/>
              <w:rPr>
                <w:rFonts w:ascii="宋体" w:hAnsi="宋体"/>
                <w:b/>
                <w:szCs w:val="21"/>
              </w:rPr>
            </w:pPr>
            <w:r>
              <w:rPr>
                <w:rFonts w:hint="eastAsia" w:ascii="宋体" w:hAnsi="宋体" w:eastAsia="宋体" w:cs="宋体"/>
                <w:bCs/>
                <w:color w:val="000000"/>
                <w:sz w:val="21"/>
                <w:szCs w:val="21"/>
              </w:rPr>
              <w:t>组织体系运行满足标准要求，既定目标能达成，向顾客提供稳定、合格产品，满足适用的质量法规要求，实施措施基本有效。体系运行基本适宜、充分、有效，基本建立自我完善机制。</w:t>
            </w: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vertAlign w:val="baseline"/>
          <w:lang w:val="en-US" w:eastAsia="zh-CN"/>
        </w:rPr>
        <w:drawing>
          <wp:anchor distT="0" distB="0" distL="114300" distR="114300" simplePos="0" relativeHeight="251660288" behindDoc="0" locked="0" layoutInCell="1" allowOverlap="1">
            <wp:simplePos x="0" y="0"/>
            <wp:positionH relativeFrom="column">
              <wp:posOffset>1844040</wp:posOffset>
            </wp:positionH>
            <wp:positionV relativeFrom="paragraph">
              <wp:posOffset>30480</wp:posOffset>
            </wp:positionV>
            <wp:extent cx="473710" cy="364490"/>
            <wp:effectExtent l="0" t="0" r="8890" b="381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473710" cy="364490"/>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2021.8.2</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80" w:lineRule="auto"/>
        <w:rPr>
          <w:b/>
          <w:sz w:val="21"/>
          <w:szCs w:val="21"/>
          <w:u w:val="single"/>
        </w:rPr>
      </w:pPr>
      <w:r>
        <w:rPr>
          <w:rFonts w:hint="eastAsia"/>
          <w:b/>
          <w:sz w:val="21"/>
          <w:szCs w:val="21"/>
        </w:rPr>
        <w:t>存在问题说明及意见：</w:t>
      </w:r>
    </w:p>
    <w:p>
      <w:pPr>
        <w:spacing w:line="480" w:lineRule="auto"/>
        <w:rPr>
          <w:b/>
          <w:sz w:val="21"/>
          <w:szCs w:val="21"/>
          <w:u w:val="single"/>
        </w:rPr>
      </w:pPr>
    </w:p>
    <w:p>
      <w:pPr>
        <w:spacing w:before="163" w:beforeLines="50" w:line="480" w:lineRule="auto"/>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line="480" w:lineRule="auto"/>
        <w:ind w:firstLine="2160" w:firstLineChars="900"/>
        <w:rPr>
          <w:b/>
          <w:sz w:val="21"/>
          <w:szCs w:val="21"/>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1341120</wp:posOffset>
            </wp:positionH>
            <wp:positionV relativeFrom="paragraph">
              <wp:posOffset>422910</wp:posOffset>
            </wp:positionV>
            <wp:extent cx="473710" cy="364490"/>
            <wp:effectExtent l="0" t="0" r="8890" b="3810"/>
            <wp:wrapNone/>
            <wp:docPr id="1" name="图片 1"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77475f2d71659eed95b546a81c2d41"/>
                    <pic:cNvPicPr>
                      <a:picLocks noChangeAspect="1"/>
                    </pic:cNvPicPr>
                  </pic:nvPicPr>
                  <pic:blipFill>
                    <a:blip r:embed="rId6"/>
                    <a:stretch>
                      <a:fillRect/>
                    </a:stretch>
                  </pic:blipFill>
                  <pic:spPr>
                    <a:xfrm>
                      <a:off x="0" y="0"/>
                      <a:ext cx="473710" cy="364490"/>
                    </a:xfrm>
                    <a:prstGeom prst="rect">
                      <a:avLst/>
                    </a:prstGeom>
                  </pic:spPr>
                </pic:pic>
              </a:graphicData>
            </a:graphic>
          </wp:anchor>
        </w:drawing>
      </w: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line="480" w:lineRule="auto"/>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2021.8.8</w:t>
      </w:r>
      <w:bookmarkStart w:id="12" w:name="_GoBack"/>
      <w:bookmarkEnd w:id="12"/>
    </w:p>
    <w:p>
      <w:pPr>
        <w:spacing w:line="480" w:lineRule="auto"/>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480" w:lineRule="auto"/>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C737E"/>
    <w:multiLevelType w:val="singleLevel"/>
    <w:tmpl w:val="D9EC737E"/>
    <w:lvl w:ilvl="0" w:tentative="0">
      <w:start w:val="2"/>
      <w:numFmt w:val="decimal"/>
      <w:suff w:val="nothing"/>
      <w:lvlText w:val="%1、"/>
      <w:lvlJc w:val="left"/>
    </w:lvl>
  </w:abstractNum>
  <w:abstractNum w:abstractNumId="1">
    <w:nsid w:val="E5B8DBA3"/>
    <w:multiLevelType w:val="singleLevel"/>
    <w:tmpl w:val="E5B8DBA3"/>
    <w:lvl w:ilvl="0" w:tentative="0">
      <w:start w:val="9"/>
      <w:numFmt w:val="decimal"/>
      <w:suff w:val="space"/>
      <w:lvlText w:val="%1."/>
      <w:lvlJc w:val="left"/>
    </w:lvl>
  </w:abstractNum>
  <w:abstractNum w:abstractNumId="2">
    <w:nsid w:val="25A44EAE"/>
    <w:multiLevelType w:val="multilevel"/>
    <w:tmpl w:val="25A44EAE"/>
    <w:lvl w:ilvl="0" w:tentative="0">
      <w:start w:val="1"/>
      <w:numFmt w:val="decimal"/>
      <w:lvlText w:val="%1."/>
      <w:lvlJc w:val="left"/>
      <w:pPr>
        <w:tabs>
          <w:tab w:val="left" w:pos="855"/>
        </w:tabs>
        <w:ind w:left="855" w:hanging="405"/>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3">
    <w:nsid w:val="4D9AA96F"/>
    <w:multiLevelType w:val="singleLevel"/>
    <w:tmpl w:val="4D9AA96F"/>
    <w:lvl w:ilvl="0" w:tentative="0">
      <w:start w:val="3"/>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CF12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0"/>
    <w:semiHidden/>
    <w:qFormat/>
    <w:uiPriority w:val="99"/>
    <w:rPr>
      <w:sz w:val="18"/>
      <w:szCs w:val="18"/>
    </w:rPr>
  </w:style>
  <w:style w:type="paragraph" w:styleId="5">
    <w:name w:val="footer"/>
    <w:basedOn w:val="1"/>
    <w:link w:val="11"/>
    <w:semiHidden/>
    <w:uiPriority w:val="99"/>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qFormat/>
    <w:locked/>
    <w:uiPriority w:val="99"/>
    <w:rPr>
      <w:rFonts w:ascii="Times New Roman" w:hAnsi="Times New Roman" w:eastAsia="宋体" w:cs="Times New Roman"/>
      <w:sz w:val="18"/>
      <w:szCs w:val="18"/>
    </w:rPr>
  </w:style>
  <w:style w:type="character" w:customStyle="1" w:styleId="11">
    <w:name w:val="页脚 Char"/>
    <w:link w:val="5"/>
    <w:semiHidden/>
    <w:locked/>
    <w:uiPriority w:val="99"/>
    <w:rPr>
      <w:rFonts w:ascii="Times New Roman" w:hAnsi="Times New Roman" w:eastAsia="宋体" w:cs="Times New Roman"/>
      <w:sz w:val="18"/>
      <w:szCs w:val="18"/>
    </w:rPr>
  </w:style>
  <w:style w:type="character" w:customStyle="1" w:styleId="12">
    <w:name w:val="页眉 Char"/>
    <w:link w:val="6"/>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2021-09-10T15:18:00Z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025516B68C7E4D5C8E61F7628CB2ABE7</vt:lpwstr>
  </property>
</Properties>
</file>