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bookmarkStart w:id="4" w:name="_GoBack"/>
      <w:r>
        <w:rPr>
          <w:rFonts w:hint="eastAsia" w:eastAsia="宋体"/>
          <w:b/>
          <w:sz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-885825</wp:posOffset>
            </wp:positionV>
            <wp:extent cx="7154545" cy="10200640"/>
            <wp:effectExtent l="0" t="0" r="8255" b="10160"/>
            <wp:wrapNone/>
            <wp:docPr id="2" name="图片 2" descr="扫描全能王 2021-08-29 18.14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8-29 18.14_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4545" cy="1020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331"/>
        <w:gridCol w:w="1199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宝鸡市鑫钻石油机械有限公司</w:t>
            </w:r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18.05.02;18.08.00;39.03.02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刘国斌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39.03.02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李俐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b/>
                <w:szCs w:val="21"/>
              </w:rPr>
              <w:t>39.03.02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生产工艺/</w:t>
            </w:r>
          </w:p>
          <w:p>
            <w:pPr>
              <w:snapToGrid w:val="0"/>
              <w:spacing w:line="2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生产流程图：采购→检验→下料→机加工→铆焊→组装→喷涂（外包）→检验→交付；</w:t>
            </w:r>
            <w:r>
              <w:rPr>
                <w:sz w:val="21"/>
                <w:szCs w:val="21"/>
              </w:rPr>
              <w:t xml:space="preserve">  </w:t>
            </w:r>
          </w:p>
          <w:p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修理技术服务流程图：合同签订→修理方案确定→修理技术服务→客户验收交付；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　　　　　　　　　　　</w:t>
            </w:r>
          </w:p>
          <w:p>
            <w:pPr>
              <w:spacing w:line="48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油泥、泥浆废弃物处理过程：收集→配药→搅拌→压滤→液固分别转运</w:t>
            </w:r>
            <w:r>
              <w:rPr>
                <w:rFonts w:hint="eastAsia" w:ascii="楷体" w:hAnsi="楷体" w:eastAsia="楷体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特殊过程的控制/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关键过程</w:t>
            </w:r>
            <w:r>
              <w:rPr>
                <w:rFonts w:hint="eastAsia"/>
                <w:sz w:val="21"/>
                <w:szCs w:val="21"/>
              </w:rPr>
              <w:t>：焊接、组装、压滤，</w:t>
            </w:r>
            <w:r>
              <w:rPr>
                <w:sz w:val="21"/>
                <w:szCs w:val="21"/>
              </w:rPr>
              <w:t>需严格按照作业指导书生产</w:t>
            </w:r>
            <w:r>
              <w:rPr>
                <w:rFonts w:hint="eastAsia"/>
                <w:sz w:val="21"/>
                <w:szCs w:val="21"/>
              </w:rPr>
              <w:t>，重点</w:t>
            </w:r>
            <w:r>
              <w:rPr>
                <w:sz w:val="21"/>
                <w:szCs w:val="21"/>
              </w:rPr>
              <w:t>控制温度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压力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时间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GB/T17744-2015石油天然气工业钻井和修井设备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GB/T19190-2013石油天然气工业钻井和采油提升设备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SY/T5053.2-2007钻井井口控制设备及分流设备控制系统规范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SY/T5532-2016石油钻机绞车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JB/T4238-2005调速型液力偶合器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Cs/>
                <w:sz w:val="21"/>
                <w:szCs w:val="21"/>
              </w:rPr>
              <w:t>Q/SY XN0276-2015钻井废弃物无害化处理技术规范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sz w:val="21"/>
                <w:szCs w:val="21"/>
                <w:lang w:val="en-US" w:eastAsia="zh-CN"/>
              </w:rPr>
              <w:t>GB 8978-1996 《污水综合排放标准》、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Cs/>
                <w:sz w:val="21"/>
                <w:szCs w:val="21"/>
                <w:lang w:val="en-US" w:eastAsia="zh-CN"/>
              </w:rPr>
              <w:t>GB18599-2001 《一般工业固体废物贮存、处置场污染控制标准》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检验外观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规格</w:t>
            </w:r>
            <w:r>
              <w:rPr>
                <w:rFonts w:hint="eastAsia"/>
                <w:sz w:val="21"/>
                <w:szCs w:val="21"/>
              </w:rPr>
              <w:t>、力学性能。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</w:t>
      </w:r>
      <w:r>
        <w:rPr>
          <w:rFonts w:ascii="宋体"/>
          <w:b/>
          <w:sz w:val="18"/>
          <w:szCs w:val="18"/>
        </w:rPr>
        <w:t xml:space="preserve">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/>
          <w:b/>
          <w:sz w:val="22"/>
          <w:szCs w:val="22"/>
        </w:rPr>
        <w:t xml:space="preserve">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ascii="宋体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AD260DC"/>
    <w:rsid w:val="43A4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LIL</cp:lastModifiedBy>
  <dcterms:modified xsi:type="dcterms:W3CDTF">2021-08-29T11:34:25Z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170F76EA6DF64B2B894628A98B30D7CE</vt:lpwstr>
  </property>
</Properties>
</file>