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99"/>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99"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eastAsia="zh-CN"/>
              </w:rPr>
              <w:t>：</w:t>
            </w:r>
            <w:r>
              <w:rPr>
                <w:rFonts w:hint="eastAsia" w:ascii="宋体"/>
                <w:b/>
                <w:color w:val="000000"/>
                <w:sz w:val="20"/>
                <w:szCs w:val="20"/>
                <w:lang w:eastAsia="zh-CN"/>
              </w:rPr>
              <w:t>武力辉</w:t>
            </w:r>
            <w:r>
              <w:rPr>
                <w:rFonts w:hint="eastAsia"/>
                <w:sz w:val="24"/>
                <w:szCs w:val="24"/>
              </w:rPr>
              <w:t>/</w:t>
            </w:r>
            <w:r>
              <w:rPr>
                <w:rFonts w:hint="eastAsia" w:ascii="宋体"/>
                <w:b/>
                <w:color w:val="000000"/>
                <w:sz w:val="20"/>
                <w:szCs w:val="20"/>
                <w:lang w:eastAsia="zh-CN"/>
              </w:rPr>
              <w:t>曹金中</w:t>
            </w:r>
            <w:r>
              <w:rPr>
                <w:rFonts w:hint="eastAsia" w:ascii="宋体"/>
                <w:b/>
                <w:color w:val="000000"/>
                <w:sz w:val="20"/>
                <w:szCs w:val="20"/>
                <w:lang w:val="en-US" w:eastAsia="zh-CN"/>
              </w:rPr>
              <w:t xml:space="preserve">     陪同人员：张丽平</w:t>
            </w:r>
          </w:p>
        </w:tc>
        <w:tc>
          <w:tcPr>
            <w:tcW w:w="109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99"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2021.8.1</w:t>
            </w:r>
          </w:p>
        </w:tc>
        <w:tc>
          <w:tcPr>
            <w:tcW w:w="10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99" w:type="dxa"/>
            <w:vAlign w:val="center"/>
          </w:tcPr>
          <w:p>
            <w:pPr>
              <w:rPr>
                <w:sz w:val="24"/>
                <w:szCs w:val="24"/>
              </w:rPr>
            </w:pPr>
            <w:r>
              <w:rPr>
                <w:rFonts w:hint="eastAsia"/>
                <w:sz w:val="24"/>
                <w:szCs w:val="24"/>
              </w:rPr>
              <w:t>审核条款：</w:t>
            </w:r>
            <w:r>
              <w:rPr>
                <w:rFonts w:hint="eastAsia"/>
                <w:sz w:val="21"/>
                <w:szCs w:val="21"/>
              </w:rPr>
              <w:t>4.1/4.3/4.4/5.2/6.2/9.2/9.3/7.1</w:t>
            </w:r>
          </w:p>
        </w:tc>
        <w:tc>
          <w:tcPr>
            <w:tcW w:w="10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r>
              <w:rPr>
                <w:rFonts w:hint="eastAsia"/>
              </w:rPr>
              <w:t>公司概况</w:t>
            </w:r>
            <w:r>
              <w:rPr>
                <w:rFonts w:hint="eastAsia"/>
                <w:lang w:eastAsia="zh-CN"/>
              </w:rPr>
              <w:t>、</w:t>
            </w:r>
            <w:r>
              <w:rPr>
                <w:rFonts w:hint="eastAsia"/>
              </w:rPr>
              <w:t>组织机构、体系策划实施情况</w:t>
            </w:r>
          </w:p>
          <w:p>
            <w:pPr>
              <w:rPr>
                <w:rFonts w:hint="eastAsia"/>
              </w:rPr>
            </w:pPr>
            <w:r>
              <w:rPr>
                <w:rFonts w:hint="eastAsia"/>
              </w:rPr>
              <w:t>认证范围确认</w:t>
            </w:r>
          </w:p>
          <w:p>
            <w:r>
              <w:rPr>
                <w:rFonts w:hint="eastAsia"/>
                <w:lang w:eastAsia="zh-CN"/>
              </w:rPr>
              <w:t>适用条款</w:t>
            </w:r>
            <w:r>
              <w:rPr>
                <w:rFonts w:hint="eastAsia"/>
              </w:rPr>
              <w:t>确认</w:t>
            </w:r>
          </w:p>
          <w:p>
            <w:pPr>
              <w:rPr>
                <w:rFonts w:ascii="Times New Roman" w:hAnsi="Times New Roman" w:eastAsia="宋体" w:cs="Times New Roman"/>
                <w:kern w:val="2"/>
                <w:sz w:val="21"/>
                <w:lang w:val="en-US" w:eastAsia="zh-CN" w:bidi="ar-SA"/>
              </w:rPr>
            </w:pPr>
            <w:r>
              <w:rPr>
                <w:rFonts w:hint="eastAsia"/>
              </w:rPr>
              <w:t>外包过程</w:t>
            </w:r>
          </w:p>
        </w:tc>
        <w:tc>
          <w:tcPr>
            <w:tcW w:w="960" w:type="dxa"/>
            <w:vAlign w:val="top"/>
          </w:tcPr>
          <w:p>
            <w:pPr>
              <w:rPr>
                <w:rFonts w:hint="eastAsia"/>
                <w:lang w:val="en-US" w:eastAsia="zh-CN"/>
              </w:rPr>
            </w:pPr>
            <w:r>
              <w:rPr>
                <w:rFonts w:hint="eastAsia"/>
                <w:lang w:val="en-US" w:eastAsia="zh-CN"/>
              </w:rPr>
              <w:t>4.1</w:t>
            </w:r>
          </w:p>
          <w:p>
            <w:pPr>
              <w:rPr>
                <w:rFonts w:hint="eastAsia"/>
                <w:lang w:val="en-US" w:eastAsia="zh-CN"/>
              </w:rPr>
            </w:pPr>
            <w:r>
              <w:rPr>
                <w:rFonts w:hint="eastAsia"/>
                <w:lang w:val="en-US" w:eastAsia="zh-CN"/>
              </w:rPr>
              <w:t>4.2</w:t>
            </w:r>
          </w:p>
          <w:p>
            <w:pPr>
              <w:rPr>
                <w:rFonts w:hint="eastAsia"/>
                <w:lang w:val="en-US" w:eastAsia="zh-CN"/>
              </w:rPr>
            </w:pPr>
            <w:r>
              <w:rPr>
                <w:rFonts w:hint="eastAsia"/>
                <w:lang w:val="en-US" w:eastAsia="zh-CN"/>
              </w:rPr>
              <w:t>4.3</w:t>
            </w:r>
          </w:p>
          <w:p>
            <w:r>
              <w:rPr>
                <w:rFonts w:hint="eastAsia"/>
              </w:rPr>
              <w:t>4.</w:t>
            </w:r>
            <w:r>
              <w:rPr>
                <w:rFonts w:hint="eastAsia"/>
                <w:lang w:val="en-US" w:eastAsia="zh-CN"/>
              </w:rPr>
              <w:t>4</w:t>
            </w:r>
          </w:p>
          <w:p>
            <w:pPr>
              <w:rPr>
                <w:rFonts w:ascii="Times New Roman" w:hAnsi="Times New Roman" w:eastAsia="宋体" w:cs="Times New Roman"/>
                <w:kern w:val="2"/>
                <w:sz w:val="21"/>
                <w:lang w:val="en-US" w:eastAsia="zh-CN" w:bidi="ar-SA"/>
              </w:rPr>
            </w:pPr>
            <w:r>
              <w:rPr>
                <w:rFonts w:hint="eastAsia"/>
                <w:lang w:val="en-US" w:eastAsia="zh-CN"/>
              </w:rPr>
              <w:t>7</w:t>
            </w:r>
            <w:r>
              <w:rPr>
                <w:rFonts w:hint="eastAsia"/>
              </w:rPr>
              <w:t>.1</w:t>
            </w:r>
          </w:p>
        </w:tc>
        <w:tc>
          <w:tcPr>
            <w:tcW w:w="10499" w:type="dxa"/>
            <w:vAlign w:val="top"/>
          </w:tcPr>
          <w:p>
            <w:pPr>
              <w:rPr>
                <w:rFonts w:hint="eastAsia" w:cs="Times New Roman"/>
                <w:szCs w:val="22"/>
                <w:lang w:eastAsia="zh-CN"/>
              </w:rPr>
            </w:pPr>
            <w:r>
              <w:rPr>
                <w:rFonts w:hint="eastAsia"/>
                <w:sz w:val="21"/>
                <w:szCs w:val="21"/>
              </w:rPr>
              <w:t>总</w:t>
            </w:r>
            <w:r>
              <w:rPr>
                <w:rFonts w:hint="eastAsia" w:ascii="Times New Roman" w:hAnsi="Times New Roman" w:cs="Times New Roman"/>
                <w:szCs w:val="22"/>
              </w:rPr>
              <w:t>经理</w:t>
            </w:r>
            <w:r>
              <w:rPr>
                <w:rFonts w:hint="eastAsia" w:ascii="Times New Roman" w:hAnsi="Times New Roman" w:cs="Times New Roman"/>
                <w:szCs w:val="22"/>
                <w:lang w:val="en-US" w:eastAsia="zh-CN"/>
              </w:rPr>
              <w:t>：</w:t>
            </w:r>
            <w:r>
              <w:rPr>
                <w:rFonts w:hint="eastAsia" w:cs="Times New Roman"/>
                <w:szCs w:val="22"/>
                <w:lang w:val="en-US" w:eastAsia="zh-CN"/>
              </w:rPr>
              <w:t>武力辉</w:t>
            </w:r>
            <w:r>
              <w:rPr>
                <w:rFonts w:hint="eastAsia" w:ascii="Times New Roman" w:hAnsi="Times New Roman" w:cs="Times New Roman"/>
                <w:szCs w:val="22"/>
                <w:lang w:val="en-US" w:eastAsia="zh-CN"/>
              </w:rPr>
              <w:t>，</w:t>
            </w:r>
            <w:r>
              <w:rPr>
                <w:rFonts w:hint="eastAsia" w:ascii="Times New Roman" w:hAnsi="Times New Roman" w:cs="Times New Roman"/>
                <w:szCs w:val="22"/>
              </w:rPr>
              <w:t>管理者代表：</w:t>
            </w:r>
            <w:r>
              <w:rPr>
                <w:rFonts w:hint="eastAsia" w:cs="Times New Roman"/>
                <w:szCs w:val="22"/>
                <w:lang w:eastAsia="zh-CN"/>
              </w:rPr>
              <w:t>曹金中</w:t>
            </w:r>
          </w:p>
          <w:p>
            <w:pPr>
              <w:rPr>
                <w:rFonts w:hint="default" w:ascii="Times New Roman" w:hAnsi="Times New Roman" w:cs="Times New Roman"/>
                <w:szCs w:val="22"/>
                <w:lang w:val="en-US" w:eastAsia="zh-CN"/>
              </w:rPr>
            </w:pPr>
            <w:r>
              <w:rPr>
                <w:rFonts w:hint="eastAsia" w:ascii="Times New Roman" w:hAnsi="Times New Roman" w:cs="Times New Roman"/>
                <w:szCs w:val="22"/>
              </w:rPr>
              <w:t>■</w:t>
            </w:r>
            <w:r>
              <w:rPr>
                <w:rFonts w:hint="default" w:ascii="Times New Roman" w:hAnsi="Times New Roman" w:cs="Times New Roman"/>
                <w:szCs w:val="22"/>
              </w:rPr>
              <w:t>受审核方</w:t>
            </w:r>
            <w:r>
              <w:rPr>
                <w:rFonts w:hint="eastAsia"/>
                <w:color w:val="000000"/>
                <w:szCs w:val="21"/>
                <w:lang w:eastAsia="zh-CN"/>
              </w:rPr>
              <w:t>河北润硕农业管道科技有限公司</w:t>
            </w:r>
            <w:r>
              <w:rPr>
                <w:rFonts w:hint="default" w:ascii="Times New Roman" w:hAnsi="Times New Roman" w:cs="Times New Roman"/>
                <w:szCs w:val="22"/>
              </w:rPr>
              <w:t>成立于20</w:t>
            </w:r>
            <w:r>
              <w:rPr>
                <w:rFonts w:hint="eastAsia" w:cs="Times New Roman"/>
                <w:szCs w:val="22"/>
                <w:lang w:val="en-US" w:eastAsia="zh-CN"/>
              </w:rPr>
              <w:t>14</w:t>
            </w:r>
            <w:r>
              <w:rPr>
                <w:rFonts w:hint="default" w:ascii="Times New Roman" w:hAnsi="Times New Roman" w:cs="Times New Roman"/>
                <w:szCs w:val="22"/>
              </w:rPr>
              <w:t>年</w:t>
            </w:r>
            <w:r>
              <w:rPr>
                <w:rFonts w:hint="eastAsia" w:cs="Times New Roman"/>
                <w:szCs w:val="22"/>
                <w:lang w:val="en-US" w:eastAsia="zh-CN"/>
              </w:rPr>
              <w:t>4</w:t>
            </w:r>
            <w:r>
              <w:rPr>
                <w:rFonts w:hint="default" w:ascii="Times New Roman" w:hAnsi="Times New Roman" w:cs="Times New Roman"/>
                <w:szCs w:val="22"/>
              </w:rPr>
              <w:t>月</w:t>
            </w:r>
            <w:r>
              <w:rPr>
                <w:rFonts w:hint="eastAsia" w:cs="Times New Roman"/>
                <w:szCs w:val="22"/>
                <w:lang w:val="en-US" w:eastAsia="zh-CN"/>
              </w:rPr>
              <w:t>28</w:t>
            </w:r>
            <w:r>
              <w:rPr>
                <w:rFonts w:hint="default" w:ascii="Times New Roman" w:hAnsi="Times New Roman" w:cs="Times New Roman"/>
                <w:szCs w:val="22"/>
              </w:rPr>
              <w:t>日，经营地址位于</w:t>
            </w:r>
            <w:r>
              <w:rPr>
                <w:rFonts w:hint="eastAsia"/>
                <w:lang w:eastAsia="zh-CN"/>
              </w:rPr>
              <w:t>石家庄市栾城区窦妪镇梅家村村北</w:t>
            </w:r>
            <w:r>
              <w:rPr>
                <w:rFonts w:hint="default" w:ascii="Times New Roman" w:hAnsi="Times New Roman" w:cs="Times New Roman"/>
                <w:szCs w:val="22"/>
              </w:rPr>
              <w:t>，办公面积</w:t>
            </w:r>
            <w:r>
              <w:rPr>
                <w:rFonts w:hint="eastAsia" w:cs="Times New Roman"/>
                <w:szCs w:val="22"/>
                <w:lang w:val="en-US" w:eastAsia="zh-CN"/>
              </w:rPr>
              <w:t>20</w:t>
            </w:r>
            <w:r>
              <w:rPr>
                <w:rFonts w:hint="default" w:ascii="Times New Roman" w:hAnsi="Times New Roman" w:cs="Times New Roman"/>
                <w:szCs w:val="22"/>
              </w:rPr>
              <w:t>0平米</w:t>
            </w:r>
            <w:r>
              <w:rPr>
                <w:rFonts w:hint="eastAsia" w:cs="Times New Roman"/>
                <w:szCs w:val="22"/>
                <w:lang w:val="en-US" w:eastAsia="zh-CN"/>
              </w:rPr>
              <w:t>，场地500平米</w:t>
            </w:r>
            <w:r>
              <w:rPr>
                <w:rFonts w:hint="default" w:ascii="Times New Roman" w:hAnsi="Times New Roman" w:cs="Times New Roman"/>
                <w:szCs w:val="22"/>
              </w:rPr>
              <w:t>，主要从事</w:t>
            </w:r>
            <w:r>
              <w:rPr>
                <w:rFonts w:hint="eastAsia" w:ascii="宋体" w:hAnsi="宋体"/>
                <w:szCs w:val="21"/>
                <w:lang w:eastAsia="zh-CN"/>
              </w:rPr>
              <w:t>PE、PP、PVC管材、管件、微滴灌、喷灌产品的销售</w:t>
            </w:r>
            <w:r>
              <w:rPr>
                <w:rFonts w:hint="eastAsia" w:ascii="Times New Roman" w:hAnsi="Times New Roman" w:cs="Times New Roman"/>
                <w:szCs w:val="22"/>
                <w:lang w:val="en-US" w:eastAsia="zh-CN"/>
              </w:rPr>
              <w:t>。</w:t>
            </w:r>
          </w:p>
          <w:p>
            <w:pPr>
              <w:rPr>
                <w:rFonts w:hint="eastAsia"/>
                <w:color w:val="auto"/>
                <w:lang w:val="en-GB"/>
              </w:rPr>
            </w:pPr>
            <w:r>
              <w:t>■</w:t>
            </w:r>
            <w:r>
              <w:rPr>
                <w:rFonts w:hint="eastAsia"/>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hint="eastAsia" w:ascii="Times New Roman" w:hAnsi="Times New Roman" w:cs="Times New Roman"/>
                <w:szCs w:val="22"/>
              </w:rPr>
            </w:pPr>
            <w:r>
              <w:t>■</w:t>
            </w:r>
            <w:r>
              <w:rPr>
                <w:rFonts w:hint="eastAsia" w:ascii="Times New Roman" w:hAnsi="Times New Roman" w:cs="Times New Roman"/>
                <w:szCs w:val="22"/>
              </w:rPr>
              <w:t>审核组与受审核方现场确认的</w:t>
            </w:r>
            <w:r>
              <w:rPr>
                <w:rFonts w:hint="eastAsia" w:ascii="Times New Roman" w:hAnsi="Times New Roman" w:cs="Times New Roman"/>
                <w:szCs w:val="22"/>
                <w:lang w:eastAsia="zh-CN"/>
              </w:rPr>
              <w:t>审核</w:t>
            </w:r>
            <w:r>
              <w:rPr>
                <w:rFonts w:hint="eastAsia" w:ascii="Times New Roman" w:hAnsi="Times New Roman" w:cs="Times New Roman"/>
                <w:szCs w:val="22"/>
              </w:rPr>
              <w:t>范围：</w:t>
            </w:r>
          </w:p>
          <w:p>
            <w:pPr>
              <w:rPr>
                <w:rFonts w:hint="eastAsia" w:ascii="宋体" w:hAnsi="宋体"/>
                <w:sz w:val="21"/>
                <w:szCs w:val="21"/>
              </w:rPr>
            </w:pPr>
            <w:r>
              <w:rPr>
                <w:rFonts w:hint="eastAsia" w:ascii="宋体" w:hAnsi="宋体"/>
                <w:szCs w:val="21"/>
                <w:lang w:eastAsia="zh-CN"/>
              </w:rPr>
              <w:t>PE、PP、PVC管材、管件、微滴灌、喷灌产品的销售</w:t>
            </w:r>
            <w:r>
              <w:rPr>
                <w:rFonts w:hint="eastAsia"/>
                <w:b w:val="0"/>
                <w:bCs w:val="0"/>
                <w:color w:val="auto"/>
                <w:sz w:val="21"/>
                <w:szCs w:val="21"/>
              </w:rPr>
              <w:t>所涉及场所的相关环境管理活动</w:t>
            </w:r>
          </w:p>
          <w:p>
            <w:pPr>
              <w:rPr>
                <w:rFonts w:hint="eastAsia"/>
              </w:rPr>
            </w:pPr>
            <w:r>
              <w:t>■</w:t>
            </w:r>
            <w:r>
              <w:rPr>
                <w:rFonts w:hint="eastAsia"/>
                <w:lang w:eastAsia="zh-CN"/>
              </w:rPr>
              <w:t>不适用条款</w:t>
            </w:r>
            <w:r>
              <w:rPr>
                <w:rFonts w:hint="eastAsia"/>
              </w:rPr>
              <w:t>：</w:t>
            </w:r>
            <w:r>
              <w:rPr>
                <w:rFonts w:hint="eastAsia"/>
                <w:lang w:val="en-US" w:eastAsia="zh-CN"/>
              </w:rPr>
              <w:t>无</w:t>
            </w:r>
            <w:r>
              <w:rPr>
                <w:rFonts w:hint="eastAsia"/>
              </w:rPr>
              <w:t>。</w:t>
            </w:r>
          </w:p>
          <w:p>
            <w:pPr>
              <w:rPr>
                <w:rFonts w:hint="default"/>
                <w:lang w:val="en-US"/>
              </w:rPr>
            </w:pPr>
            <w:r>
              <w:t>■</w:t>
            </w:r>
            <w:r>
              <w:rPr>
                <w:rFonts w:hint="eastAsia"/>
                <w:u w:val="none"/>
              </w:rPr>
              <w:t>外包过程：</w:t>
            </w:r>
            <w:r>
              <w:rPr>
                <w:rFonts w:hint="eastAsia"/>
                <w:u w:val="none"/>
                <w:lang w:val="en-US" w:eastAsia="zh-CN"/>
              </w:rPr>
              <w:t>产品运输</w:t>
            </w:r>
          </w:p>
          <w:p>
            <w:pPr>
              <w:rPr>
                <w:rFonts w:hint="eastAsia" w:ascii="Times New Roman" w:hAnsi="Times New Roman" w:eastAsia="宋体" w:cs="Times New Roman"/>
                <w:kern w:val="2"/>
                <w:sz w:val="21"/>
                <w:lang w:val="en-US" w:eastAsia="zh-CN" w:bidi="ar-SA"/>
              </w:rPr>
            </w:pPr>
            <w:r>
              <w:t>■</w:t>
            </w:r>
            <w:r>
              <w:rPr>
                <w:rFonts w:hint="eastAsia"/>
              </w:rPr>
              <w:t>管理体系覆盖人数</w:t>
            </w:r>
            <w:r>
              <w:rPr>
                <w:rFonts w:hint="eastAsia"/>
                <w:lang w:val="en-US" w:eastAsia="zh-CN"/>
              </w:rPr>
              <w:t>15</w:t>
            </w:r>
            <w:r>
              <w:rPr>
                <w:rFonts w:hint="eastAsia"/>
              </w:rPr>
              <w:t>人，无倒班情况</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2160" w:type="dxa"/>
            <w:vAlign w:val="top"/>
          </w:tcPr>
          <w:p>
            <w:r>
              <w:rPr>
                <w:rFonts w:hint="eastAsia"/>
              </w:rPr>
              <w:t>管理方针和目标的适宜性</w:t>
            </w:r>
          </w:p>
          <w:p>
            <w:pPr>
              <w:rPr>
                <w:rFonts w:ascii="Times New Roman" w:hAnsi="Times New Roman" w:eastAsia="宋体" w:cs="Times New Roman"/>
                <w:kern w:val="2"/>
                <w:sz w:val="21"/>
                <w:lang w:val="en-US" w:eastAsia="zh-CN" w:bidi="ar-SA"/>
              </w:rPr>
            </w:pPr>
          </w:p>
        </w:tc>
        <w:tc>
          <w:tcPr>
            <w:tcW w:w="960" w:type="dxa"/>
            <w:vAlign w:val="top"/>
          </w:tcPr>
          <w:p>
            <w:pPr>
              <w:rPr>
                <w:rFonts w:hint="eastAsia"/>
              </w:rPr>
            </w:pPr>
            <w:r>
              <w:rPr>
                <w:rFonts w:hint="eastAsia"/>
                <w:lang w:val="en-US" w:eastAsia="zh-CN"/>
              </w:rPr>
              <w:t>5.2     6.2</w:t>
            </w:r>
          </w:p>
          <w:p>
            <w:pPr>
              <w:rPr>
                <w:rFonts w:ascii="Times New Roman" w:hAnsi="Times New Roman" w:eastAsia="宋体" w:cs="Times New Roman"/>
                <w:kern w:val="2"/>
                <w:sz w:val="21"/>
                <w:lang w:val="en-US" w:eastAsia="zh-CN" w:bidi="ar-SA"/>
              </w:rPr>
            </w:pPr>
          </w:p>
        </w:tc>
        <w:tc>
          <w:tcPr>
            <w:tcW w:w="10499" w:type="dxa"/>
            <w:vAlign w:val="top"/>
          </w:tcPr>
          <w:p>
            <w:pPr>
              <w:rPr>
                <w:rFonts w:hint="eastAsia" w:cs="宋体"/>
                <w:szCs w:val="22"/>
              </w:rPr>
            </w:pPr>
            <w:r>
              <w:rPr>
                <w:rFonts w:hint="eastAsia"/>
              </w:rPr>
              <w:t>管理手册</w:t>
            </w:r>
            <w:r>
              <w:rPr>
                <w:rFonts w:hint="eastAsia" w:cs="宋体"/>
                <w:szCs w:val="22"/>
              </w:rPr>
              <w:t>明确了公司的管理方针：</w:t>
            </w:r>
          </w:p>
          <w:p>
            <w:pPr>
              <w:rPr>
                <w:rFonts w:hint="eastAsia" w:cs="宋体"/>
                <w:szCs w:val="22"/>
              </w:rPr>
            </w:pPr>
            <w:r>
              <w:rPr>
                <w:rFonts w:hint="eastAsia" w:cs="宋体"/>
                <w:szCs w:val="22"/>
              </w:rPr>
              <w:t>保护环境 造福人类</w:t>
            </w:r>
          </w:p>
          <w:p>
            <w:pPr>
              <w:rPr>
                <w:rFonts w:hint="eastAsia" w:cs="宋体"/>
                <w:szCs w:val="22"/>
              </w:rPr>
            </w:pPr>
            <w:r>
              <w:rPr>
                <w:rFonts w:hint="eastAsia" w:cs="宋体"/>
                <w:szCs w:val="22"/>
              </w:rPr>
              <w:t>污染预防 防治结合</w:t>
            </w:r>
          </w:p>
          <w:p>
            <w:pPr>
              <w:rPr>
                <w:rFonts w:hint="eastAsia" w:cs="宋体"/>
                <w:szCs w:val="22"/>
              </w:rPr>
            </w:pPr>
            <w:r>
              <w:rPr>
                <w:rFonts w:hint="eastAsia" w:cs="宋体"/>
                <w:szCs w:val="22"/>
              </w:rPr>
              <w:t>遵守法规 持续改进</w:t>
            </w:r>
          </w:p>
          <w:p>
            <w:pPr>
              <w:rPr>
                <w:rFonts w:hint="eastAsia" w:cs="宋体"/>
                <w:szCs w:val="22"/>
              </w:rPr>
            </w:pPr>
            <w:r>
              <w:rPr>
                <w:rFonts w:hint="eastAsia" w:cs="宋体"/>
                <w:szCs w:val="22"/>
              </w:rPr>
              <w:t>总经理证实，与企业的宗旨一直，随管理手册的发布宣传贯彻。</w:t>
            </w:r>
          </w:p>
          <w:p>
            <w:pPr>
              <w:rPr>
                <w:rFonts w:hint="eastAsia" w:cs="宋体"/>
              </w:rPr>
            </w:pPr>
            <w:r>
              <w:rPr>
                <w:rFonts w:hint="eastAsia" w:cs="宋体"/>
              </w:rPr>
              <w:t>公司环境目标：</w:t>
            </w:r>
          </w:p>
          <w:p>
            <w:pPr>
              <w:rPr>
                <w:rFonts w:hint="eastAsia"/>
              </w:rPr>
            </w:pPr>
            <w:r>
              <w:rPr>
                <w:rFonts w:hint="eastAsia"/>
              </w:rPr>
              <w:t>1、污染物排放达标率 100%。</w:t>
            </w:r>
          </w:p>
          <w:p>
            <w:pPr>
              <w:rPr>
                <w:rFonts w:hint="eastAsia"/>
              </w:rPr>
            </w:pPr>
            <w:r>
              <w:rPr>
                <w:rFonts w:hint="eastAsia"/>
              </w:rPr>
              <w:t>2、环境事故为 0。</w:t>
            </w:r>
          </w:p>
          <w:p>
            <w:pPr>
              <w:rPr>
                <w:rFonts w:ascii="Times New Roman" w:hAnsi="Times New Roman" w:eastAsia="宋体" w:cs="Times New Roman"/>
                <w:kern w:val="2"/>
                <w:sz w:val="21"/>
                <w:lang w:val="en-US" w:eastAsia="zh-CN" w:bidi="ar-SA"/>
              </w:rPr>
            </w:pPr>
            <w:r>
              <w:rPr>
                <w:rFonts w:hint="eastAsia"/>
              </w:rPr>
              <w:t>基本符合标准要求。在方针框架下展开，并分解到各职能部门。</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内审、管理评审策划和实施的符合性及可信性</w:t>
            </w:r>
          </w:p>
        </w:tc>
        <w:tc>
          <w:tcPr>
            <w:tcW w:w="960" w:type="dxa"/>
            <w:vAlign w:val="top"/>
          </w:tcPr>
          <w:p>
            <w:pPr>
              <w:rPr>
                <w:rFonts w:hint="eastAsia"/>
                <w:lang w:val="en-US" w:eastAsia="zh-CN"/>
              </w:rPr>
            </w:pPr>
            <w:r>
              <w:rPr>
                <w:rFonts w:hint="eastAsia"/>
                <w:lang w:val="en-US" w:eastAsia="zh-CN"/>
              </w:rPr>
              <w:t>9.2</w:t>
            </w:r>
          </w:p>
          <w:p>
            <w:pPr>
              <w:rPr>
                <w:rFonts w:ascii="Times New Roman" w:hAnsi="Times New Roman" w:eastAsia="宋体" w:cs="Times New Roman"/>
                <w:kern w:val="2"/>
                <w:sz w:val="21"/>
                <w:lang w:val="en-US" w:eastAsia="zh-CN" w:bidi="ar-SA"/>
              </w:rPr>
            </w:pPr>
            <w:r>
              <w:rPr>
                <w:rFonts w:hint="eastAsia"/>
                <w:lang w:val="en-US" w:eastAsia="zh-CN"/>
              </w:rPr>
              <w:t>9.3</w:t>
            </w:r>
          </w:p>
        </w:tc>
        <w:tc>
          <w:tcPr>
            <w:tcW w:w="10499" w:type="dxa"/>
            <w:vAlign w:val="top"/>
          </w:tcPr>
          <w:p>
            <w:pPr>
              <w:rPr>
                <w:rFonts w:hint="eastAsia"/>
              </w:rPr>
            </w:pPr>
            <w:r>
              <w:rPr>
                <w:rFonts w:hint="eastAsia"/>
              </w:rPr>
              <w:t>20</w:t>
            </w:r>
            <w:r>
              <w:rPr>
                <w:rFonts w:hint="eastAsia"/>
                <w:lang w:val="en-US" w:eastAsia="zh-CN"/>
              </w:rPr>
              <w:t>21</w:t>
            </w:r>
            <w:r>
              <w:rPr>
                <w:rFonts w:hint="eastAsia"/>
              </w:rPr>
              <w:t>年</w:t>
            </w:r>
            <w:r>
              <w:rPr>
                <w:rFonts w:hint="eastAsia"/>
                <w:lang w:val="en-US" w:eastAsia="zh-CN"/>
              </w:rPr>
              <w:t>6</w:t>
            </w:r>
            <w:r>
              <w:rPr>
                <w:rFonts w:hint="eastAsia"/>
              </w:rPr>
              <w:t>月</w:t>
            </w:r>
            <w:r>
              <w:rPr>
                <w:rFonts w:hint="eastAsia"/>
                <w:lang w:val="en-US" w:eastAsia="zh-CN"/>
              </w:rPr>
              <w:t>8</w:t>
            </w:r>
            <w:r>
              <w:rPr>
                <w:rFonts w:hint="eastAsia"/>
              </w:rPr>
              <w:t>日进行内部审核，提供内部审核计划、内审检查表、不合格报告、内部质量管理体系审核报告等，基本符合要求。</w:t>
            </w:r>
          </w:p>
          <w:p>
            <w:pPr>
              <w:rPr>
                <w:rFonts w:ascii="Times New Roman" w:hAnsi="Times New Roman" w:eastAsia="宋体" w:cs="Times New Roman"/>
                <w:kern w:val="2"/>
                <w:sz w:val="21"/>
                <w:lang w:val="en-US" w:eastAsia="zh-CN" w:bidi="ar-SA"/>
              </w:rPr>
            </w:pPr>
            <w:r>
              <w:rPr>
                <w:rFonts w:hint="eastAsia"/>
              </w:rPr>
              <w:t>20</w:t>
            </w:r>
            <w:r>
              <w:rPr>
                <w:rFonts w:hint="eastAsia"/>
                <w:lang w:val="en-US" w:eastAsia="zh-CN"/>
              </w:rPr>
              <w:t>21</w:t>
            </w:r>
            <w:r>
              <w:rPr>
                <w:rFonts w:hint="eastAsia"/>
              </w:rPr>
              <w:t>年</w:t>
            </w:r>
            <w:r>
              <w:rPr>
                <w:rFonts w:hint="eastAsia"/>
                <w:lang w:val="en-US" w:eastAsia="zh-CN"/>
              </w:rPr>
              <w:t>6</w:t>
            </w:r>
            <w:r>
              <w:rPr>
                <w:rFonts w:hint="eastAsia"/>
              </w:rPr>
              <w:t>月</w:t>
            </w:r>
            <w:r>
              <w:rPr>
                <w:rFonts w:hint="eastAsia"/>
                <w:lang w:val="en-US" w:eastAsia="zh-CN"/>
              </w:rPr>
              <w:t>15</w:t>
            </w:r>
            <w:r>
              <w:rPr>
                <w:rFonts w:hint="eastAsia"/>
              </w:rPr>
              <w:t>日进行管理评审，由总经理主持会议，有管理评审计划、管理评审输入资料</w:t>
            </w:r>
            <w:r>
              <w:t>—</w:t>
            </w:r>
            <w:r>
              <w:rPr>
                <w:rFonts w:hint="eastAsia"/>
              </w:rPr>
              <w:t>各部门工作总结、管理评审报告等，内容基本可信，有效。</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0" w:type="auto"/>
            <w:vAlign w:val="top"/>
          </w:tcPr>
          <w:p>
            <w:pPr>
              <w:rPr>
                <w:rFonts w:hint="eastAsia"/>
              </w:rPr>
            </w:pPr>
            <w:r>
              <w:rPr>
                <w:rFonts w:hint="eastAsia"/>
              </w:rPr>
              <w:t>遵守法律法规的情况</w:t>
            </w:r>
          </w:p>
          <w:p>
            <w:pPr>
              <w:rPr>
                <w:rFonts w:hint="eastAsia" w:ascii="Times New Roman" w:hAnsi="Times New Roman" w:eastAsia="宋体" w:cs="Times New Roman"/>
                <w:kern w:val="2"/>
                <w:sz w:val="21"/>
                <w:lang w:val="en-US" w:eastAsia="zh-CN" w:bidi="ar-SA"/>
              </w:rPr>
            </w:pPr>
            <w:r>
              <w:rPr>
                <w:rFonts w:hint="eastAsia"/>
              </w:rPr>
              <w:t>事故及投诉情况</w:t>
            </w:r>
          </w:p>
        </w:tc>
        <w:tc>
          <w:tcPr>
            <w:tcW w:w="0" w:type="auto"/>
            <w:vAlign w:val="top"/>
          </w:tcPr>
          <w:p>
            <w:pPr>
              <w:rPr>
                <w:rFonts w:hint="eastAsia" w:ascii="Times New Roman" w:hAnsi="Times New Roman" w:eastAsia="宋体" w:cs="Times New Roman"/>
                <w:kern w:val="2"/>
                <w:sz w:val="21"/>
                <w:lang w:val="en-US" w:eastAsia="zh-CN" w:bidi="ar-SA"/>
              </w:rPr>
            </w:pPr>
          </w:p>
        </w:tc>
        <w:tc>
          <w:tcPr>
            <w:tcW w:w="10499" w:type="dxa"/>
            <w:vAlign w:val="top"/>
          </w:tcPr>
          <w:p>
            <w:pPr>
              <w:rPr>
                <w:rFonts w:hint="eastAsia" w:ascii="Times New Roman" w:hAnsi="Times New Roman" w:eastAsia="宋体" w:cs="Times New Roman"/>
                <w:kern w:val="2"/>
                <w:sz w:val="21"/>
                <w:lang w:val="en-US" w:eastAsia="zh-CN" w:bidi="ar-SA"/>
              </w:rPr>
            </w:pPr>
            <w:r>
              <w:rPr>
                <w:rFonts w:hint="eastAsia"/>
              </w:rPr>
              <w:t>企业</w:t>
            </w:r>
            <w:r>
              <w:t>在</w:t>
            </w:r>
            <w:r>
              <w:rPr>
                <w:rFonts w:hint="eastAsia" w:cs="Times New Roman"/>
                <w:szCs w:val="22"/>
                <w:lang w:val="en-US" w:eastAsia="zh-CN"/>
              </w:rPr>
              <w:t>销售</w:t>
            </w:r>
            <w:r>
              <w:rPr>
                <w:rFonts w:hint="eastAsia"/>
                <w:lang w:eastAsia="zh-CN"/>
              </w:rPr>
              <w:t>各</w:t>
            </w:r>
            <w:r>
              <w:t>过程中能够遵守相关的法律法规和其它要求，提供合规性评价记录，评价时间：20</w:t>
            </w:r>
            <w:r>
              <w:rPr>
                <w:rFonts w:hint="eastAsia"/>
                <w:lang w:val="en-US" w:eastAsia="zh-CN"/>
              </w:rPr>
              <w:t>21.4.2</w:t>
            </w:r>
            <w:r>
              <w:t>，符合要求。体系运行以来，未发生</w:t>
            </w:r>
            <w:r>
              <w:rPr>
                <w:rFonts w:hint="eastAsia"/>
              </w:rPr>
              <w:t>环境</w:t>
            </w:r>
            <w:r>
              <w:t>事故，无重大投诉和行政处罚</w:t>
            </w:r>
            <w:r>
              <w:rPr>
                <w:rFonts w:hint="eastAsia"/>
              </w:rPr>
              <w:t>情况</w:t>
            </w:r>
            <w:r>
              <w:rPr>
                <w:rFonts w:hint="eastAsia"/>
                <w:lang w:val="en-US" w:eastAsia="zh-CN"/>
              </w:rPr>
              <w:t>.</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0" w:type="auto"/>
            <w:vAlign w:val="top"/>
          </w:tcPr>
          <w:p>
            <w:pPr>
              <w:rPr>
                <w:rFonts w:hint="eastAsia"/>
              </w:rPr>
            </w:pPr>
            <w:r>
              <w:rPr>
                <w:rFonts w:hint="eastAsia"/>
              </w:rPr>
              <w:t>确定第二阶段</w:t>
            </w:r>
          </w:p>
          <w:p>
            <w:pPr>
              <w:rPr>
                <w:rFonts w:hint="eastAsia" w:ascii="Times New Roman" w:hAnsi="Times New Roman" w:eastAsia="宋体" w:cs="Times New Roman"/>
                <w:kern w:val="2"/>
                <w:sz w:val="21"/>
                <w:lang w:val="en-US" w:eastAsia="zh-CN" w:bidi="ar-SA"/>
              </w:rPr>
            </w:pPr>
          </w:p>
        </w:tc>
        <w:tc>
          <w:tcPr>
            <w:tcW w:w="0" w:type="auto"/>
            <w:vAlign w:val="top"/>
          </w:tcPr>
          <w:p>
            <w:pPr>
              <w:rPr>
                <w:rFonts w:hint="eastAsia" w:ascii="Times New Roman" w:hAnsi="Times New Roman" w:eastAsia="宋体" w:cs="Times New Roman"/>
                <w:kern w:val="2"/>
                <w:sz w:val="21"/>
                <w:lang w:val="en-US" w:eastAsia="zh-CN" w:bidi="ar-SA"/>
              </w:rPr>
            </w:pPr>
          </w:p>
        </w:tc>
        <w:tc>
          <w:tcPr>
            <w:tcW w:w="10499" w:type="dxa"/>
            <w:vAlign w:val="top"/>
          </w:tcPr>
          <w:p>
            <w:pPr>
              <w:rPr>
                <w:rFonts w:hint="eastAsia"/>
                <w:lang w:eastAsia="zh-CN"/>
              </w:rPr>
            </w:pPr>
            <w:r>
              <w:rPr>
                <w:rFonts w:hint="eastAsia"/>
              </w:rPr>
              <w:t>第二阶段审核所需资源的配置较充分</w:t>
            </w:r>
            <w:r>
              <w:rPr>
                <w:rFonts w:hint="eastAsia"/>
                <w:lang w:eastAsia="zh-CN"/>
              </w:rPr>
              <w:t>。</w:t>
            </w:r>
          </w:p>
          <w:p>
            <w:pPr>
              <w:rPr>
                <w:rFonts w:hint="eastAsia" w:ascii="Times New Roman" w:hAnsi="Times New Roman" w:eastAsia="宋体" w:cs="Times New Roman"/>
                <w:kern w:val="2"/>
                <w:sz w:val="21"/>
                <w:lang w:val="en-US" w:eastAsia="zh-CN" w:bidi="ar-SA"/>
              </w:rPr>
            </w:pPr>
            <w:r>
              <w:rPr>
                <w:rFonts w:hint="eastAsia"/>
              </w:rPr>
              <w:t>商定第二阶段审核时间：20</w:t>
            </w:r>
            <w:r>
              <w:rPr>
                <w:rFonts w:hint="eastAsia"/>
                <w:lang w:val="en-US" w:eastAsia="zh-CN"/>
              </w:rPr>
              <w:t>21</w:t>
            </w:r>
            <w:r>
              <w:rPr>
                <w:rFonts w:hint="eastAsia"/>
              </w:rPr>
              <w:t>年</w:t>
            </w:r>
            <w:r>
              <w:rPr>
                <w:rFonts w:hint="eastAsia"/>
                <w:lang w:val="en-US" w:eastAsia="zh-CN"/>
              </w:rPr>
              <w:t>7</w:t>
            </w:r>
            <w:r>
              <w:rPr>
                <w:rFonts w:hint="eastAsia"/>
              </w:rPr>
              <w:t>月</w:t>
            </w:r>
            <w:r>
              <w:rPr>
                <w:rFonts w:hint="eastAsia"/>
                <w:lang w:val="en-US" w:eastAsia="zh-CN"/>
              </w:rPr>
              <w:t>22</w:t>
            </w:r>
            <w:r>
              <w:rPr>
                <w:rFonts w:hint="eastAsia"/>
              </w:rPr>
              <w:t>日</w:t>
            </w:r>
          </w:p>
        </w:tc>
        <w:tc>
          <w:tcPr>
            <w:tcW w:w="1090" w:type="dxa"/>
          </w:tcPr>
          <w:p/>
        </w:tc>
      </w:tr>
    </w:tbl>
    <w:p/>
    <w:p/>
    <w:p/>
    <w:p/>
    <w:p/>
    <w:p/>
    <w:p/>
    <w:p>
      <w:r>
        <w:ptab w:relativeTo="margin" w:alignment="center" w:leader="none"/>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办公室       负责人</w:t>
            </w:r>
            <w:r>
              <w:rPr>
                <w:rFonts w:hint="eastAsia"/>
                <w:sz w:val="24"/>
                <w:szCs w:val="24"/>
                <w:lang w:eastAsia="zh-CN"/>
              </w:rPr>
              <w:t>：</w:t>
            </w:r>
            <w:r>
              <w:rPr>
                <w:rFonts w:hint="eastAsia"/>
                <w:sz w:val="24"/>
                <w:szCs w:val="24"/>
                <w:lang w:val="en-US" w:eastAsia="zh-CN"/>
              </w:rPr>
              <w:t>曹金中          陪同人员：</w:t>
            </w:r>
            <w:r>
              <w:rPr>
                <w:rFonts w:hint="eastAsia" w:cs="Times New Roman"/>
                <w:szCs w:val="21"/>
                <w:lang w:val="en-US" w:eastAsia="zh-CN"/>
              </w:rPr>
              <w:t>张丽平</w:t>
            </w:r>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2021.8.1.</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lang w:val="en-US" w:eastAsia="zh-CN"/>
              </w:rPr>
              <w:t>6.1.2/6.1.3/6.2.2/7.5</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r>
              <w:rPr>
                <w:rFonts w:hint="eastAsia"/>
              </w:rPr>
              <w:t>管理体系文件</w:t>
            </w:r>
            <w:r>
              <w:rPr>
                <w:rFonts w:hint="eastAsia"/>
                <w:lang w:eastAsia="zh-CN"/>
              </w:rPr>
              <w:t>、</w:t>
            </w:r>
            <w:r>
              <w:rPr>
                <w:rFonts w:hint="eastAsia"/>
                <w:lang w:val="en-US" w:eastAsia="zh-CN"/>
              </w:rPr>
              <w:t>合规义务、法律法规要求</w:t>
            </w:r>
          </w:p>
        </w:tc>
        <w:tc>
          <w:tcPr>
            <w:tcW w:w="960" w:type="dxa"/>
            <w:noWrap w:val="0"/>
            <w:vAlign w:val="top"/>
          </w:tcPr>
          <w:p>
            <w:pPr>
              <w:rPr>
                <w:rFonts w:hint="eastAsia"/>
                <w:lang w:val="en-US" w:eastAsia="zh-CN"/>
              </w:rPr>
            </w:pPr>
            <w:r>
              <w:rPr>
                <w:rFonts w:hint="eastAsia"/>
                <w:lang w:val="en-US" w:eastAsia="zh-CN"/>
              </w:rPr>
              <w:t>7.5</w:t>
            </w:r>
          </w:p>
          <w:p>
            <w:r>
              <w:rPr>
                <w:rFonts w:hint="eastAsia"/>
                <w:lang w:val="en-US" w:eastAsia="zh-CN"/>
              </w:rPr>
              <w:t>6.1.3</w:t>
            </w:r>
          </w:p>
        </w:tc>
        <w:tc>
          <w:tcPr>
            <w:tcW w:w="10891" w:type="dxa"/>
            <w:noWrap w:val="0"/>
            <w:vAlign w:val="top"/>
          </w:tcPr>
          <w:p>
            <w:pPr>
              <w:rPr>
                <w:rFonts w:hint="eastAsia"/>
              </w:rPr>
            </w:pPr>
            <w:r>
              <w:t>■</w:t>
            </w:r>
            <w:r>
              <w:rPr>
                <w:rFonts w:hint="eastAsia"/>
              </w:rPr>
              <w:t>受审核方建立的管理体系文件包括</w:t>
            </w:r>
            <w:r>
              <w:rPr>
                <w:rFonts w:hint="eastAsia"/>
                <w:lang w:eastAsia="zh-CN"/>
              </w:rPr>
              <w:t>：</w:t>
            </w:r>
          </w:p>
          <w:p>
            <w:pPr>
              <w:rPr>
                <w:rFonts w:hint="eastAsia"/>
                <w:szCs w:val="22"/>
              </w:rPr>
            </w:pPr>
            <w:r>
              <w:rPr>
                <w:rFonts w:hint="eastAsia"/>
                <w:szCs w:val="22"/>
              </w:rPr>
              <w:t>1.管理手册</w:t>
            </w:r>
            <w:r>
              <w:rPr>
                <w:rFonts w:hint="eastAsia"/>
                <w:szCs w:val="22"/>
                <w:lang w:eastAsia="zh-CN"/>
              </w:rPr>
              <w:t>RS</w:t>
            </w:r>
            <w:r>
              <w:rPr>
                <w:rFonts w:hint="eastAsia"/>
                <w:szCs w:val="22"/>
              </w:rPr>
              <w:t>-GLSC-E</w:t>
            </w:r>
            <w:r>
              <w:rPr>
                <w:rFonts w:hint="eastAsia"/>
                <w:szCs w:val="22"/>
                <w:lang w:val="en-US" w:eastAsia="zh-CN"/>
              </w:rPr>
              <w:t>-</w:t>
            </w:r>
            <w:r>
              <w:rPr>
                <w:rFonts w:hint="eastAsia"/>
                <w:szCs w:val="22"/>
              </w:rPr>
              <w:t>2018</w:t>
            </w:r>
            <w:r>
              <w:rPr>
                <w:rFonts w:hint="eastAsia"/>
                <w:szCs w:val="22"/>
                <w:lang w:val="en-US" w:eastAsia="zh-CN"/>
              </w:rPr>
              <w:t xml:space="preserve"> </w:t>
            </w:r>
            <w:r>
              <w:rPr>
                <w:rFonts w:hint="eastAsia"/>
                <w:szCs w:val="22"/>
              </w:rPr>
              <w:t>A/0版，20</w:t>
            </w:r>
            <w:r>
              <w:rPr>
                <w:rFonts w:hint="eastAsia"/>
                <w:szCs w:val="22"/>
                <w:lang w:val="en-US" w:eastAsia="zh-CN"/>
              </w:rPr>
              <w:t>18</w:t>
            </w:r>
            <w:r>
              <w:rPr>
                <w:rFonts w:hint="eastAsia"/>
                <w:szCs w:val="22"/>
              </w:rPr>
              <w:t>年</w:t>
            </w:r>
            <w:r>
              <w:rPr>
                <w:rFonts w:hint="eastAsia"/>
                <w:szCs w:val="22"/>
                <w:lang w:val="en-US" w:eastAsia="zh-CN"/>
              </w:rPr>
              <w:t>1</w:t>
            </w:r>
            <w:r>
              <w:rPr>
                <w:rFonts w:hint="eastAsia"/>
                <w:szCs w:val="22"/>
              </w:rPr>
              <w:t>月1日发表实施（含管理方针、目标）</w:t>
            </w:r>
          </w:p>
          <w:p>
            <w:pPr>
              <w:jc w:val="both"/>
              <w:rPr>
                <w:rFonts w:hint="eastAsia"/>
                <w:szCs w:val="22"/>
              </w:rPr>
            </w:pPr>
            <w:r>
              <w:rPr>
                <w:rFonts w:hint="eastAsia"/>
                <w:szCs w:val="22"/>
              </w:rPr>
              <w:t>2.程序文件</w:t>
            </w:r>
            <w:r>
              <w:rPr>
                <w:rFonts w:hint="eastAsia"/>
                <w:szCs w:val="22"/>
                <w:lang w:eastAsia="zh-CN"/>
              </w:rPr>
              <w:t>RS</w:t>
            </w:r>
            <w:r>
              <w:rPr>
                <w:rFonts w:hint="eastAsia"/>
                <w:szCs w:val="22"/>
              </w:rPr>
              <w:t>-CX-2018</w:t>
            </w:r>
            <w:r>
              <w:rPr>
                <w:rFonts w:hint="eastAsia"/>
                <w:szCs w:val="22"/>
                <w:lang w:val="en-US" w:eastAsia="zh-CN"/>
              </w:rPr>
              <w:t xml:space="preserve"> A/0版，2018年1月1日发表实施（含管理方针、目标），</w:t>
            </w:r>
            <w:r>
              <w:rPr>
                <w:rFonts w:hint="eastAsia"/>
                <w:szCs w:val="22"/>
              </w:rPr>
              <w:t>包括标准要求的程序</w:t>
            </w:r>
          </w:p>
          <w:p>
            <w:pPr>
              <w:rPr>
                <w:rFonts w:hint="eastAsia"/>
                <w:szCs w:val="22"/>
              </w:rPr>
            </w:pPr>
            <w:r>
              <w:rPr>
                <w:rFonts w:hint="eastAsia"/>
                <w:szCs w:val="22"/>
              </w:rPr>
              <w:t>3.</w:t>
            </w:r>
            <w:r>
              <w:rPr>
                <w:rFonts w:hint="eastAsia"/>
                <w:szCs w:val="22"/>
                <w:lang w:val="en-US" w:eastAsia="zh-CN"/>
              </w:rPr>
              <w:t>制度规范</w:t>
            </w:r>
            <w:r>
              <w:rPr>
                <w:rFonts w:hint="eastAsia"/>
                <w:szCs w:val="22"/>
              </w:rPr>
              <w:t>，包括：岗位任职条件</w:t>
            </w:r>
            <w:r>
              <w:rPr>
                <w:rFonts w:hint="eastAsia"/>
                <w:szCs w:val="22"/>
                <w:lang w:eastAsia="zh-CN"/>
              </w:rPr>
              <w:t>、</w:t>
            </w:r>
            <w:r>
              <w:rPr>
                <w:rFonts w:hint="eastAsia"/>
                <w:szCs w:val="22"/>
              </w:rPr>
              <w:t>节能降耗管理规定</w:t>
            </w:r>
            <w:r>
              <w:rPr>
                <w:rFonts w:hint="eastAsia"/>
                <w:szCs w:val="22"/>
                <w:lang w:eastAsia="zh-CN"/>
              </w:rPr>
              <w:t>、</w:t>
            </w:r>
            <w:r>
              <w:rPr>
                <w:rFonts w:hint="eastAsia"/>
                <w:szCs w:val="22"/>
              </w:rPr>
              <w:t>车辆使用管理规定</w:t>
            </w:r>
            <w:r>
              <w:rPr>
                <w:rFonts w:hint="eastAsia"/>
                <w:szCs w:val="22"/>
                <w:lang w:eastAsia="zh-CN"/>
              </w:rPr>
              <w:t>、</w:t>
            </w:r>
            <w:r>
              <w:rPr>
                <w:rFonts w:hint="eastAsia"/>
                <w:szCs w:val="22"/>
              </w:rPr>
              <w:t>电脑使用管理办法</w:t>
            </w:r>
            <w:r>
              <w:rPr>
                <w:rFonts w:hint="eastAsia"/>
                <w:szCs w:val="22"/>
                <w:lang w:eastAsia="zh-CN"/>
              </w:rPr>
              <w:t>、</w:t>
            </w:r>
            <w:r>
              <w:rPr>
                <w:rFonts w:hint="eastAsia"/>
                <w:szCs w:val="22"/>
              </w:rPr>
              <w:t>消防安全管理制度</w:t>
            </w:r>
            <w:r>
              <w:rPr>
                <w:rFonts w:hint="eastAsia"/>
                <w:szCs w:val="22"/>
                <w:lang w:eastAsia="zh-CN"/>
              </w:rPr>
              <w:t>、</w:t>
            </w:r>
            <w:r>
              <w:rPr>
                <w:rFonts w:hint="eastAsia"/>
                <w:szCs w:val="22"/>
              </w:rPr>
              <w:t xml:space="preserve">  火灾事故应急救援处理预案等。</w:t>
            </w:r>
          </w:p>
          <w:p>
            <w:pPr>
              <w:rPr>
                <w:rFonts w:hint="eastAsia"/>
                <w:szCs w:val="22"/>
              </w:rPr>
            </w:pPr>
            <w:r>
              <w:rPr>
                <w:rFonts w:hint="eastAsia"/>
                <w:szCs w:val="22"/>
              </w:rPr>
              <w:t>4.体系运行所需要的记录</w:t>
            </w:r>
          </w:p>
          <w:p>
            <w:pPr>
              <w:rPr>
                <w:rFonts w:hint="eastAsia"/>
              </w:rPr>
            </w:pPr>
            <w:r>
              <w:t>■</w:t>
            </w:r>
            <w:r>
              <w:rPr>
                <w:rFonts w:hint="eastAsia"/>
              </w:rPr>
              <w:t>编制了文件控制程序，用于对管理体系文件的管理</w:t>
            </w:r>
          </w:p>
          <w:p>
            <w:r>
              <w:rPr>
                <w:rFonts w:hint="eastAsia"/>
                <w:color w:val="auto"/>
              </w:rPr>
              <w:t>对外来文件进行了识别收集，现场提供有《</w:t>
            </w:r>
            <w:r>
              <w:rPr>
                <w:rFonts w:hint="eastAsia"/>
                <w:color w:val="auto"/>
                <w:lang w:eastAsia="zh-CN"/>
              </w:rPr>
              <w:t>适用</w:t>
            </w:r>
            <w:r>
              <w:rPr>
                <w:rFonts w:hint="eastAsia"/>
                <w:color w:val="auto"/>
              </w:rPr>
              <w:t>法律法规清单》，</w:t>
            </w:r>
            <w:r>
              <w:rPr>
                <w:rFonts w:hint="eastAsia"/>
                <w:color w:val="auto"/>
                <w:lang w:eastAsia="zh-CN"/>
              </w:rPr>
              <w:t>包括</w:t>
            </w:r>
            <w:r>
              <w:rPr>
                <w:rFonts w:hint="eastAsia"/>
              </w:rPr>
              <w:t>环境保护法</w:t>
            </w:r>
            <w:r>
              <w:rPr>
                <w:rFonts w:hint="eastAsia"/>
                <w:lang w:eastAsia="zh-CN"/>
              </w:rPr>
              <w:t>、</w:t>
            </w:r>
            <w:r>
              <w:rPr>
                <w:rFonts w:hint="eastAsia"/>
              </w:rPr>
              <w:t>消防法、固体废弃物环境防治法、GB/T24001-2016《环境管理体系 要求及使用指南》等法规</w:t>
            </w:r>
            <w:r>
              <w:rPr>
                <w:rFonts w:hint="eastAsia"/>
                <w:lang w:eastAsia="zh-CN"/>
              </w:rPr>
              <w:t>要求。</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环境因素识别评价程序的充分性、适宜性</w:t>
            </w:r>
          </w:p>
        </w:tc>
        <w:tc>
          <w:tcPr>
            <w:tcW w:w="960" w:type="dxa"/>
            <w:noWrap w:val="0"/>
            <w:vAlign w:val="top"/>
          </w:tcPr>
          <w:p>
            <w:pPr>
              <w:rPr>
                <w:rFonts w:hint="eastAsia"/>
              </w:rPr>
            </w:pPr>
            <w:r>
              <w:rPr>
                <w:rFonts w:hint="eastAsia"/>
                <w:lang w:val="en-US" w:eastAsia="zh-CN"/>
              </w:rPr>
              <w:t>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eastAsia"/>
                <w:sz w:val="21"/>
                <w:szCs w:val="21"/>
              </w:rPr>
            </w:pPr>
            <w:r>
              <w:rPr>
                <w:rFonts w:hint="eastAsia"/>
                <w:sz w:val="21"/>
                <w:szCs w:val="21"/>
              </w:rPr>
              <w:t>策划、编制了《环境因素识别与评价控制程序</w:t>
            </w:r>
            <w:r>
              <w:rPr>
                <w:rFonts w:hint="eastAsia"/>
                <w:sz w:val="21"/>
                <w:szCs w:val="21"/>
                <w:lang w:eastAsia="zh-CN"/>
              </w:rPr>
              <w:t>》</w:t>
            </w:r>
            <w:r>
              <w:rPr>
                <w:rFonts w:hint="eastAsia"/>
                <w:sz w:val="21"/>
                <w:szCs w:val="21"/>
              </w:rPr>
              <w:t>，经文审符合标准要求</w:t>
            </w:r>
          </w:p>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w:t>
            </w:r>
            <w:r>
              <w:rPr>
                <w:rFonts w:hint="eastAsia"/>
                <w:color w:val="auto"/>
              </w:rPr>
              <w:t>等，</w:t>
            </w:r>
            <w:r>
              <w:rPr>
                <w:rFonts w:hint="eastAsia"/>
                <w:color w:val="auto"/>
                <w:lang w:eastAsia="zh-CN"/>
              </w:rPr>
              <w:t>包括</w:t>
            </w:r>
            <w:r>
              <w:rPr>
                <w:rFonts w:hint="eastAsia"/>
              </w:rPr>
              <w:t>固废废弃、意外火灾、包装箱的废弃</w:t>
            </w:r>
            <w:r>
              <w:rPr>
                <w:rFonts w:hint="eastAsia"/>
                <w:lang w:eastAsia="zh-CN"/>
              </w:rPr>
              <w:t>、</w:t>
            </w:r>
            <w:r>
              <w:rPr>
                <w:rFonts w:hint="eastAsia"/>
                <w:lang w:val="en-US" w:eastAsia="zh-CN"/>
              </w:rPr>
              <w:t>噪声</w:t>
            </w:r>
            <w:r>
              <w:rPr>
                <w:rFonts w:hint="eastAsia"/>
                <w:color w:val="auto"/>
              </w:rPr>
              <w:t>等。</w:t>
            </w:r>
          </w:p>
          <w:p>
            <w:pPr>
              <w:rPr>
                <w:rFonts w:hint="eastAsia" w:ascii="Times New Roman" w:hAnsi="Times New Roman" w:eastAsia="宋体" w:cs="Times New Roman"/>
                <w:kern w:val="2"/>
                <w:sz w:val="21"/>
                <w:lang w:val="en-US" w:eastAsia="zh-CN" w:bidi="ar-SA"/>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固体废弃物排放。评价准确。</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环境目标指标的合理性，管理方案的可行性</w:t>
            </w:r>
          </w:p>
        </w:tc>
        <w:tc>
          <w:tcPr>
            <w:tcW w:w="960" w:type="dxa"/>
            <w:noWrap w:val="0"/>
            <w:vAlign w:val="top"/>
          </w:tcPr>
          <w:p>
            <w:pPr>
              <w:rPr>
                <w:rFonts w:ascii="Times New Roman" w:hAnsi="Times New Roman" w:eastAsia="宋体" w:cs="Times New Roman"/>
                <w:kern w:val="2"/>
                <w:sz w:val="21"/>
                <w:lang w:val="en-US" w:eastAsia="zh-CN" w:bidi="ar-SA"/>
              </w:rPr>
            </w:pPr>
            <w:r>
              <w:rPr>
                <w:rFonts w:hint="eastAsia"/>
                <w:lang w:val="en-US" w:eastAsia="zh-CN"/>
              </w:rPr>
              <w:t>6.2.2</w:t>
            </w:r>
          </w:p>
        </w:tc>
        <w:tc>
          <w:tcPr>
            <w:tcW w:w="10891" w:type="dxa"/>
            <w:noWrap w:val="0"/>
            <w:vAlign w:val="top"/>
          </w:tcPr>
          <w:p>
            <w:r>
              <w:rPr>
                <w:rFonts w:hint="eastAsia" w:cs="宋体"/>
              </w:rPr>
              <w:t>环境目标指标：</w:t>
            </w:r>
            <w:r>
              <w:rPr>
                <w:rFonts w:hint="eastAsia" w:hAnsi="宋体"/>
              </w:rPr>
              <w:t>固废分类处置率100%</w:t>
            </w:r>
          </w:p>
          <w:p>
            <w:pPr>
              <w:rPr>
                <w:rFonts w:hint="eastAsia" w:cs="宋体"/>
              </w:rPr>
            </w:pPr>
            <w:r>
              <w:rPr>
                <w:rFonts w:hint="eastAsia" w:cs="宋体"/>
              </w:rPr>
              <w:t>管理方案：1设置专门可回收废弃物、废料料存放场地。</w:t>
            </w:r>
          </w:p>
          <w:p>
            <w:pPr>
              <w:ind w:firstLine="1050" w:firstLineChars="500"/>
              <w:rPr>
                <w:rFonts w:hint="eastAsia" w:cs="宋体"/>
              </w:rPr>
            </w:pPr>
            <w:r>
              <w:rPr>
                <w:rFonts w:hint="eastAsia" w:cs="宋体"/>
              </w:rPr>
              <w:t>2固废物分类进行存放。</w:t>
            </w:r>
          </w:p>
          <w:p>
            <w:pPr>
              <w:ind w:firstLine="1050" w:firstLineChars="500"/>
            </w:pPr>
            <w:r>
              <w:rPr>
                <w:rFonts w:hint="eastAsia" w:cs="宋体"/>
              </w:rPr>
              <w:t>3办公室在办公区域垃圾箱进行分类，可回收、不可回收废物进行分类，并定期进行处理。各部门对办公活动中产生的可回收废物收集后交办公室公室集中处置</w:t>
            </w:r>
            <w:r>
              <w:rPr>
                <w:rFonts w:hint="eastAsia" w:cs="宋体"/>
                <w:lang w:val="en-US" w:eastAsia="zh-CN"/>
              </w:rPr>
              <w:t xml:space="preserve"> </w:t>
            </w:r>
            <w:r>
              <w:rPr>
                <w:rFonts w:hint="eastAsia" w:cs="宋体"/>
              </w:rPr>
              <w:t>完成时间：</w:t>
            </w:r>
            <w:r>
              <w:rPr>
                <w:rFonts w:hint="eastAsia"/>
                <w:lang w:val="en-US" w:eastAsia="zh-CN"/>
              </w:rPr>
              <w:t>2021.12</w:t>
            </w:r>
            <w:r>
              <w:rPr>
                <w:rFonts w:hint="eastAsia" w:cs="宋体"/>
              </w:rPr>
              <w:t>费用</w:t>
            </w:r>
            <w:r>
              <w:rPr>
                <w:rFonts w:hint="eastAsia" w:cs="宋体"/>
                <w:lang w:val="en-US" w:eastAsia="zh-CN"/>
              </w:rPr>
              <w:t>5</w:t>
            </w:r>
            <w:r>
              <w:t>00</w:t>
            </w:r>
            <w:r>
              <w:rPr>
                <w:rFonts w:hint="eastAsia" w:cs="宋体"/>
              </w:rPr>
              <w:t>元</w:t>
            </w:r>
            <w:r>
              <w:t xml:space="preserve"> </w:t>
            </w:r>
          </w:p>
          <w:p>
            <w:pPr>
              <w:rPr>
                <w:rFonts w:hint="eastAsia" w:eastAsia="宋体"/>
                <w:lang w:eastAsia="zh-CN"/>
              </w:rPr>
            </w:pPr>
            <w:r>
              <w:rPr>
                <w:rFonts w:hint="eastAsia" w:cs="宋体"/>
              </w:rPr>
              <w:t>责任部门：各部门，监控部门：</w:t>
            </w:r>
            <w:r>
              <w:rPr>
                <w:rFonts w:hint="eastAsia" w:cs="宋体"/>
                <w:lang w:val="en-US" w:eastAsia="zh-CN"/>
              </w:rPr>
              <w:t>办公室</w:t>
            </w:r>
          </w:p>
          <w:p>
            <w:r>
              <w:rPr>
                <w:rFonts w:hint="eastAsia"/>
                <w:lang w:val="en-US" w:eastAsia="zh-CN"/>
              </w:rPr>
              <w:t>办公室</w:t>
            </w:r>
            <w:r>
              <w:t>负责编制方案，并监督、验证实施进度。</w:t>
            </w:r>
          </w:p>
          <w:p>
            <w:r>
              <w:t>各部门负责目标、指标与方案的具体实施。</w:t>
            </w:r>
          </w:p>
          <w:p>
            <w:pPr>
              <w:rPr>
                <w:rFonts w:ascii="Times New Roman" w:hAnsi="Times New Roman" w:eastAsia="宋体" w:cs="Times New Roman"/>
                <w:kern w:val="2"/>
                <w:sz w:val="21"/>
                <w:lang w:val="en-US" w:eastAsia="zh-CN" w:bidi="ar-SA"/>
              </w:rPr>
            </w:pPr>
            <w:r>
              <w:t>策划的</w:t>
            </w:r>
            <w:r>
              <w:rPr>
                <w:rFonts w:hint="eastAsia"/>
                <w:lang w:val="en-US" w:eastAsia="zh-CN"/>
              </w:rPr>
              <w:t>环境、</w:t>
            </w:r>
            <w:r>
              <w:rPr>
                <w:rFonts w:hint="eastAsia"/>
                <w:lang w:eastAsia="zh-CN"/>
              </w:rPr>
              <w:t>职业健康安全</w:t>
            </w:r>
            <w:r>
              <w:t>目标指标管理方案</w:t>
            </w:r>
            <w:r>
              <w:rPr>
                <w:rFonts w:hint="eastAsia"/>
              </w:rPr>
              <w:t>基本可行。</w:t>
            </w:r>
          </w:p>
        </w:tc>
        <w:tc>
          <w:tcPr>
            <w:tcW w:w="698" w:type="dxa"/>
            <w:noWrap w:val="0"/>
            <w:vAlign w:val="top"/>
          </w:tcPr>
          <w:p/>
        </w:tc>
      </w:tr>
    </w:tbl>
    <w:p/>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供销部       负责人</w:t>
            </w:r>
            <w:r>
              <w:rPr>
                <w:rFonts w:hint="eastAsia"/>
                <w:sz w:val="24"/>
                <w:szCs w:val="24"/>
                <w:lang w:eastAsia="zh-CN"/>
              </w:rPr>
              <w:t>：</w:t>
            </w:r>
            <w:r>
              <w:rPr>
                <w:rFonts w:hint="eastAsia" w:cs="Times New Roman"/>
                <w:szCs w:val="21"/>
                <w:lang w:val="en-US" w:eastAsia="zh-CN"/>
              </w:rPr>
              <w:t>武力辉      陪同人员：张丽平</w:t>
            </w:r>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2021.8.1</w:t>
            </w:r>
            <w:bookmarkStart w:id="0" w:name="_GoBack"/>
            <w:bookmarkEnd w:id="0"/>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rPr>
              <w:t>6.1.2/8.2</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环境因素识别评价的充分性、适宜性</w:t>
            </w:r>
          </w:p>
        </w:tc>
        <w:tc>
          <w:tcPr>
            <w:tcW w:w="960" w:type="dxa"/>
            <w:noWrap w:val="0"/>
            <w:vAlign w:val="top"/>
          </w:tcPr>
          <w:p>
            <w:pPr>
              <w:rPr>
                <w:rFonts w:hint="eastAsia"/>
              </w:rPr>
            </w:pPr>
            <w:r>
              <w:rPr>
                <w:rFonts w:hint="eastAsia"/>
                <w:lang w:val="en-US" w:eastAsia="zh-CN"/>
              </w:rPr>
              <w:t>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w:t>
            </w:r>
            <w:r>
              <w:rPr>
                <w:rFonts w:hint="eastAsia"/>
                <w:color w:val="auto"/>
              </w:rPr>
              <w:t>等，</w:t>
            </w:r>
            <w:r>
              <w:rPr>
                <w:rFonts w:hint="eastAsia"/>
                <w:color w:val="auto"/>
                <w:lang w:eastAsia="zh-CN"/>
              </w:rPr>
              <w:t>包括</w:t>
            </w:r>
            <w:r>
              <w:rPr>
                <w:rFonts w:hint="eastAsia"/>
              </w:rPr>
              <w:t>固废废弃、意外火灾、包装箱的废弃</w:t>
            </w:r>
            <w:r>
              <w:rPr>
                <w:rFonts w:hint="eastAsia"/>
                <w:lang w:eastAsia="zh-CN"/>
              </w:rPr>
              <w:t>、</w:t>
            </w:r>
            <w:r>
              <w:rPr>
                <w:rFonts w:hint="eastAsia"/>
                <w:lang w:val="en-US" w:eastAsia="zh-CN"/>
              </w:rPr>
              <w:t>噪声</w:t>
            </w:r>
            <w:r>
              <w:rPr>
                <w:rFonts w:hint="eastAsia"/>
                <w:color w:val="auto"/>
              </w:rPr>
              <w:t>等。</w:t>
            </w:r>
          </w:p>
          <w:p>
            <w:pPr>
              <w:rPr>
                <w:rFonts w:hint="eastAsia" w:ascii="Times New Roman" w:hAnsi="Times New Roman" w:eastAsia="宋体" w:cs="Times New Roman"/>
                <w:kern w:val="2"/>
                <w:sz w:val="21"/>
                <w:lang w:val="en-US" w:eastAsia="zh-CN" w:bidi="ar-SA"/>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固体废弃物排放。评价准确。</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hint="default" w:eastAsia="宋体"/>
                <w:lang w:val="en-US" w:eastAsia="zh-CN"/>
              </w:rPr>
            </w:pPr>
            <w:r>
              <w:rPr>
                <w:rFonts w:hint="eastAsia"/>
                <w:lang w:val="en-US" w:eastAsia="zh-CN"/>
              </w:rPr>
              <w:t>应急准备和响应</w:t>
            </w:r>
          </w:p>
        </w:tc>
        <w:tc>
          <w:tcPr>
            <w:tcW w:w="960" w:type="dxa"/>
            <w:noWrap w:val="0"/>
            <w:vAlign w:val="top"/>
          </w:tcPr>
          <w:p>
            <w:pPr>
              <w:rPr>
                <w:rFonts w:hint="default"/>
                <w:lang w:val="en-US" w:eastAsia="zh-CN"/>
              </w:rPr>
            </w:pPr>
            <w:r>
              <w:rPr>
                <w:rFonts w:hint="eastAsia"/>
                <w:lang w:val="en-US" w:eastAsia="zh-CN"/>
              </w:rPr>
              <w:t>8.2</w:t>
            </w:r>
          </w:p>
        </w:tc>
        <w:tc>
          <w:tcPr>
            <w:tcW w:w="10891" w:type="dxa"/>
            <w:noWrap w:val="0"/>
            <w:vAlign w:val="top"/>
          </w:tcPr>
          <w:p>
            <w:pPr>
              <w:rPr>
                <w:rFonts w:hint="eastAsia"/>
                <w:sz w:val="21"/>
                <w:szCs w:val="21"/>
              </w:rPr>
            </w:pPr>
            <w:r>
              <w:rPr>
                <w:rFonts w:hint="eastAsia"/>
                <w:sz w:val="21"/>
                <w:szCs w:val="21"/>
              </w:rPr>
              <w:t>策划了《应急准备和响应控制程序》</w:t>
            </w:r>
          </w:p>
          <w:p>
            <w:pPr>
              <w:rPr>
                <w:rFonts w:hint="eastAsia"/>
                <w:sz w:val="21"/>
                <w:szCs w:val="21"/>
              </w:rPr>
            </w:pPr>
            <w:r>
              <w:rPr>
                <w:rFonts w:hint="eastAsia"/>
                <w:sz w:val="21"/>
                <w:szCs w:val="21"/>
              </w:rPr>
              <w:t>提供应急预案：针对包括火灾事故应急预案。</w:t>
            </w:r>
          </w:p>
        </w:tc>
        <w:tc>
          <w:tcPr>
            <w:tcW w:w="698" w:type="dxa"/>
            <w:noWrap w:val="0"/>
            <w:vAlign w:val="top"/>
          </w:tcPr>
          <w:p/>
        </w:tc>
      </w:tr>
    </w:tbl>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515FEE"/>
    <w:rsid w:val="08BB4B9F"/>
    <w:rsid w:val="0F6C0B6D"/>
    <w:rsid w:val="15455B26"/>
    <w:rsid w:val="18C15881"/>
    <w:rsid w:val="1C055351"/>
    <w:rsid w:val="208B11F4"/>
    <w:rsid w:val="20B92D6B"/>
    <w:rsid w:val="3CC572DA"/>
    <w:rsid w:val="3F0636BA"/>
    <w:rsid w:val="43AB419B"/>
    <w:rsid w:val="4832718E"/>
    <w:rsid w:val="48BB346B"/>
    <w:rsid w:val="50D42172"/>
    <w:rsid w:val="54936F10"/>
    <w:rsid w:val="59B71C1C"/>
    <w:rsid w:val="5D380A02"/>
    <w:rsid w:val="6074712B"/>
    <w:rsid w:val="629B39CC"/>
    <w:rsid w:val="68806F4C"/>
    <w:rsid w:val="6E7A1E3D"/>
    <w:rsid w:val="6F10434C"/>
    <w:rsid w:val="724F6F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13</TotalTime>
  <ScaleCrop>false</ScaleCrop>
  <LinksUpToDate>false</LinksUpToDate>
  <CharactersWithSpaces>100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2021-08-03T08:08:28Z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9C1D9FE6D8F749B7B953D97FBF14E984</vt:lpwstr>
  </property>
</Properties>
</file>