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阜宁县宏达石化机械有限公司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阜宁县城河东路66号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bookmarkStart w:id="3" w:name="办公地址"/>
            <w:r>
              <w:rPr>
                <w:rFonts w:asciiTheme="minorEastAsia" w:hAnsiTheme="minorEastAsia" w:eastAsiaTheme="minorEastAsia"/>
                <w:sz w:val="20"/>
              </w:rPr>
              <w:t>阜宁县城河东路66号</w:t>
            </w:r>
            <w:bookmarkEnd w:id="2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徐成林</w:t>
            </w:r>
            <w:bookmarkEnd w:id="4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sz w:val="21"/>
                <w:szCs w:val="21"/>
              </w:rPr>
              <w:t>13961924455</w:t>
            </w:r>
            <w:bookmarkEnd w:id="5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邮箱"/>
            <w:r>
              <w:rPr>
                <w:sz w:val="21"/>
                <w:szCs w:val="21"/>
              </w:rPr>
              <w:t>13961924455@126.com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7" w:name="最高管理者"/>
            <w:bookmarkEnd w:id="7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8" w:name="管代电话"/>
            <w:bookmarkEnd w:id="8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0461-2019-QEO-2021</w:t>
            </w:r>
            <w:bookmarkEnd w:id="9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5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7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8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8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 xml:space="preserve">□现场审核   </w:t>
            </w: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音频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视频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网络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智能手机 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台式电脑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2" w:name="审核范围"/>
            <w:r>
              <w:rPr>
                <w:sz w:val="20"/>
              </w:rPr>
              <w:t>Q：井下工具（封隔器和桥塞、抽油杆扶正器、偏心配水器、修井打捞工具、油气井用射孔接头)的制造。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E：井下工具（可取式桥塞)的制造及相关环境管理活动。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O：井下工具（可取式桥塞)的制造及相关职业健康安全管理活动</w:t>
            </w:r>
            <w:bookmarkEnd w:id="22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3" w:name="专业代码"/>
            <w:r>
              <w:rPr>
                <w:sz w:val="20"/>
              </w:rPr>
              <w:t>Q：17.10.01;17.10.02;17.11.03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E：17.11.03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O：17.11.03</w:t>
            </w:r>
            <w:bookmarkEnd w:id="2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4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5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6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7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28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9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0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H0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1" w:name="审核日期"/>
            <w:r>
              <w:rPr>
                <w:rFonts w:hint="eastAsia"/>
                <w:b/>
                <w:sz w:val="20"/>
              </w:rPr>
              <w:t>2021年09月03日 上午至2021年09月05日 上午</w:t>
            </w:r>
            <w:bookmarkEnd w:id="31"/>
            <w:r>
              <w:rPr>
                <w:rFonts w:hint="eastAsia"/>
                <w:b/>
                <w:sz w:val="20"/>
              </w:rPr>
              <w:t>(共</w:t>
            </w:r>
            <w:bookmarkStart w:id="32" w:name="审核天数"/>
            <w:r>
              <w:rPr>
                <w:rFonts w:hint="eastAsia"/>
                <w:b/>
                <w:sz w:val="20"/>
              </w:rPr>
              <w:t>2.5</w:t>
            </w:r>
            <w:bookmarkEnd w:id="32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  <w:lang w:val="de-DE"/>
              </w:rPr>
              <w:t>伍光华</w:t>
            </w: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2020-N1QMS-2219448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2020-N1EMS-2219448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2020-N1OHSMS-2219448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Q:17.10.01,17.10.02,17.11.03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E:17.11.03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O:17.11.03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13907930788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  <w:lang w:val="de-DE"/>
              </w:rPr>
              <w:t>温红玲</w:t>
            </w:r>
            <w:r>
              <w:rPr>
                <w:rFonts w:hint="eastAsia"/>
                <w:sz w:val="20"/>
                <w:lang w:val="en-US" w:eastAsia="zh-CN"/>
              </w:rPr>
              <w:t>B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2019-N1QMS-2210533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2021-N1EMS-1210533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2021-N0OHSMS-1210533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13835942286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  <w:lang w:val="de-DE"/>
              </w:rPr>
              <w:t>黄红</w:t>
            </w:r>
            <w:r>
              <w:rPr>
                <w:rFonts w:hint="eastAsia"/>
                <w:sz w:val="20"/>
                <w:lang w:val="en-US" w:eastAsia="zh-CN"/>
              </w:rPr>
              <w:t>C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2020-N0QMS-1263785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2020-N0EMS-1263785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15311758935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  <w:lang w:val="de-DE"/>
              </w:rPr>
              <w:t>喻荣秋</w:t>
            </w:r>
            <w:r>
              <w:rPr>
                <w:rFonts w:hint="eastAsia"/>
                <w:sz w:val="20"/>
                <w:lang w:val="en-US" w:eastAsia="zh-CN"/>
              </w:rPr>
              <w:t>D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2021-N0QMS-1274747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2021-N0EMS-1274747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18997716637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伍光华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13907930788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2021.9.1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2021.9.1</w:t>
            </w: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tbl>
      <w:tblPr>
        <w:tblStyle w:val="6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657"/>
        <w:gridCol w:w="1116"/>
        <w:gridCol w:w="2602"/>
        <w:gridCol w:w="279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远程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65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11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hint="default" w:ascii="宋体" w:hAnsi="Times New Roman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b/>
                <w:bCs/>
                <w:sz w:val="21"/>
                <w:szCs w:val="21"/>
              </w:rPr>
              <w:t>202</w:t>
            </w:r>
            <w:r>
              <w:rPr>
                <w:rFonts w:hint="eastAsia" w:ascii="宋体" w:hAnsi="宋体" w:cs="Arial"/>
                <w:b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Arial"/>
                <w:b/>
                <w:bCs/>
                <w:sz w:val="21"/>
                <w:szCs w:val="21"/>
              </w:rPr>
              <w:t>.</w:t>
            </w:r>
            <w:r>
              <w:rPr>
                <w:rFonts w:hint="eastAsia" w:ascii="宋体" w:hAnsi="宋体" w:cs="Arial"/>
                <w:b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Arial"/>
                <w:b/>
                <w:bCs/>
                <w:sz w:val="21"/>
                <w:szCs w:val="21"/>
              </w:rPr>
              <w:t>.</w:t>
            </w:r>
            <w:r>
              <w:rPr>
                <w:rFonts w:hint="eastAsia" w:ascii="宋体" w:hAnsi="宋体" w:cs="Arial"/>
                <w:b/>
                <w:bCs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657" w:type="dxa"/>
            <w:vAlign w:val="center"/>
          </w:tcPr>
          <w:p>
            <w:pPr>
              <w:spacing w:line="240" w:lineRule="exact"/>
              <w:rPr>
                <w:rFonts w:ascii="宋体" w:hAnsi="Times New Roman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8:30～9:00</w:t>
            </w:r>
          </w:p>
        </w:tc>
        <w:tc>
          <w:tcPr>
            <w:tcW w:w="6513" w:type="dxa"/>
            <w:gridSpan w:val="3"/>
            <w:vAlign w:val="top"/>
          </w:tcPr>
          <w:p>
            <w:pPr>
              <w:spacing w:line="280" w:lineRule="exact"/>
              <w:ind w:firstLine="422" w:firstLineChars="200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1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57" w:type="dxa"/>
            <w:vMerge w:val="restart"/>
          </w:tcPr>
          <w:p>
            <w:pPr>
              <w:snapToGrid w:val="0"/>
              <w:spacing w:line="32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9:00～1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1"/>
              </w:rPr>
              <w:t>:30</w:t>
            </w:r>
          </w:p>
          <w:p>
            <w:pPr>
              <w:spacing w:line="24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1"/>
              </w:rPr>
              <w:t>:30～1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0</w:t>
            </w:r>
          </w:p>
          <w:p>
            <w:pPr>
              <w:pStyle w:val="2"/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(午餐)</w:t>
            </w:r>
          </w:p>
          <w:p>
            <w:pPr>
              <w:spacing w:line="24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:30～1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0</w:t>
            </w:r>
          </w:p>
          <w:p>
            <w:pPr>
              <w:pStyle w:val="2"/>
              <w:rPr>
                <w:rFonts w:hint="default" w:ascii="宋体" w:hAnsi="宋体" w:cs="Arial"/>
                <w:sz w:val="21"/>
                <w:szCs w:val="21"/>
                <w:lang w:val="en-US" w:eastAsia="zh-CN"/>
              </w:rPr>
            </w:pPr>
          </w:p>
        </w:tc>
        <w:tc>
          <w:tcPr>
            <w:tcW w:w="1116" w:type="dxa"/>
          </w:tcPr>
          <w:p>
            <w:pPr>
              <w:spacing w:line="280" w:lineRule="exact"/>
              <w:rPr>
                <w:rFonts w:ascii="宋体" w:cs="Arial"/>
                <w:b/>
                <w:sz w:val="21"/>
                <w:szCs w:val="21"/>
              </w:rPr>
            </w:pPr>
            <w:r>
              <w:rPr>
                <w:rFonts w:hint="eastAsia" w:ascii="宋体" w:hAnsi="宋体" w:cs="Arial"/>
                <w:b/>
                <w:sz w:val="21"/>
                <w:szCs w:val="21"/>
              </w:rPr>
              <w:t>管理层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397" w:type="dxa"/>
            <w:gridSpan w:val="2"/>
          </w:tcPr>
          <w:p>
            <w:pPr>
              <w:adjustRightInd w:val="0"/>
              <w:snapToGrid w:val="0"/>
              <w:spacing w:line="280" w:lineRule="exact"/>
              <w:ind w:right="120" w:rightChars="50"/>
              <w:jc w:val="left"/>
              <w:textAlignment w:val="baseline"/>
              <w:rPr>
                <w:rFonts w:hint="eastAsia" w:ascii="宋体" w:hAnsi="宋体" w:cs="Arial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Q/E:4.1理解组织及其环境、4.2理解相关方的需求和期望、4.3 确定管理体系的范围、4.4质量/环境/职业健康安全管理体系及其过程、5.1领导作用和承诺、5.2质量/环境/职业健康安全方针、5.3组织的岗位、职责和权限、O5.4协商和参与、6.1应对风险和机遇的措施、6.2质量/环境/职业健康安全目标及其实现的策划、Q6.3变更的策划、9.3管理评审、10.1改进、10.3持续改进，</w:t>
            </w:r>
          </w:p>
          <w:p>
            <w:pPr>
              <w:adjustRightInd w:val="0"/>
              <w:textAlignment w:val="baseline"/>
              <w:rPr>
                <w:rFonts w:asci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O：</w:t>
            </w:r>
            <w:r>
              <w:rPr>
                <w:rFonts w:ascii="宋体" w:hAnsi="宋体"/>
                <w:kern w:val="0"/>
                <w:sz w:val="21"/>
                <w:szCs w:val="21"/>
              </w:rPr>
              <w:t>4.1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理解组织及其环境、</w:t>
            </w:r>
            <w:r>
              <w:rPr>
                <w:rFonts w:ascii="宋体" w:hAnsi="宋体"/>
                <w:kern w:val="0"/>
                <w:sz w:val="21"/>
                <w:szCs w:val="21"/>
              </w:rPr>
              <w:t>4.2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理解相关方的需求和期望、</w:t>
            </w:r>
            <w:r>
              <w:rPr>
                <w:rFonts w:ascii="宋体" w:hAnsi="宋体"/>
                <w:kern w:val="0"/>
                <w:sz w:val="21"/>
                <w:szCs w:val="21"/>
              </w:rPr>
              <w:t xml:space="preserve">4.3 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确定管理体系的范围、</w:t>
            </w:r>
            <w:r>
              <w:rPr>
                <w:rFonts w:ascii="宋体" w:hAnsi="宋体"/>
                <w:kern w:val="0"/>
                <w:sz w:val="21"/>
                <w:szCs w:val="21"/>
              </w:rPr>
              <w:t>4.4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职业健康安全管理体系及其过程、</w:t>
            </w:r>
            <w:r>
              <w:rPr>
                <w:rFonts w:ascii="宋体" w:hAnsi="宋体"/>
                <w:kern w:val="0"/>
                <w:sz w:val="21"/>
                <w:szCs w:val="21"/>
              </w:rPr>
              <w:t>5.1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领导作用和承诺、</w:t>
            </w:r>
            <w:r>
              <w:rPr>
                <w:rFonts w:ascii="宋体" w:hAnsi="宋体"/>
                <w:kern w:val="0"/>
                <w:sz w:val="21"/>
                <w:szCs w:val="21"/>
              </w:rPr>
              <w:t>5.2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环境方针、</w:t>
            </w:r>
            <w:r>
              <w:rPr>
                <w:rFonts w:ascii="宋体" w:hAnsi="宋体"/>
                <w:kern w:val="0"/>
                <w:sz w:val="21"/>
                <w:szCs w:val="21"/>
              </w:rPr>
              <w:t>5.3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组织的岗位、职责和权限、</w:t>
            </w:r>
            <w:r>
              <w:rPr>
                <w:rFonts w:ascii="宋体" w:hAnsi="宋体"/>
                <w:kern w:val="0"/>
                <w:sz w:val="21"/>
                <w:szCs w:val="21"/>
              </w:rPr>
              <w:t>5.4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工作人员的协商和参与</w:t>
            </w:r>
            <w:r>
              <w:rPr>
                <w:rFonts w:ascii="宋体" w:hAnsi="宋体"/>
                <w:kern w:val="0"/>
                <w:sz w:val="21"/>
                <w:szCs w:val="21"/>
              </w:rPr>
              <w:t>6.1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应对风险和机遇的措施、</w:t>
            </w:r>
            <w:r>
              <w:rPr>
                <w:rFonts w:ascii="宋体" w:hAnsi="宋体"/>
                <w:kern w:val="0"/>
                <w:sz w:val="21"/>
                <w:szCs w:val="21"/>
              </w:rPr>
              <w:t>6.2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职业健康安全目标及其实现的策划、</w:t>
            </w:r>
            <w:r>
              <w:rPr>
                <w:rFonts w:ascii="宋体" w:hAnsi="宋体"/>
                <w:kern w:val="0"/>
                <w:sz w:val="21"/>
                <w:szCs w:val="21"/>
              </w:rPr>
              <w:t>7.1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资源、</w:t>
            </w:r>
            <w:r>
              <w:rPr>
                <w:rFonts w:ascii="宋体" w:hAnsi="宋体"/>
                <w:kern w:val="0"/>
                <w:sz w:val="21"/>
                <w:szCs w:val="21"/>
              </w:rPr>
              <w:t>7.4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信息交流、</w:t>
            </w:r>
            <w:r>
              <w:rPr>
                <w:rFonts w:ascii="宋体" w:hAnsi="宋体"/>
                <w:kern w:val="0"/>
                <w:sz w:val="21"/>
                <w:szCs w:val="21"/>
              </w:rPr>
              <w:t>9.3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管理评审、</w:t>
            </w:r>
            <w:r>
              <w:rPr>
                <w:rFonts w:ascii="宋体" w:hAnsi="宋体"/>
                <w:kern w:val="0"/>
                <w:sz w:val="21"/>
                <w:szCs w:val="21"/>
              </w:rPr>
              <w:t>10.1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改进、</w:t>
            </w:r>
            <w:r>
              <w:rPr>
                <w:rFonts w:ascii="宋体" w:hAnsi="宋体"/>
                <w:kern w:val="0"/>
                <w:sz w:val="21"/>
                <w:szCs w:val="21"/>
              </w:rPr>
              <w:t>10.3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持续改进，</w:t>
            </w:r>
          </w:p>
          <w:p>
            <w:pPr>
              <w:spacing w:line="30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bookmarkStart w:id="33" w:name="_GoBack"/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标准/规范/法规的执行情况、上次审核不符合项的验证、认证证书、标志的使用情况、投诉或事故、监督抽查情况、体系变动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lang w:eastAsia="zh-CN"/>
              </w:rPr>
              <w:t>。</w:t>
            </w:r>
            <w:bookmarkEnd w:id="33"/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BCD:QE</w:t>
            </w:r>
          </w:p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A:0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0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57" w:type="dxa"/>
            <w:vMerge w:val="continue"/>
            <w:vAlign w:val="center"/>
          </w:tcPr>
          <w:p>
            <w:pPr>
              <w:spacing w:line="24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16" w:type="dxa"/>
            <w:vAlign w:val="top"/>
          </w:tcPr>
          <w:p>
            <w:pPr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hint="eastAsia" w:ascii="宋体" w:hAnsi="宋体" w:cs="Arial"/>
                <w:b/>
                <w:sz w:val="21"/>
                <w:szCs w:val="21"/>
              </w:rPr>
              <w:t>质</w:t>
            </w:r>
            <w:r>
              <w:rPr>
                <w:rFonts w:hint="eastAsia" w:ascii="宋体" w:hAnsi="宋体" w:cs="Arial"/>
                <w:b/>
                <w:sz w:val="21"/>
                <w:szCs w:val="21"/>
                <w:lang w:val="en-US" w:eastAsia="zh-CN"/>
              </w:rPr>
              <w:t>管</w:t>
            </w:r>
            <w:r>
              <w:rPr>
                <w:rFonts w:hint="eastAsia" w:ascii="宋体" w:hAnsi="宋体" w:cs="Arial"/>
                <w:b/>
                <w:sz w:val="21"/>
                <w:szCs w:val="21"/>
              </w:rPr>
              <w:t>部</w:t>
            </w:r>
          </w:p>
          <w:p>
            <w:pPr>
              <w:spacing w:line="28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397" w:type="dxa"/>
            <w:gridSpan w:val="2"/>
            <w:vAlign w:val="center"/>
          </w:tcPr>
          <w:p>
            <w:pPr>
              <w:adjustRightInd w:val="0"/>
              <w:snapToGrid w:val="0"/>
              <w:ind w:right="120" w:rightChars="50"/>
              <w:jc w:val="left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QMS: 5.3组织的岗位、职责和权限、6.2.1目标、7.1.5监视和测量资源、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8.1运行策划、</w:t>
            </w:r>
            <w:r>
              <w:rPr>
                <w:rFonts w:hint="eastAsia" w:ascii="宋体" w:hAnsi="宋体" w:cs="Arial"/>
                <w:sz w:val="21"/>
                <w:szCs w:val="21"/>
              </w:rPr>
              <w:t>8.6产品和服务的放行、8.7不合格输出的控制，</w:t>
            </w:r>
          </w:p>
          <w:p>
            <w:pPr>
              <w:adjustRightInd w:val="0"/>
              <w:snapToGrid w:val="0"/>
              <w:ind w:right="120" w:rightChars="50"/>
              <w:jc w:val="left"/>
              <w:textAlignment w:val="baseline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E：5.3组织的岗位、职责和权限、6.1.2环境因素/危险源、8.1运行策划和控制，8.2应急准备和响应，</w:t>
            </w:r>
          </w:p>
          <w:p>
            <w:pPr>
              <w:adjustRightInd w:val="0"/>
              <w:snapToGrid w:val="0"/>
              <w:ind w:right="120" w:rightChars="50"/>
              <w:jc w:val="left"/>
              <w:textAlignment w:val="baseline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O:</w:t>
            </w: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宋体" w:hAnsi="宋体"/>
                <w:kern w:val="0"/>
                <w:sz w:val="21"/>
                <w:szCs w:val="21"/>
              </w:rPr>
              <w:t>5.3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组织的岗位、职责和权限、</w:t>
            </w:r>
            <w:r>
              <w:rPr>
                <w:rFonts w:ascii="宋体" w:hAnsi="宋体"/>
                <w:kern w:val="0"/>
                <w:sz w:val="21"/>
                <w:szCs w:val="21"/>
              </w:rPr>
              <w:t>6.2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职业健康安全目标、</w:t>
            </w:r>
            <w:r>
              <w:rPr>
                <w:rFonts w:ascii="宋体" w:hAnsi="宋体"/>
                <w:kern w:val="0"/>
                <w:sz w:val="21"/>
                <w:szCs w:val="21"/>
              </w:rPr>
              <w:t>6.1.2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危险源、</w:t>
            </w:r>
            <w:r>
              <w:rPr>
                <w:rFonts w:ascii="宋体" w:hAnsi="宋体"/>
                <w:kern w:val="0"/>
                <w:sz w:val="21"/>
                <w:szCs w:val="21"/>
              </w:rPr>
              <w:t>8.1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运行策划和控制、</w:t>
            </w:r>
            <w:r>
              <w:rPr>
                <w:rFonts w:ascii="宋体" w:hAnsi="宋体"/>
                <w:kern w:val="0"/>
                <w:sz w:val="21"/>
                <w:szCs w:val="21"/>
              </w:rPr>
              <w:t>8.2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应急准备和响应，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0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2021.9.4</w:t>
            </w:r>
          </w:p>
        </w:tc>
        <w:tc>
          <w:tcPr>
            <w:tcW w:w="1657" w:type="dxa"/>
            <w:vMerge w:val="restart"/>
            <w:vAlign w:val="center"/>
          </w:tcPr>
          <w:p>
            <w:pPr>
              <w:snapToGrid w:val="0"/>
              <w:spacing w:line="32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0～1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1"/>
              </w:rPr>
              <w:t>:30</w:t>
            </w:r>
          </w:p>
          <w:p>
            <w:pPr>
              <w:spacing w:line="24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1"/>
              </w:rPr>
              <w:t>:30～1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0</w:t>
            </w:r>
          </w:p>
          <w:p>
            <w:pPr>
              <w:pStyle w:val="2"/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(午餐)</w:t>
            </w:r>
          </w:p>
          <w:p>
            <w:pPr>
              <w:spacing w:line="24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:30～1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0</w:t>
            </w:r>
          </w:p>
        </w:tc>
        <w:tc>
          <w:tcPr>
            <w:tcW w:w="1116" w:type="dxa"/>
            <w:vAlign w:val="top"/>
          </w:tcPr>
          <w:p>
            <w:pPr>
              <w:spacing w:line="28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b/>
                <w:sz w:val="21"/>
                <w:szCs w:val="21"/>
              </w:rPr>
              <w:t>办公室</w:t>
            </w:r>
          </w:p>
        </w:tc>
        <w:tc>
          <w:tcPr>
            <w:tcW w:w="5397" w:type="dxa"/>
            <w:gridSpan w:val="2"/>
            <w:vAlign w:val="center"/>
          </w:tcPr>
          <w:p>
            <w:pPr>
              <w:adjustRightInd w:val="0"/>
              <w:snapToGrid w:val="0"/>
              <w:ind w:right="120" w:rightChars="50"/>
              <w:jc w:val="left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QMS: 5.3组织的岗位、职责和权限、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9.1.1监视、测量、分析和评价总则</w:t>
            </w:r>
            <w:r>
              <w:rPr>
                <w:rFonts w:hint="eastAsia" w:ascii="宋体" w:hAnsi="宋体" w:cs="Arial"/>
                <w:sz w:val="21"/>
                <w:szCs w:val="21"/>
              </w:rPr>
              <w:t xml:space="preserve">、9.1.3分析与评价、9.2 内部审核、10.2不合格和纠正措施， </w:t>
            </w:r>
          </w:p>
          <w:p>
            <w:pPr>
              <w:adjustRightInd w:val="0"/>
              <w:snapToGrid w:val="0"/>
              <w:ind w:right="120" w:rightChars="50"/>
              <w:jc w:val="left"/>
              <w:textAlignment w:val="baseline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E: 5.3组织的岗位、职责和权限、6.1.2环境因素/危险源、6.1.3合规义务、6.2.1环境/职业健康安全目标、6.2.2实现环境/职业健康安全目标措施的策划、8.1运行策划和控制、8.2应急准备和响应、9.1监视、测量、分析和评价（9.1.1总则、9.1.2合规性评价）、9.2 内部审核、10.2不合格和纠正措施，</w:t>
            </w:r>
          </w:p>
          <w:p>
            <w:pPr>
              <w:adjustRightInd w:val="0"/>
              <w:snapToGrid w:val="0"/>
              <w:ind w:right="120" w:rightChars="50"/>
              <w:jc w:val="left"/>
              <w:textAlignment w:val="baseline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O:</w:t>
            </w: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宋体" w:hAnsi="宋体"/>
                <w:kern w:val="0"/>
                <w:sz w:val="21"/>
                <w:szCs w:val="21"/>
              </w:rPr>
              <w:t>5.3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组织的岗位、职责和权限、</w:t>
            </w:r>
            <w:r>
              <w:rPr>
                <w:rFonts w:ascii="宋体" w:hAnsi="宋体"/>
                <w:kern w:val="0"/>
                <w:sz w:val="21"/>
                <w:szCs w:val="21"/>
              </w:rPr>
              <w:t>6.1.2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危险源、</w:t>
            </w:r>
            <w:r>
              <w:rPr>
                <w:rFonts w:ascii="宋体" w:hAnsi="宋体"/>
                <w:kern w:val="0"/>
                <w:sz w:val="21"/>
                <w:szCs w:val="21"/>
              </w:rPr>
              <w:t>6.1.3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合规义务、</w:t>
            </w:r>
            <w:r>
              <w:rPr>
                <w:rFonts w:ascii="宋体" w:hAnsi="宋体"/>
                <w:kern w:val="0"/>
                <w:sz w:val="21"/>
                <w:szCs w:val="21"/>
              </w:rPr>
              <w:t>6.2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职业健康安全目标、</w:t>
            </w:r>
            <w:r>
              <w:rPr>
                <w:rFonts w:ascii="宋体" w:hAnsi="宋体"/>
                <w:kern w:val="0"/>
                <w:sz w:val="21"/>
                <w:szCs w:val="21"/>
              </w:rPr>
              <w:t>6.1.4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措施的策划、</w:t>
            </w:r>
            <w:r>
              <w:rPr>
                <w:rFonts w:ascii="宋体" w:hAnsi="宋体"/>
                <w:kern w:val="0"/>
                <w:sz w:val="21"/>
                <w:szCs w:val="21"/>
              </w:rPr>
              <w:t>7.2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能力、</w:t>
            </w:r>
            <w:r>
              <w:rPr>
                <w:rFonts w:ascii="宋体" w:hAnsi="宋体"/>
                <w:kern w:val="0"/>
                <w:sz w:val="21"/>
                <w:szCs w:val="21"/>
              </w:rPr>
              <w:t>7.3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意识、</w:t>
            </w:r>
            <w:r>
              <w:rPr>
                <w:rFonts w:ascii="宋体" w:hAnsi="宋体"/>
                <w:kern w:val="0"/>
                <w:sz w:val="21"/>
                <w:szCs w:val="21"/>
              </w:rPr>
              <w:t>7.5.1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形成文件的信息总则、</w:t>
            </w:r>
            <w:r>
              <w:rPr>
                <w:rFonts w:ascii="宋体" w:hAnsi="宋体"/>
                <w:kern w:val="0"/>
                <w:sz w:val="21"/>
                <w:szCs w:val="21"/>
              </w:rPr>
              <w:t>7.5.2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形成文件的信息的创建和更新、</w:t>
            </w:r>
            <w:r>
              <w:rPr>
                <w:rFonts w:ascii="宋体" w:hAnsi="宋体"/>
                <w:kern w:val="0"/>
                <w:sz w:val="21"/>
                <w:szCs w:val="21"/>
              </w:rPr>
              <w:t>7.5.3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形成文件的信息的控制、</w:t>
            </w:r>
            <w:r>
              <w:rPr>
                <w:rFonts w:ascii="宋体" w:hAnsi="宋体"/>
                <w:kern w:val="0"/>
                <w:sz w:val="21"/>
                <w:szCs w:val="21"/>
              </w:rPr>
              <w:t>8.1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运行策划和控制、</w:t>
            </w:r>
            <w:r>
              <w:rPr>
                <w:rFonts w:ascii="宋体" w:hAnsi="宋体"/>
                <w:kern w:val="0"/>
                <w:sz w:val="21"/>
                <w:szCs w:val="21"/>
              </w:rPr>
              <w:t>8.2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应急准备和响应、</w:t>
            </w:r>
            <w:r>
              <w:rPr>
                <w:rFonts w:ascii="宋体" w:hAnsi="宋体"/>
                <w:kern w:val="0"/>
                <w:sz w:val="21"/>
                <w:szCs w:val="21"/>
              </w:rPr>
              <w:t>9.1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监视、测量、分析和评价（</w:t>
            </w:r>
            <w:r>
              <w:rPr>
                <w:rFonts w:ascii="宋体" w:hAnsi="宋体"/>
                <w:kern w:val="0"/>
                <w:sz w:val="21"/>
                <w:szCs w:val="21"/>
              </w:rPr>
              <w:t>9.1.1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总则、</w:t>
            </w:r>
            <w:r>
              <w:rPr>
                <w:rFonts w:ascii="宋体" w:hAnsi="宋体"/>
                <w:kern w:val="0"/>
                <w:sz w:val="21"/>
                <w:szCs w:val="21"/>
              </w:rPr>
              <w:t>9.1.2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合规性评价）、</w:t>
            </w:r>
            <w:r>
              <w:rPr>
                <w:rFonts w:ascii="宋体" w:hAnsi="宋体"/>
                <w:kern w:val="0"/>
                <w:sz w:val="21"/>
                <w:szCs w:val="21"/>
              </w:rPr>
              <w:t xml:space="preserve">9.2 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内部审核、</w:t>
            </w:r>
            <w:r>
              <w:rPr>
                <w:rFonts w:ascii="宋体" w:hAnsi="宋体"/>
                <w:kern w:val="0"/>
                <w:sz w:val="21"/>
                <w:szCs w:val="21"/>
              </w:rPr>
              <w:t>10.2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不合格和纠正措施，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BCD:QE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A:0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3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57" w:type="dxa"/>
            <w:vMerge w:val="continue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116" w:type="dxa"/>
          </w:tcPr>
          <w:p>
            <w:pPr>
              <w:spacing w:line="30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技术部</w:t>
            </w:r>
          </w:p>
        </w:tc>
        <w:tc>
          <w:tcPr>
            <w:tcW w:w="5397" w:type="dxa"/>
            <w:gridSpan w:val="2"/>
          </w:tcPr>
          <w:p>
            <w:pPr>
              <w:spacing w:line="300" w:lineRule="exact"/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Q:</w:t>
            </w:r>
            <w:r>
              <w:rPr>
                <w:rFonts w:hint="eastAsia" w:ascii="宋体" w:hAnsi="宋体" w:cs="Arial"/>
                <w:sz w:val="21"/>
                <w:szCs w:val="21"/>
              </w:rPr>
              <w:t>5.3组织的岗位、职责和权限、6.2.1目标、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7.1.6知识管理、8.1运行策划、8.3设计开发确认</w:t>
            </w:r>
          </w:p>
          <w:p>
            <w:pPr>
              <w:spacing w:line="300" w:lineRule="exact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E:5.3</w:t>
            </w:r>
            <w:r>
              <w:rPr>
                <w:rFonts w:hint="eastAsia" w:ascii="宋体" w:hAnsi="宋体" w:cs="Arial"/>
                <w:sz w:val="21"/>
                <w:szCs w:val="21"/>
              </w:rPr>
              <w:t>组织的岗位、职责和权限、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6.1.2环境因素、6.2目标、</w:t>
            </w:r>
            <w:r>
              <w:rPr>
                <w:rFonts w:hint="eastAsia" w:ascii="宋体" w:hAnsi="宋体" w:cs="Arial"/>
                <w:sz w:val="21"/>
                <w:szCs w:val="21"/>
              </w:rPr>
              <w:t>8.1运行策划和控制，8.2应急准备和响应</w:t>
            </w:r>
          </w:p>
          <w:p>
            <w:pPr>
              <w:spacing w:line="300" w:lineRule="exact"/>
              <w:rPr>
                <w:rFonts w:hint="default" w:ascii="宋体" w:hAnsi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O:</w:t>
            </w: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宋体" w:hAnsi="宋体"/>
                <w:kern w:val="0"/>
                <w:sz w:val="21"/>
                <w:szCs w:val="21"/>
              </w:rPr>
              <w:t>5.3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组织的岗位、职责和权限、</w:t>
            </w:r>
            <w:r>
              <w:rPr>
                <w:rFonts w:ascii="宋体" w:hAnsi="宋体"/>
                <w:kern w:val="0"/>
                <w:sz w:val="21"/>
                <w:szCs w:val="21"/>
              </w:rPr>
              <w:t>6.2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职业健康安全目标、</w:t>
            </w:r>
            <w:r>
              <w:rPr>
                <w:rFonts w:ascii="宋体" w:hAnsi="宋体"/>
                <w:kern w:val="0"/>
                <w:sz w:val="21"/>
                <w:szCs w:val="21"/>
              </w:rPr>
              <w:t>6.1.2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危险源、</w:t>
            </w:r>
            <w:r>
              <w:rPr>
                <w:rFonts w:ascii="宋体" w:hAnsi="宋体"/>
                <w:kern w:val="0"/>
                <w:sz w:val="21"/>
                <w:szCs w:val="21"/>
              </w:rPr>
              <w:t>8.1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运行策划和控制、</w:t>
            </w:r>
            <w:r>
              <w:rPr>
                <w:rFonts w:ascii="宋体" w:hAnsi="宋体"/>
                <w:kern w:val="0"/>
                <w:sz w:val="21"/>
                <w:szCs w:val="21"/>
              </w:rPr>
              <w:t>8.2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应急准备和响应，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A:QO</w:t>
            </w:r>
          </w:p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BCD:E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5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2021.9.5</w:t>
            </w:r>
          </w:p>
        </w:tc>
        <w:tc>
          <w:tcPr>
            <w:tcW w:w="1657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8:30</w:t>
            </w:r>
            <w:r>
              <w:rPr>
                <w:rFonts w:hint="eastAsia" w:ascii="宋体" w:hAnsi="宋体" w:cs="Arial"/>
                <w:sz w:val="21"/>
                <w:szCs w:val="21"/>
              </w:rPr>
              <w:t>～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11:00</w:t>
            </w:r>
          </w:p>
        </w:tc>
        <w:tc>
          <w:tcPr>
            <w:tcW w:w="1116" w:type="dxa"/>
          </w:tcPr>
          <w:p>
            <w:pPr>
              <w:spacing w:line="30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生产部</w:t>
            </w:r>
          </w:p>
        </w:tc>
        <w:tc>
          <w:tcPr>
            <w:tcW w:w="5397" w:type="dxa"/>
            <w:gridSpan w:val="2"/>
          </w:tcPr>
          <w:p>
            <w:pPr>
              <w:spacing w:line="300" w:lineRule="exact"/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Q:</w:t>
            </w:r>
            <w:r>
              <w:rPr>
                <w:rFonts w:hint="eastAsia" w:ascii="宋体" w:hAnsi="宋体" w:cs="Arial"/>
                <w:sz w:val="21"/>
                <w:szCs w:val="21"/>
              </w:rPr>
              <w:t>5.3组织的岗位、职责和权限、6.2.1目标、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8.1策划、8.5产品实现控制</w:t>
            </w:r>
          </w:p>
          <w:p>
            <w:pPr>
              <w:spacing w:line="300" w:lineRule="exact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E：5.3</w:t>
            </w:r>
            <w:r>
              <w:rPr>
                <w:rFonts w:hint="eastAsia" w:ascii="宋体" w:hAnsi="宋体" w:cs="Arial"/>
                <w:sz w:val="21"/>
                <w:szCs w:val="21"/>
              </w:rPr>
              <w:t>组织的岗位、职责和权限、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6.1.2环境因素、6.2目标、</w:t>
            </w:r>
            <w:r>
              <w:rPr>
                <w:rFonts w:hint="eastAsia" w:ascii="宋体" w:hAnsi="宋体" w:cs="Arial"/>
                <w:sz w:val="21"/>
                <w:szCs w:val="21"/>
              </w:rPr>
              <w:t>8.1运行策划和控制，8.2应急准备和响应</w:t>
            </w:r>
          </w:p>
          <w:p>
            <w:pPr>
              <w:spacing w:line="300" w:lineRule="exact"/>
              <w:rPr>
                <w:rFonts w:hint="default" w:ascii="宋体" w:hAnsi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O：</w:t>
            </w:r>
            <w:r>
              <w:rPr>
                <w:rFonts w:ascii="宋体" w:hAnsi="宋体"/>
                <w:kern w:val="0"/>
                <w:sz w:val="21"/>
                <w:szCs w:val="21"/>
              </w:rPr>
              <w:t>5.3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组织的岗位、职责和权限、</w:t>
            </w:r>
            <w:r>
              <w:rPr>
                <w:rFonts w:ascii="宋体" w:hAnsi="宋体"/>
                <w:kern w:val="0"/>
                <w:sz w:val="21"/>
                <w:szCs w:val="21"/>
              </w:rPr>
              <w:t>6.2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职业健康安全目标、</w:t>
            </w:r>
            <w:r>
              <w:rPr>
                <w:rFonts w:ascii="宋体" w:hAnsi="宋体"/>
                <w:kern w:val="0"/>
                <w:sz w:val="21"/>
                <w:szCs w:val="21"/>
              </w:rPr>
              <w:t>6.1.2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危险源、</w:t>
            </w:r>
            <w:r>
              <w:rPr>
                <w:rFonts w:ascii="宋体" w:hAnsi="宋体"/>
                <w:kern w:val="0"/>
                <w:sz w:val="21"/>
                <w:szCs w:val="21"/>
              </w:rPr>
              <w:t>8.1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运行策划和控制、</w:t>
            </w:r>
            <w:r>
              <w:rPr>
                <w:rFonts w:ascii="宋体" w:hAnsi="宋体"/>
                <w:kern w:val="0"/>
                <w:sz w:val="21"/>
                <w:szCs w:val="21"/>
              </w:rPr>
              <w:t>8.2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应急准备和响应，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A:QO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BCD:E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5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57" w:type="dxa"/>
            <w:vAlign w:val="top"/>
          </w:tcPr>
          <w:p>
            <w:pPr>
              <w:spacing w:line="240" w:lineRule="exact"/>
              <w:jc w:val="both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</w:rPr>
              <w:t>:00～11:30</w:t>
            </w:r>
          </w:p>
          <w:p>
            <w:pPr>
              <w:spacing w:line="240" w:lineRule="exact"/>
              <w:jc w:val="both"/>
              <w:rPr>
                <w:rFonts w:hint="eastAsia"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jc w:val="both"/>
              <w:rPr>
                <w:rFonts w:hint="eastAsia"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jc w:val="both"/>
              <w:rPr>
                <w:rFonts w:hint="eastAsia"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jc w:val="both"/>
              <w:rPr>
                <w:rFonts w:hint="eastAsia" w:ascii="宋体" w:hAnsi="Times New Roman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11:30～12:00</w:t>
            </w:r>
          </w:p>
        </w:tc>
        <w:tc>
          <w:tcPr>
            <w:tcW w:w="6513" w:type="dxa"/>
            <w:gridSpan w:val="3"/>
            <w:vAlign w:val="top"/>
          </w:tcPr>
          <w:p>
            <w:pPr>
              <w:spacing w:line="280" w:lineRule="exact"/>
              <w:ind w:firstLine="420" w:firstLineChars="200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补充及跟踪审核：必要部门、必要条款；审核组与受审核方领导层沟通；</w:t>
            </w:r>
          </w:p>
          <w:p>
            <w:pPr>
              <w:spacing w:line="280" w:lineRule="exact"/>
              <w:ind w:firstLine="420" w:firstLineChars="200"/>
              <w:rPr>
                <w:rFonts w:hint="eastAsia" w:ascii="宋体" w:hAnsi="宋体" w:cs="Arial"/>
                <w:sz w:val="21"/>
                <w:szCs w:val="21"/>
              </w:rPr>
            </w:pPr>
          </w:p>
          <w:p>
            <w:pPr>
              <w:spacing w:line="280" w:lineRule="exact"/>
              <w:ind w:firstLine="420" w:firstLineChars="200"/>
              <w:rPr>
                <w:rFonts w:hint="eastAsia" w:ascii="宋体" w:hAnsi="Times New Roman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末次会：综合评价QMS\EMS\OHSMS管理体系运行总体情况及改进要求，宣告审核发现及审核结论。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</w:tbl>
    <w:p>
      <w:pPr>
        <w:pStyle w:val="2"/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7DB4F3C"/>
    <w:rsid w:val="1D532102"/>
    <w:rsid w:val="1EDF6487"/>
    <w:rsid w:val="250A0939"/>
    <w:rsid w:val="401B6EA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797</Words>
  <Characters>4549</Characters>
  <Lines>37</Lines>
  <Paragraphs>10</Paragraphs>
  <TotalTime>28</TotalTime>
  <ScaleCrop>false</ScaleCrop>
  <LinksUpToDate>false</LinksUpToDate>
  <CharactersWithSpaces>5336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Lenovo</cp:lastModifiedBy>
  <dcterms:modified xsi:type="dcterms:W3CDTF">2021-09-05T16:23:25Z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2052-11.1.0.10700</vt:lpwstr>
  </property>
</Properties>
</file>