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:rsidR="00A851D3" w:rsidRPr="00B37EC4" w:rsidRDefault="007935FF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B37EC4">
        <w:rPr>
          <w:b/>
          <w:kern w:val="0"/>
          <w:sz w:val="28"/>
          <w:szCs w:val="28"/>
        </w:rPr>
        <w:t>男西服面料长度尺寸变化率检测过程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781E86" w:rsidRPr="00B37EC4">
        <w:rPr>
          <w:bCs/>
          <w:szCs w:val="21"/>
        </w:rPr>
        <w:t>GB/T12014-2019</w:t>
      </w:r>
      <w:r w:rsidR="00781E86" w:rsidRPr="00B37EC4">
        <w:rPr>
          <w:bCs/>
          <w:szCs w:val="21"/>
        </w:rPr>
        <w:t>《</w:t>
      </w:r>
      <w:r w:rsidR="00781E86" w:rsidRPr="00B37EC4">
        <w:rPr>
          <w:szCs w:val="21"/>
        </w:rPr>
        <w:t>防护服装</w:t>
      </w:r>
      <w:r w:rsidR="00781E86" w:rsidRPr="00B37EC4">
        <w:rPr>
          <w:szCs w:val="21"/>
        </w:rPr>
        <w:t xml:space="preserve"> </w:t>
      </w:r>
      <w:r w:rsidR="00781E86" w:rsidRPr="00B37EC4">
        <w:rPr>
          <w:szCs w:val="21"/>
        </w:rPr>
        <w:t>防静电服</w:t>
      </w:r>
      <w:r w:rsidR="00781E86" w:rsidRPr="00B37EC4">
        <w:rPr>
          <w:bCs/>
          <w:szCs w:val="21"/>
        </w:rPr>
        <w:t>》</w:t>
      </w:r>
      <w:r w:rsidR="00781E86" w:rsidRPr="00B37EC4">
        <w:rPr>
          <w:bCs/>
          <w:color w:val="000000"/>
          <w:szCs w:val="21"/>
        </w:rPr>
        <w:t>、</w:t>
      </w:r>
      <w:r w:rsidR="00781E86" w:rsidRPr="00B37EC4">
        <w:rPr>
          <w:szCs w:val="21"/>
        </w:rPr>
        <w:t>GB∕T 8630-2013</w:t>
      </w:r>
      <w:r w:rsidR="00781E86" w:rsidRPr="00B37EC4">
        <w:rPr>
          <w:b/>
          <w:szCs w:val="21"/>
        </w:rPr>
        <w:t>《</w:t>
      </w:r>
      <w:r w:rsidR="00781E86" w:rsidRPr="00B37EC4">
        <w:rPr>
          <w:szCs w:val="21"/>
        </w:rPr>
        <w:t>纺织品</w:t>
      </w:r>
      <w:r w:rsidR="00781E86" w:rsidRPr="00B37EC4">
        <w:rPr>
          <w:szCs w:val="21"/>
        </w:rPr>
        <w:t xml:space="preserve"> </w:t>
      </w:r>
      <w:r w:rsidR="00781E86" w:rsidRPr="00B37EC4">
        <w:rPr>
          <w:szCs w:val="21"/>
        </w:rPr>
        <w:t>洗涤和干燥后尺寸变化的测定</w:t>
      </w:r>
      <w:r w:rsidR="00781E86" w:rsidRPr="00B37EC4">
        <w:rPr>
          <w:b/>
          <w:szCs w:val="21"/>
        </w:rPr>
        <w:t>》</w:t>
      </w:r>
      <w:r w:rsidRPr="00B37EC4">
        <w:rPr>
          <w:color w:val="000000" w:themeColor="text1"/>
          <w:szCs w:val="21"/>
        </w:rPr>
        <w:t xml:space="preserve">及仪器使用说明书和相关操作规范。　　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:rsidR="00A851D3" w:rsidRPr="00B37EC4" w:rsidRDefault="007A6B72" w:rsidP="00781E86">
      <w:pPr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781E86" w:rsidRPr="00B37EC4">
        <w:rPr>
          <w:kern w:val="0"/>
          <w:szCs w:val="21"/>
        </w:rPr>
        <w:t>钢卷尺</w:t>
      </w:r>
      <w:r w:rsidR="00781E86" w:rsidRPr="00B37EC4">
        <w:rPr>
          <w:szCs w:val="21"/>
        </w:rPr>
        <w:t>，测量范围</w:t>
      </w:r>
      <w:r w:rsidR="00781E86" w:rsidRPr="00B37EC4">
        <w:rPr>
          <w:bCs/>
          <w:szCs w:val="21"/>
        </w:rPr>
        <w:t>（</w:t>
      </w:r>
      <w:r w:rsidR="00781E86" w:rsidRPr="00B37EC4">
        <w:rPr>
          <w:bCs/>
          <w:szCs w:val="21"/>
        </w:rPr>
        <w:t>0</w:t>
      </w:r>
      <w:r w:rsidR="00781E86" w:rsidRPr="00B37EC4">
        <w:rPr>
          <w:bCs/>
          <w:szCs w:val="21"/>
        </w:rPr>
        <w:t>～</w:t>
      </w:r>
      <w:r w:rsidR="00781E86" w:rsidRPr="00B37EC4">
        <w:rPr>
          <w:bCs/>
          <w:szCs w:val="21"/>
        </w:rPr>
        <w:t>5</w:t>
      </w:r>
      <w:r w:rsidR="00781E86" w:rsidRPr="00B37EC4">
        <w:rPr>
          <w:bCs/>
          <w:szCs w:val="21"/>
        </w:rPr>
        <w:t>）</w:t>
      </w:r>
      <w:r w:rsidR="00781E86" w:rsidRPr="00B37EC4">
        <w:rPr>
          <w:bCs/>
          <w:szCs w:val="21"/>
        </w:rPr>
        <w:t>m</w:t>
      </w:r>
      <w:r w:rsidR="00781E86" w:rsidRPr="00B37EC4">
        <w:rPr>
          <w:bCs/>
          <w:szCs w:val="21"/>
        </w:rPr>
        <w:t>，</w:t>
      </w:r>
      <w:r w:rsidR="00781E86" w:rsidRPr="00B37EC4">
        <w:rPr>
          <w:bCs/>
          <w:szCs w:val="21"/>
        </w:rPr>
        <w:t>±</w:t>
      </w:r>
      <w:r w:rsidR="00781E86" w:rsidRPr="00B37EC4">
        <w:rPr>
          <w:bCs/>
          <w:szCs w:val="21"/>
        </w:rPr>
        <w:t>（</w:t>
      </w:r>
      <w:r w:rsidR="00781E86" w:rsidRPr="00B37EC4">
        <w:rPr>
          <w:bCs/>
          <w:szCs w:val="21"/>
        </w:rPr>
        <w:t>0.3+0.2L</w:t>
      </w:r>
      <w:r w:rsidR="00781E86" w:rsidRPr="00B37EC4">
        <w:rPr>
          <w:bCs/>
          <w:szCs w:val="21"/>
        </w:rPr>
        <w:t>）</w:t>
      </w:r>
      <w:r w:rsidR="00781E86" w:rsidRPr="00B37EC4">
        <w:rPr>
          <w:bCs/>
          <w:szCs w:val="21"/>
        </w:rPr>
        <w:t>mm</w:t>
      </w:r>
      <w:r w:rsidR="00781E86" w:rsidRPr="00B37EC4">
        <w:rPr>
          <w:bCs/>
          <w:szCs w:val="21"/>
        </w:rPr>
        <w:t>。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26145B" w:rsidRPr="00B37EC4">
        <w:rPr>
          <w:szCs w:val="21"/>
        </w:rPr>
        <w:t>尺寸变化率：</w:t>
      </w:r>
      <w:r w:rsidR="0026145B" w:rsidRPr="00B37EC4">
        <w:rPr>
          <w:szCs w:val="21"/>
        </w:rPr>
        <w:t>-1.5%-+1.5%</w:t>
      </w:r>
      <w:r w:rsidR="0026145B" w:rsidRPr="00B37EC4">
        <w:rPr>
          <w:szCs w:val="21"/>
        </w:rPr>
        <w:t>，样品尺寸为</w:t>
      </w:r>
      <w:r w:rsidR="0026145B" w:rsidRPr="00B37EC4">
        <w:rPr>
          <w:szCs w:val="21"/>
        </w:rPr>
        <w:t>500mm×500mm</w:t>
      </w:r>
      <w:r w:rsidR="0026145B" w:rsidRPr="00B37EC4">
        <w:rPr>
          <w:szCs w:val="21"/>
        </w:rPr>
        <w:t>时，尺寸变化控制范围为（</w:t>
      </w:r>
      <w:r w:rsidR="0026145B" w:rsidRPr="00B37EC4">
        <w:rPr>
          <w:szCs w:val="21"/>
        </w:rPr>
        <w:t>492.5-507.5</w:t>
      </w:r>
      <w:r w:rsidR="0026145B" w:rsidRPr="00B37EC4">
        <w:rPr>
          <w:szCs w:val="21"/>
        </w:rPr>
        <w:t>）</w:t>
      </w:r>
      <w:r w:rsidR="0026145B" w:rsidRPr="00B37EC4">
        <w:rPr>
          <w:szCs w:val="21"/>
        </w:rPr>
        <w:t>mm</w:t>
      </w:r>
      <w:r w:rsidR="0026145B" w:rsidRPr="00B37EC4">
        <w:rPr>
          <w:szCs w:val="21"/>
        </w:rPr>
        <w:t>。</w:t>
      </w:r>
    </w:p>
    <w:p w:rsidR="007C2DF4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测量过程：将试样</w:t>
      </w:r>
      <w:r w:rsidR="007C2DF4" w:rsidRPr="00B37EC4">
        <w:rPr>
          <w:color w:val="000000" w:themeColor="text1"/>
          <w:szCs w:val="21"/>
        </w:rPr>
        <w:t>洗涤和干燥后</w:t>
      </w:r>
      <w:r w:rsidRPr="00B37EC4">
        <w:rPr>
          <w:color w:val="000000" w:themeColor="text1"/>
          <w:szCs w:val="21"/>
        </w:rPr>
        <w:t>，</w:t>
      </w:r>
      <w:r w:rsidR="00E52D69" w:rsidRPr="00B37EC4">
        <w:rPr>
          <w:color w:val="000000" w:themeColor="text1"/>
          <w:szCs w:val="21"/>
        </w:rPr>
        <w:t>调湿试样，按照规定的程序测量和计算试样的尺寸变化率。</w:t>
      </w:r>
    </w:p>
    <w:p w:rsidR="00A868B8" w:rsidRPr="00B37EC4" w:rsidRDefault="00A868B8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 xml:space="preserve">        </w:t>
      </w:r>
      <w:r w:rsidR="00FF315E" w:rsidRPr="00B37EC4">
        <w:rPr>
          <w:color w:val="000000" w:themeColor="text1"/>
          <w:szCs w:val="21"/>
        </w:rPr>
        <w:t xml:space="preserve">        </w:t>
      </w:r>
      <w:r w:rsidRPr="00B37EC4">
        <w:rPr>
          <w:color w:val="000000" w:themeColor="text1"/>
          <w:szCs w:val="21"/>
        </w:rPr>
        <w:t>D=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 w:themeColor="text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Cs w:val="21"/>
          </w:rPr>
          <m:t>×100%</m:t>
        </m:r>
      </m:oMath>
      <w:r w:rsidRPr="00B37EC4">
        <w:rPr>
          <w:color w:val="000000" w:themeColor="text1"/>
          <w:szCs w:val="21"/>
        </w:rPr>
        <w:t xml:space="preserve">                         </w:t>
      </w:r>
      <w:r w:rsidRPr="00B37EC4">
        <w:rPr>
          <w:color w:val="000000" w:themeColor="text1"/>
          <w:szCs w:val="21"/>
        </w:rPr>
        <w:t>（</w:t>
      </w:r>
      <w:r w:rsidRPr="00B37EC4">
        <w:rPr>
          <w:color w:val="000000" w:themeColor="text1"/>
          <w:szCs w:val="21"/>
        </w:rPr>
        <w:t>1</w:t>
      </w:r>
      <w:r w:rsidRPr="00B37EC4">
        <w:rPr>
          <w:color w:val="000000" w:themeColor="text1"/>
          <w:szCs w:val="21"/>
        </w:rPr>
        <w:t>）</w:t>
      </w:r>
    </w:p>
    <w:p w:rsidR="00A868B8" w:rsidRPr="00B37EC4" w:rsidRDefault="00A868B8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 xml:space="preserve">     </w:t>
      </w:r>
      <w:r w:rsidR="00FF315E" w:rsidRPr="00B37EC4">
        <w:rPr>
          <w:color w:val="000000" w:themeColor="text1"/>
          <w:szCs w:val="21"/>
        </w:rPr>
        <w:t xml:space="preserve">   </w:t>
      </w:r>
      <w:r w:rsidRPr="00B37EC4">
        <w:rPr>
          <w:color w:val="000000" w:themeColor="text1"/>
          <w:szCs w:val="21"/>
        </w:rPr>
        <w:t>式中：</w:t>
      </w:r>
      <w:r w:rsidRPr="00B37EC4">
        <w:rPr>
          <w:color w:val="000000" w:themeColor="text1"/>
          <w:szCs w:val="21"/>
        </w:rPr>
        <w:t>D-</w:t>
      </w:r>
      <w:r w:rsidRPr="00B37EC4">
        <w:rPr>
          <w:color w:val="000000" w:themeColor="text1"/>
          <w:szCs w:val="21"/>
        </w:rPr>
        <w:t>水洗尺寸变化率，</w:t>
      </w:r>
      <w:r w:rsidRPr="00B37EC4">
        <w:rPr>
          <w:color w:val="000000" w:themeColor="text1"/>
          <w:szCs w:val="21"/>
        </w:rPr>
        <w:t>%</w:t>
      </w:r>
    </w:p>
    <w:p w:rsidR="00A868B8" w:rsidRPr="00B37EC4" w:rsidRDefault="00A868B8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 xml:space="preserve">       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sub>
        </m:sSub>
      </m:oMath>
      <w:r w:rsidRPr="00B37EC4">
        <w:rPr>
          <w:color w:val="000000" w:themeColor="text1"/>
          <w:szCs w:val="21"/>
        </w:rPr>
        <w:t>=</w:t>
      </w:r>
      <w:r w:rsidR="000A6CEB" w:rsidRPr="00B37EC4">
        <w:rPr>
          <w:color w:val="000000" w:themeColor="text1"/>
          <w:szCs w:val="21"/>
        </w:rPr>
        <w:t>式样的初始尺寸，（</w:t>
      </w:r>
      <w:r w:rsidR="000A6CEB" w:rsidRPr="00B37EC4">
        <w:rPr>
          <w:color w:val="000000" w:themeColor="text1"/>
          <w:szCs w:val="21"/>
        </w:rPr>
        <w:t>mm</w:t>
      </w:r>
      <w:r w:rsidR="000A6CEB" w:rsidRPr="00B37EC4">
        <w:rPr>
          <w:color w:val="000000" w:themeColor="text1"/>
          <w:szCs w:val="21"/>
        </w:rPr>
        <w:t>）</w:t>
      </w:r>
    </w:p>
    <w:p w:rsidR="00A868B8" w:rsidRPr="00B37EC4" w:rsidRDefault="00A868B8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 xml:space="preserve">           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0</m:t>
            </m:r>
          </m:sub>
        </m:sSub>
      </m:oMath>
      <w:r w:rsidR="000A6CEB" w:rsidRPr="00B37EC4">
        <w:rPr>
          <w:color w:val="000000" w:themeColor="text1"/>
          <w:szCs w:val="21"/>
        </w:rPr>
        <w:t>=</w:t>
      </w:r>
      <w:r w:rsidR="000A6CEB" w:rsidRPr="00B37EC4">
        <w:rPr>
          <w:color w:val="000000" w:themeColor="text1"/>
          <w:szCs w:val="21"/>
        </w:rPr>
        <w:t>试样处理后的尺寸，（</w:t>
      </w:r>
      <w:r w:rsidR="000A6CEB" w:rsidRPr="00B37EC4">
        <w:rPr>
          <w:color w:val="000000" w:themeColor="text1"/>
          <w:szCs w:val="21"/>
        </w:rPr>
        <w:t>mm</w:t>
      </w:r>
      <w:r w:rsidR="000A6CEB" w:rsidRPr="00B37EC4">
        <w:rPr>
          <w:color w:val="000000" w:themeColor="text1"/>
          <w:szCs w:val="21"/>
        </w:rPr>
        <w:t>）</w:t>
      </w:r>
    </w:p>
    <w:p w:rsidR="00E52D69" w:rsidRPr="00B37EC4" w:rsidRDefault="00E52D69">
      <w:pPr>
        <w:spacing w:line="360" w:lineRule="auto"/>
        <w:rPr>
          <w:szCs w:val="21"/>
        </w:rPr>
      </w:pPr>
      <w:r w:rsidRPr="00B37EC4">
        <w:rPr>
          <w:szCs w:val="21"/>
        </w:rPr>
        <w:t xml:space="preserve">          </w:t>
      </w:r>
      <w:r w:rsidR="000A6CEB" w:rsidRPr="00B37EC4">
        <w:rPr>
          <w:szCs w:val="21"/>
        </w:rPr>
        <w:t>分别记录每对标记点的测量值，并计算尺寸变化量相对于初始尺寸的百分数。</w:t>
      </w:r>
    </w:p>
    <w:p w:rsidR="00A851D3" w:rsidRPr="00B37EC4" w:rsidRDefault="007A6B72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525DBE" w:rsidRPr="00B37EC4">
        <w:rPr>
          <w:color w:val="000000"/>
          <w:szCs w:val="21"/>
        </w:rPr>
        <w:t>钢卷尺</w:t>
      </w:r>
      <w:r w:rsidRPr="00B37EC4">
        <w:rPr>
          <w:color w:val="000000" w:themeColor="text1"/>
          <w:szCs w:val="21"/>
        </w:rPr>
        <w:t>的读数值</w:t>
      </w:r>
    </w:p>
    <w:p w:rsidR="00A851D3" w:rsidRPr="00B37EC4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类评定试验：在本实验室内，在</w:t>
      </w:r>
      <w:r w:rsidR="007C2DF4" w:rsidRPr="00B37EC4">
        <w:rPr>
          <w:bCs/>
          <w:color w:val="000000" w:themeColor="text1"/>
          <w:szCs w:val="21"/>
        </w:rPr>
        <w:t>钢卷尺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</w:t>
      </w:r>
      <w:r w:rsidR="00393FE8" w:rsidRPr="00B37EC4">
        <w:rPr>
          <w:color w:val="000000"/>
          <w:szCs w:val="21"/>
        </w:rPr>
        <w:t>支钢卷尺</w:t>
      </w:r>
      <w:r w:rsidRPr="00B37EC4">
        <w:rPr>
          <w:color w:val="000000"/>
          <w:szCs w:val="21"/>
        </w:rPr>
        <w:t>，在相临近的时间内，对</w:t>
      </w:r>
      <w:r w:rsidR="00B17578" w:rsidRPr="00B37EC4">
        <w:rPr>
          <w:color w:val="000000"/>
          <w:szCs w:val="21"/>
        </w:rPr>
        <w:t>50</w:t>
      </w:r>
      <w:r w:rsidR="00227568">
        <w:rPr>
          <w:color w:val="000000"/>
          <w:szCs w:val="21"/>
        </w:rPr>
        <w:t>0</w:t>
      </w:r>
      <w:r w:rsidR="00B17578" w:rsidRPr="00B37EC4">
        <w:rPr>
          <w:color w:val="000000"/>
          <w:szCs w:val="21"/>
        </w:rPr>
        <w:t>mm×50</w:t>
      </w:r>
      <w:r w:rsidR="00227568">
        <w:rPr>
          <w:color w:val="000000"/>
          <w:szCs w:val="21"/>
        </w:rPr>
        <w:t>0</w:t>
      </w:r>
      <w:r w:rsidR="00B17578" w:rsidRPr="00B37EC4">
        <w:rPr>
          <w:color w:val="000000"/>
          <w:szCs w:val="21"/>
        </w:rPr>
        <w:t>mm</w:t>
      </w:r>
      <w:r w:rsidRPr="00B37EC4">
        <w:rPr>
          <w:color w:val="000000"/>
          <w:szCs w:val="21"/>
        </w:rPr>
        <w:t>样品中的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B17578" w:rsidRPr="00B37EC4">
        <w:rPr>
          <w:color w:val="000000"/>
          <w:szCs w:val="21"/>
        </w:rPr>
        <w:t xml:space="preserve"> </w:t>
      </w:r>
    </w:p>
    <w:p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:rsidTr="00047B06">
        <w:trPr>
          <w:trHeight w:val="352"/>
        </w:trPr>
        <w:tc>
          <w:tcPr>
            <w:tcW w:w="134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B17578" w:rsidRPr="00B37EC4" w:rsidTr="00047B06">
        <w:trPr>
          <w:trHeight w:val="445"/>
        </w:trPr>
        <w:tc>
          <w:tcPr>
            <w:tcW w:w="1341" w:type="dxa"/>
            <w:vAlign w:val="center"/>
          </w:tcPr>
          <w:p w:rsidR="00B17578" w:rsidRPr="00B37EC4" w:rsidRDefault="00B17578" w:rsidP="00B175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>49</w:t>
            </w:r>
            <w:r w:rsidR="00595112" w:rsidRPr="00B37EC4">
              <w:rPr>
                <w:kern w:val="0"/>
                <w:szCs w:val="21"/>
              </w:rPr>
              <w:t>3</w:t>
            </w:r>
            <w:r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496 </w:t>
            </w:r>
          </w:p>
        </w:tc>
        <w:tc>
          <w:tcPr>
            <w:tcW w:w="1417" w:type="dxa"/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495 </w:t>
            </w:r>
          </w:p>
        </w:tc>
        <w:tc>
          <w:tcPr>
            <w:tcW w:w="1277" w:type="dxa"/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>49</w:t>
            </w:r>
            <w:r w:rsidR="00595112" w:rsidRPr="00B37EC4">
              <w:rPr>
                <w:kern w:val="0"/>
                <w:szCs w:val="21"/>
              </w:rPr>
              <w:t>3</w:t>
            </w:r>
            <w:r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495 </w:t>
            </w:r>
          </w:p>
        </w:tc>
      </w:tr>
      <w:tr w:rsidR="00A851D3" w:rsidRPr="00B37EC4" w:rsidTr="00047B06">
        <w:trPr>
          <w:trHeight w:val="339"/>
        </w:trPr>
        <w:tc>
          <w:tcPr>
            <w:tcW w:w="134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B17578" w:rsidRPr="00B37EC4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 w:rsidRPr="00B37EC4">
              <w:rPr>
                <w:color w:val="000000"/>
                <w:szCs w:val="21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>49</w:t>
            </w:r>
            <w:r w:rsidR="00595112" w:rsidRPr="00B37EC4">
              <w:rPr>
                <w:kern w:val="0"/>
                <w:szCs w:val="21"/>
              </w:rPr>
              <w:t>3</w:t>
            </w:r>
            <w:r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495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widowControl/>
              <w:jc w:val="center"/>
              <w:rPr>
                <w:kern w:val="0"/>
                <w:szCs w:val="21"/>
              </w:rPr>
            </w:pPr>
            <w:r w:rsidRPr="00B37EC4">
              <w:rPr>
                <w:kern w:val="0"/>
                <w:szCs w:val="21"/>
              </w:rPr>
              <w:t xml:space="preserve">496 </w:t>
            </w:r>
          </w:p>
        </w:tc>
      </w:tr>
    </w:tbl>
    <w:p w:rsidR="00A851D3" w:rsidRPr="00B37EC4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lastRenderedPageBreak/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EC4">
        <w:rPr>
          <w:color w:val="000000"/>
          <w:szCs w:val="21"/>
        </w:rPr>
        <w:t>≈</w:t>
      </w:r>
      <w:r w:rsidR="00595112" w:rsidRPr="00B37EC4">
        <w:rPr>
          <w:color w:val="000000"/>
          <w:szCs w:val="21"/>
        </w:rPr>
        <w:t>494.5mm</w:t>
      </w:r>
      <w:r w:rsidRPr="00B37EC4">
        <w:rPr>
          <w:color w:val="000000"/>
          <w:szCs w:val="21"/>
        </w:rPr>
        <w:tab/>
      </w:r>
    </w:p>
    <w:p w:rsidR="00A851D3" w:rsidRPr="00B37EC4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EC4">
        <w:rPr>
          <w:color w:val="000000"/>
          <w:sz w:val="21"/>
          <w:szCs w:val="21"/>
        </w:rPr>
        <w:t>≈</w:t>
      </w:r>
      <w:r w:rsidR="00560A79" w:rsidRPr="00B37EC4">
        <w:rPr>
          <w:color w:val="000000"/>
          <w:sz w:val="21"/>
          <w:szCs w:val="21"/>
        </w:rPr>
        <w:t>1.</w:t>
      </w:r>
      <w:r w:rsidR="006E175B" w:rsidRPr="00B37EC4">
        <w:rPr>
          <w:color w:val="000000"/>
          <w:sz w:val="21"/>
          <w:szCs w:val="21"/>
        </w:rPr>
        <w:t>2</w:t>
      </w:r>
      <w:r w:rsidR="00560A79" w:rsidRPr="00B37EC4">
        <w:rPr>
          <w:color w:val="000000"/>
          <w:sz w:val="21"/>
          <w:szCs w:val="21"/>
        </w:rPr>
        <w:t>mm</w:t>
      </w:r>
    </w:p>
    <w:p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0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0"/>
    <w:p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560A79" w:rsidRPr="00B37EC4">
        <w:rPr>
          <w:color w:val="000000"/>
          <w:szCs w:val="21"/>
        </w:rPr>
        <w:t>1.</w:t>
      </w:r>
      <w:r w:rsidR="00FF315E" w:rsidRPr="00B37EC4">
        <w:rPr>
          <w:color w:val="000000"/>
          <w:szCs w:val="21"/>
        </w:rPr>
        <w:t>2</w:t>
      </w:r>
      <w:r w:rsidR="00560A79" w:rsidRPr="00B37EC4">
        <w:rPr>
          <w:color w:val="000000"/>
          <w:szCs w:val="21"/>
        </w:rPr>
        <w:t>mm</w:t>
      </w:r>
    </w:p>
    <w:p w:rsidR="00A851D3" w:rsidRPr="00B37EC4" w:rsidRDefault="007A6B72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Pr="00B37EC4">
        <w:rPr>
          <w:bCs/>
          <w:szCs w:val="21"/>
        </w:rPr>
        <w:t>微机高速分析仪</w:t>
      </w:r>
      <w:r w:rsidRPr="00B37EC4"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:rsidR="00A851D3" w:rsidRPr="00B37EC4" w:rsidRDefault="00CB2337">
      <w:pPr>
        <w:spacing w:line="360" w:lineRule="auto"/>
        <w:ind w:firstLineChars="150" w:firstLine="315"/>
        <w:rPr>
          <w:szCs w:val="21"/>
        </w:rPr>
      </w:pPr>
      <w:r w:rsidRPr="00B37EC4">
        <w:rPr>
          <w:szCs w:val="21"/>
        </w:rPr>
        <w:t>样品为</w:t>
      </w:r>
      <w:r w:rsidRPr="00B37EC4">
        <w:rPr>
          <w:szCs w:val="21"/>
        </w:rPr>
        <w:t>50</w:t>
      </w:r>
      <w:r w:rsidR="00227568">
        <w:rPr>
          <w:szCs w:val="21"/>
        </w:rPr>
        <w:t>0</w:t>
      </w:r>
      <w:r w:rsidRPr="00B37EC4">
        <w:rPr>
          <w:szCs w:val="21"/>
        </w:rPr>
        <w:t>mm×50</w:t>
      </w:r>
      <w:r w:rsidR="00227568">
        <w:rPr>
          <w:szCs w:val="21"/>
        </w:rPr>
        <w:t>0</w:t>
      </w:r>
      <w:bookmarkStart w:id="1" w:name="_GoBack"/>
      <w:bookmarkEnd w:id="1"/>
      <w:r w:rsidRPr="00B37EC4">
        <w:rPr>
          <w:szCs w:val="21"/>
        </w:rPr>
        <w:t>mm</w:t>
      </w:r>
      <w:r w:rsidRPr="00B37EC4">
        <w:rPr>
          <w:szCs w:val="21"/>
        </w:rPr>
        <w:t>，</w:t>
      </w:r>
      <w:r w:rsidR="007A6B72" w:rsidRPr="00B37EC4">
        <w:rPr>
          <w:color w:val="000000" w:themeColor="text1"/>
          <w:szCs w:val="21"/>
        </w:rPr>
        <w:t>由</w:t>
      </w:r>
      <w:r w:rsidR="007C2DF4" w:rsidRPr="00B37EC4">
        <w:rPr>
          <w:bCs/>
          <w:color w:val="000000" w:themeColor="text1"/>
          <w:szCs w:val="21"/>
        </w:rPr>
        <w:t>钢卷尺</w:t>
      </w:r>
      <w:r w:rsidR="00560A79" w:rsidRPr="00B37EC4">
        <w:rPr>
          <w:bCs/>
          <w:color w:val="000000" w:themeColor="text1"/>
          <w:szCs w:val="21"/>
        </w:rPr>
        <w:t>检定</w:t>
      </w:r>
      <w:r w:rsidR="007A6B72" w:rsidRPr="00B37EC4">
        <w:rPr>
          <w:color w:val="000000" w:themeColor="text1"/>
          <w:szCs w:val="21"/>
        </w:rPr>
        <w:t>证书获知，</w:t>
      </w:r>
      <w:r w:rsidR="007C2DF4" w:rsidRPr="00B37EC4">
        <w:rPr>
          <w:bCs/>
          <w:color w:val="000000" w:themeColor="text1"/>
          <w:szCs w:val="21"/>
        </w:rPr>
        <w:t>钢卷尺</w:t>
      </w:r>
      <w:r w:rsidR="0011374F" w:rsidRPr="00B37EC4">
        <w:rPr>
          <w:bCs/>
          <w:color w:val="000000" w:themeColor="text1"/>
          <w:szCs w:val="21"/>
        </w:rPr>
        <w:t>在</w:t>
      </w:r>
      <w:r w:rsidR="0011374F" w:rsidRPr="00B37EC4">
        <w:rPr>
          <w:bCs/>
          <w:szCs w:val="21"/>
        </w:rPr>
        <w:t>L≤1m</w:t>
      </w:r>
      <w:r w:rsidR="0011374F" w:rsidRPr="00B37EC4">
        <w:rPr>
          <w:bCs/>
          <w:szCs w:val="21"/>
        </w:rPr>
        <w:t>时，</w:t>
      </w:r>
      <w:r w:rsidR="00560A79" w:rsidRPr="00B37EC4">
        <w:rPr>
          <w:color w:val="000000" w:themeColor="text1"/>
          <w:szCs w:val="21"/>
        </w:rPr>
        <w:t>示值误差为</w:t>
      </w:r>
      <w:r w:rsidR="00560A79" w:rsidRPr="00B37EC4">
        <w:rPr>
          <w:bCs/>
          <w:szCs w:val="21"/>
        </w:rPr>
        <w:t>±</w:t>
      </w:r>
      <w:r w:rsidR="00886B7F" w:rsidRPr="00B37EC4">
        <w:rPr>
          <w:bCs/>
          <w:szCs w:val="21"/>
        </w:rPr>
        <w:t>3.3</w:t>
      </w:r>
      <w:r w:rsidR="00560A79" w:rsidRPr="00B37EC4">
        <w:rPr>
          <w:bCs/>
          <w:szCs w:val="21"/>
        </w:rPr>
        <w:t>mm</w:t>
      </w:r>
      <w:r w:rsidR="007A6B72" w:rsidRPr="00B37EC4">
        <w:rPr>
          <w:szCs w:val="21"/>
        </w:rPr>
        <w:t>，则由</w:t>
      </w:r>
      <w:r w:rsidR="007C2DF4" w:rsidRPr="00B37EC4">
        <w:rPr>
          <w:szCs w:val="21"/>
        </w:rPr>
        <w:t>钢卷尺</w:t>
      </w:r>
      <w:r w:rsidR="007A6B72" w:rsidRPr="00B37EC4">
        <w:rPr>
          <w:szCs w:val="21"/>
        </w:rPr>
        <w:t>本身引入的不确定分量为：</w:t>
      </w:r>
    </w:p>
    <w:p w:rsidR="00A851D3" w:rsidRPr="00B37EC4" w:rsidRDefault="00D27DDD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3.3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=1.9mm</m:t>
          </m:r>
        </m:oMath>
      </m:oMathPara>
    </w:p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A851D3" w:rsidRPr="00B37EC4">
        <w:tc>
          <w:tcPr>
            <w:tcW w:w="3114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>
        <w:tc>
          <w:tcPr>
            <w:tcW w:w="3114" w:type="dxa"/>
            <w:vAlign w:val="center"/>
          </w:tcPr>
          <w:p w:rsidR="00A851D3" w:rsidRPr="00B37EC4" w:rsidRDefault="00D27DDD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:rsidR="00A851D3" w:rsidRPr="00B37EC4" w:rsidRDefault="006E175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1.2mm</w:t>
            </w:r>
          </w:p>
        </w:tc>
      </w:tr>
      <w:tr w:rsidR="00A851D3" w:rsidRPr="00B37EC4">
        <w:trPr>
          <w:trHeight w:val="507"/>
        </w:trPr>
        <w:tc>
          <w:tcPr>
            <w:tcW w:w="3114" w:type="dxa"/>
            <w:vAlign w:val="center"/>
          </w:tcPr>
          <w:p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:rsidR="00A851D3" w:rsidRPr="00B37EC4" w:rsidRDefault="006E175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1.9mm</w:t>
            </w:r>
          </w:p>
        </w:tc>
      </w:tr>
    </w:tbl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:rsidR="00CB2337" w:rsidRPr="00B37EC4" w:rsidRDefault="00D27DDD" w:rsidP="00CB2337">
      <w:pPr>
        <w:pStyle w:val="MTDisplayEquation"/>
        <w:spacing w:line="360" w:lineRule="auto"/>
        <w:ind w:firstLine="560"/>
        <w:rPr>
          <w:iCs/>
          <w:color w:val="000000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B2337" w:rsidRPr="00B37EC4">
        <w:rPr>
          <w:iCs/>
          <w:color w:val="000000"/>
          <w:sz w:val="21"/>
          <w:szCs w:val="21"/>
        </w:rPr>
        <w:t>2.2mm</w:t>
      </w:r>
    </w:p>
    <w:p w:rsidR="00A851D3" w:rsidRPr="00B37EC4" w:rsidRDefault="007A6B72">
      <w:pPr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5</w:t>
      </w:r>
      <w:r w:rsidRPr="00B37EC4">
        <w:rPr>
          <w:b/>
          <w:bCs/>
          <w:color w:val="000000"/>
          <w:szCs w:val="21"/>
        </w:rPr>
        <w:t>扩展不确定度的计算</w:t>
      </w:r>
    </w:p>
    <w:p w:rsidR="00A851D3" w:rsidRPr="00B37EC4" w:rsidRDefault="007A6B72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:rsidR="00A851D3" w:rsidRPr="00B37EC4" w:rsidRDefault="007A6B72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proofErr w:type="spellStart"/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proofErr w:type="spellEnd"/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69521E" w:rsidRPr="00B37EC4">
        <w:rPr>
          <w:szCs w:val="21"/>
        </w:rPr>
        <w:t>2.2</w:t>
      </w:r>
      <w:r w:rsidRPr="00B37EC4">
        <w:rPr>
          <w:szCs w:val="21"/>
        </w:rPr>
        <w:t>＝</w:t>
      </w:r>
      <w:r w:rsidR="0069521E" w:rsidRPr="00B37EC4">
        <w:rPr>
          <w:szCs w:val="21"/>
        </w:rPr>
        <w:t>4.4mm</w:t>
      </w:r>
    </w:p>
    <w:p w:rsidR="00A851D3" w:rsidRPr="00B37EC4" w:rsidRDefault="007A6B72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:rsidR="00A851D3" w:rsidRPr="00B37EC4" w:rsidRDefault="007A6B72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69521E" w:rsidRPr="00B37EC4">
        <w:rPr>
          <w:szCs w:val="21"/>
        </w:rPr>
        <w:t>4.4mm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sectPr w:rsidR="00A851D3" w:rsidRPr="00B37EC4" w:rsidSect="00FF315E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DDD" w:rsidRDefault="00D27DDD" w:rsidP="00A851D3">
      <w:r>
        <w:separator/>
      </w:r>
    </w:p>
  </w:endnote>
  <w:endnote w:type="continuationSeparator" w:id="0">
    <w:p w:rsidR="00D27DDD" w:rsidRDefault="00D27DDD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DDD" w:rsidRDefault="00D27DDD" w:rsidP="00A851D3">
      <w:r>
        <w:separator/>
      </w:r>
    </w:p>
  </w:footnote>
  <w:footnote w:type="continuationSeparator" w:id="0">
    <w:p w:rsidR="00D27DDD" w:rsidRDefault="00D27DDD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15D8C"/>
    <w:rsid w:val="000166BF"/>
    <w:rsid w:val="00021AAA"/>
    <w:rsid w:val="0003227F"/>
    <w:rsid w:val="00047B06"/>
    <w:rsid w:val="00077D25"/>
    <w:rsid w:val="000A4AA5"/>
    <w:rsid w:val="000A6CEB"/>
    <w:rsid w:val="000F5E98"/>
    <w:rsid w:val="001011C2"/>
    <w:rsid w:val="0010623A"/>
    <w:rsid w:val="0011374F"/>
    <w:rsid w:val="00122F68"/>
    <w:rsid w:val="00162BAF"/>
    <w:rsid w:val="00192282"/>
    <w:rsid w:val="0019513C"/>
    <w:rsid w:val="001A51CD"/>
    <w:rsid w:val="001B1A83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D0371"/>
    <w:rsid w:val="002D2984"/>
    <w:rsid w:val="00305008"/>
    <w:rsid w:val="003867FC"/>
    <w:rsid w:val="00393FE8"/>
    <w:rsid w:val="003D783A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60A79"/>
    <w:rsid w:val="005653DC"/>
    <w:rsid w:val="00575DBB"/>
    <w:rsid w:val="00587A38"/>
    <w:rsid w:val="00595112"/>
    <w:rsid w:val="00595C57"/>
    <w:rsid w:val="005B31F7"/>
    <w:rsid w:val="005D6B5E"/>
    <w:rsid w:val="005E35F2"/>
    <w:rsid w:val="005F29E5"/>
    <w:rsid w:val="00610F68"/>
    <w:rsid w:val="00666500"/>
    <w:rsid w:val="00677B80"/>
    <w:rsid w:val="0069521E"/>
    <w:rsid w:val="006A2511"/>
    <w:rsid w:val="006D2EC3"/>
    <w:rsid w:val="006E175B"/>
    <w:rsid w:val="007354AB"/>
    <w:rsid w:val="00761874"/>
    <w:rsid w:val="00781E86"/>
    <w:rsid w:val="007935FF"/>
    <w:rsid w:val="007A6B72"/>
    <w:rsid w:val="007B24C9"/>
    <w:rsid w:val="007B5237"/>
    <w:rsid w:val="007C2DF4"/>
    <w:rsid w:val="007C4C50"/>
    <w:rsid w:val="007E6AF4"/>
    <w:rsid w:val="008025FB"/>
    <w:rsid w:val="00807260"/>
    <w:rsid w:val="00813895"/>
    <w:rsid w:val="00821BC4"/>
    <w:rsid w:val="00853C4D"/>
    <w:rsid w:val="00864046"/>
    <w:rsid w:val="00886B7F"/>
    <w:rsid w:val="00892990"/>
    <w:rsid w:val="008C3FDF"/>
    <w:rsid w:val="008C6CF2"/>
    <w:rsid w:val="008E063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17578"/>
    <w:rsid w:val="00B3623F"/>
    <w:rsid w:val="00B37EC4"/>
    <w:rsid w:val="00B73F07"/>
    <w:rsid w:val="00B95F2B"/>
    <w:rsid w:val="00C27B1B"/>
    <w:rsid w:val="00C52A08"/>
    <w:rsid w:val="00C73C6A"/>
    <w:rsid w:val="00CA154F"/>
    <w:rsid w:val="00CB02A2"/>
    <w:rsid w:val="00CB2337"/>
    <w:rsid w:val="00D264C4"/>
    <w:rsid w:val="00D27DDD"/>
    <w:rsid w:val="00D3525C"/>
    <w:rsid w:val="00D803CE"/>
    <w:rsid w:val="00D82283"/>
    <w:rsid w:val="00DA7DE5"/>
    <w:rsid w:val="00E0560B"/>
    <w:rsid w:val="00E40954"/>
    <w:rsid w:val="00E527D8"/>
    <w:rsid w:val="00E52D69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F015B8"/>
    <w:rsid w:val="00FB17EA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34BB1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206</Words>
  <Characters>1176</Characters>
  <Application>Microsoft Office Word</Application>
  <DocSecurity>0</DocSecurity>
  <Lines>9</Lines>
  <Paragraphs>2</Paragraphs>
  <ScaleCrop>false</ScaleCrop>
  <Company>MC SYSTEM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73</cp:revision>
  <cp:lastPrinted>2021-07-08T12:26:00Z</cp:lastPrinted>
  <dcterms:created xsi:type="dcterms:W3CDTF">2020-03-19T11:03:00Z</dcterms:created>
  <dcterms:modified xsi:type="dcterms:W3CDTF">2021-07-31T03:13:00Z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