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952"/>
        <w:gridCol w:w="761"/>
        <w:gridCol w:w="936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28" w:type="dxa"/>
            <w:gridSpan w:val="2"/>
            <w:vAlign w:val="center"/>
          </w:tcPr>
          <w:p>
            <w:pPr>
              <w:rPr>
                <w:sz w:val="24"/>
                <w:szCs w:val="24"/>
              </w:rPr>
            </w:pPr>
            <w:r>
              <w:rPr>
                <w:rFonts w:hint="eastAsia"/>
                <w:sz w:val="24"/>
                <w:szCs w:val="24"/>
              </w:rPr>
              <w:t xml:space="preserve">受审核部门：领导层 </w:t>
            </w:r>
            <w:r>
              <w:rPr>
                <w:sz w:val="24"/>
                <w:szCs w:val="24"/>
              </w:rPr>
              <w:t xml:space="preserve">             </w:t>
            </w:r>
            <w:r>
              <w:rPr>
                <w:rFonts w:hint="eastAsia"/>
                <w:sz w:val="24"/>
                <w:szCs w:val="24"/>
              </w:rPr>
              <w:t>陪同人员：</w:t>
            </w:r>
            <w:r>
              <w:rPr>
                <w:rFonts w:hint="eastAsia" w:ascii="宋体" w:hAnsi="宋体"/>
                <w:sz w:val="24"/>
              </w:rPr>
              <w:t>沈开美</w:t>
            </w:r>
          </w:p>
        </w:tc>
        <w:tc>
          <w:tcPr>
            <w:tcW w:w="15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vMerge w:val="continue"/>
            <w:vAlign w:val="center"/>
          </w:tcPr>
          <w:p/>
        </w:tc>
        <w:tc>
          <w:tcPr>
            <w:tcW w:w="952" w:type="dxa"/>
            <w:vMerge w:val="continue"/>
            <w:vAlign w:val="center"/>
          </w:tcPr>
          <w:p/>
        </w:tc>
        <w:tc>
          <w:tcPr>
            <w:tcW w:w="10128" w:type="dxa"/>
            <w:gridSpan w:val="2"/>
            <w:vAlign w:val="center"/>
          </w:tcPr>
          <w:p>
            <w:pPr>
              <w:spacing w:before="120"/>
            </w:pPr>
            <w:r>
              <w:rPr>
                <w:rFonts w:hint="eastAsia"/>
                <w:sz w:val="24"/>
                <w:szCs w:val="24"/>
              </w:rPr>
              <w:t>审核员：邝</w:t>
            </w:r>
            <w:r>
              <w:rPr>
                <w:sz w:val="24"/>
                <w:szCs w:val="24"/>
              </w:rPr>
              <w:t xml:space="preserve">柏臣        </w:t>
            </w:r>
            <w:r>
              <w:rPr>
                <w:rFonts w:hint="eastAsia"/>
                <w:sz w:val="24"/>
                <w:szCs w:val="24"/>
              </w:rPr>
              <w:t xml:space="preserve">          审核日期：2021-08-0</w:t>
            </w:r>
            <w:r>
              <w:rPr>
                <w:sz w:val="24"/>
                <w:szCs w:val="24"/>
              </w:rPr>
              <w:t>3</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4" w:type="dxa"/>
            <w:vMerge w:val="continue"/>
            <w:vAlign w:val="center"/>
          </w:tcPr>
          <w:p/>
        </w:tc>
        <w:tc>
          <w:tcPr>
            <w:tcW w:w="952" w:type="dxa"/>
            <w:vMerge w:val="continue"/>
            <w:vAlign w:val="center"/>
          </w:tcPr>
          <w:p/>
        </w:tc>
        <w:tc>
          <w:tcPr>
            <w:tcW w:w="10128" w:type="dxa"/>
            <w:gridSpan w:val="2"/>
            <w:vAlign w:val="center"/>
          </w:tcPr>
          <w:p>
            <w:pPr>
              <w:spacing w:before="120"/>
              <w:rPr>
                <w:sz w:val="24"/>
                <w:szCs w:val="24"/>
              </w:rPr>
            </w:pPr>
            <w:r>
              <w:rPr>
                <w:rFonts w:hint="eastAsia"/>
                <w:sz w:val="24"/>
                <w:szCs w:val="24"/>
              </w:rPr>
              <w:t>审核条款：FSMS：4.1/4.2/4.3/4.4/5.1/5.2/5.3/6.1/6.2/6.3/7.1.1/7.4/9.1.1/9.3/10.2</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理解组织及其所处的环境</w:t>
            </w:r>
          </w:p>
        </w:tc>
        <w:tc>
          <w:tcPr>
            <w:tcW w:w="952" w:type="dxa"/>
            <w:vMerge w:val="restart"/>
          </w:tcPr>
          <w:p>
            <w:r>
              <w:rPr>
                <w:rFonts w:hint="eastAsia"/>
              </w:rPr>
              <w:t xml:space="preserve">F4.1 </w:t>
            </w:r>
          </w:p>
        </w:tc>
        <w:tc>
          <w:tcPr>
            <w:tcW w:w="761" w:type="dxa"/>
          </w:tcPr>
          <w:p>
            <w:r>
              <w:rPr>
                <w:rFonts w:hint="eastAsia"/>
              </w:rPr>
              <w:t>文件名称</w:t>
            </w:r>
          </w:p>
        </w:tc>
        <w:tc>
          <w:tcPr>
            <w:tcW w:w="9367" w:type="dxa"/>
          </w:tcPr>
          <w:p>
            <w:r>
              <w:rPr>
                <w:rFonts w:hint="eastAsia"/>
              </w:rPr>
              <w:t>如：☑管理手册第4.1条款、</w:t>
            </w:r>
            <w:r>
              <w:rPr>
                <w:rFonts w:hint="eastAsia"/>
              </w:rPr>
              <w:sym w:font="Wingdings" w:char="00A8"/>
            </w:r>
            <w:r>
              <w:rPr>
                <w:rFonts w:hint="eastAsia"/>
              </w:rPr>
              <w:t>《组织及其环境控制程序》</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外部环境</w:t>
                  </w:r>
                </w:p>
              </w:tc>
              <w:tc>
                <w:tcPr>
                  <w:tcW w:w="7375"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cs="宋体" w:asciiTheme="minorEastAsia" w:hAnsiTheme="minorEastAsia" w:eastAsiaTheme="minorEastAsia"/>
                      <w:szCs w:val="21"/>
                    </w:rPr>
                    <w:t>法律法规</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技术</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竞争</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市场</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文化</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社会</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经济环境</w:t>
                  </w:r>
                  <w:r>
                    <w:rPr>
                      <w:rFonts w:hint="eastAsia" w:asciiTheme="minorEastAsia" w:hAnsiTheme="minorEastAsia" w:eastAsiaTheme="minorEastAsia"/>
                      <w:szCs w:val="21"/>
                    </w:rPr>
                    <w:t xml:space="preserve"> □网络安全</w:t>
                  </w:r>
                  <w:r>
                    <w:rPr>
                      <w:rFonts w:ascii="Segoe UI Symbol" w:hAnsi="Segoe UI Symbol" w:cs="Segoe UI Symbol" w:eastAsiaTheme="minorEastAsia"/>
                      <w:szCs w:val="21"/>
                    </w:rPr>
                    <w:t>☑</w:t>
                  </w:r>
                  <w:r>
                    <w:rPr>
                      <w:rFonts w:hint="eastAsia" w:asciiTheme="minorEastAsia" w:hAnsiTheme="minorEastAsia" w:eastAsiaTheme="minorEastAsia"/>
                      <w:szCs w:val="21"/>
                    </w:rPr>
                    <w:t xml:space="preserve">食品欺诈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食品防护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蓄意污染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列举主要的内容</w:t>
                  </w:r>
                </w:p>
              </w:tc>
              <w:tc>
                <w:tcPr>
                  <w:tcW w:w="7375" w:type="dxa"/>
                </w:tcPr>
                <w:p>
                  <w:pPr>
                    <w:rPr>
                      <w:rFonts w:asciiTheme="minorEastAsia" w:hAnsiTheme="minorEastAsia" w:eastAsiaTheme="minorEastAsia"/>
                      <w:szCs w:val="21"/>
                    </w:rPr>
                  </w:pPr>
                  <w:r>
                    <w:rPr>
                      <w:rFonts w:hint="eastAsia"/>
                      <w:szCs w:val="21"/>
                    </w:rPr>
                    <w:t>整体经济还存在着多方面的不确定，跨</w:t>
                  </w:r>
                  <w:r>
                    <w:rPr>
                      <w:szCs w:val="21"/>
                    </w:rPr>
                    <w:t>区域企业参与</w:t>
                  </w:r>
                  <w:r>
                    <w:rPr>
                      <w:rFonts w:hint="eastAsia"/>
                      <w:szCs w:val="21"/>
                    </w:rPr>
                    <w:t>本土市场</w:t>
                  </w:r>
                  <w:r>
                    <w:rPr>
                      <w:szCs w:val="21"/>
                    </w:rPr>
                    <w:t>竞争，</w:t>
                  </w:r>
                  <w:r>
                    <w:rPr>
                      <w:rFonts w:hint="eastAsia"/>
                      <w:szCs w:val="21"/>
                    </w:rPr>
                    <w:t>企业面临洗牌，货款回收周期较长；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内部环境</w:t>
                  </w:r>
                </w:p>
              </w:tc>
              <w:tc>
                <w:tcPr>
                  <w:tcW w:w="7375"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cs="宋体" w:asciiTheme="minorEastAsia" w:hAnsiTheme="minorEastAsia" w:eastAsiaTheme="minorEastAsia"/>
                      <w:szCs w:val="21"/>
                    </w:rPr>
                    <w:t>价值观</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文化</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□绩效 </w:t>
                  </w:r>
                  <w:r>
                    <w:rPr>
                      <w:rFonts w:ascii="Segoe UI Symbol" w:hAnsi="Segoe UI Symbol" w:cs="Segoe UI Symbol" w:eastAsiaTheme="minorEastAsia"/>
                      <w:szCs w:val="21"/>
                    </w:rPr>
                    <w:t>☑</w:t>
                  </w:r>
                  <w:r>
                    <w:rPr>
                      <w:rFonts w:hint="eastAsia" w:cs="宋体" w:asciiTheme="minorEastAsia" w:hAnsiTheme="minorEastAsia" w:eastAsiaTheme="minorEastAsia"/>
                      <w:szCs w:val="21"/>
                    </w:rPr>
                    <w:t>工艺</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设备</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人员能力</w:t>
                  </w:r>
                  <w:r>
                    <w:rPr>
                      <w:rFonts w:hint="eastAsia" w:asciiTheme="minorEastAsia" w:hAnsiTheme="minorEastAsia" w:eastAsiaTheme="minorEastAsia"/>
                      <w:szCs w:val="21"/>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列举主要的内容</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szCs w:val="21"/>
                    </w:rPr>
                    <w:t>设备先进，自动化程度高；与许多国</w:t>
                  </w:r>
                  <w:r>
                    <w:rPr>
                      <w:rFonts w:asciiTheme="minorEastAsia" w:hAnsiTheme="minorEastAsia" w:eastAsiaTheme="minorEastAsia"/>
                      <w:szCs w:val="21"/>
                    </w:rPr>
                    <w:t>内</w:t>
                  </w:r>
                  <w:r>
                    <w:rPr>
                      <w:rFonts w:hint="eastAsia" w:asciiTheme="minorEastAsia" w:hAnsiTheme="minorEastAsia" w:eastAsiaTheme="minorEastAsia"/>
                      <w:szCs w:val="21"/>
                    </w:rPr>
                    <w:t>一流烟</w:t>
                  </w:r>
                  <w:r>
                    <w:rPr>
                      <w:rFonts w:asciiTheme="minorEastAsia" w:hAnsiTheme="minorEastAsia" w:eastAsiaTheme="minorEastAsia"/>
                      <w:szCs w:val="21"/>
                    </w:rPr>
                    <w:t>草企业</w:t>
                  </w:r>
                  <w:r>
                    <w:rPr>
                      <w:rFonts w:hint="eastAsia" w:asciiTheme="minorEastAsia" w:hAnsiTheme="minorEastAsia" w:eastAsiaTheme="minorEastAsia"/>
                      <w:szCs w:val="21"/>
                    </w:rPr>
                    <w:t>品牌均有合作；产品品质与同业相比，有竞争力；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组织优势说明</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利用好国家扶持产业优惠政策，抓住机遇，充分发挥企业优势，发展生产力，把企业做大做强；加快速度引进先进设备；向其他区域开发，扩大市场份额。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组织劣势说明</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szCs w:val="21"/>
                    </w:rPr>
                    <w:t>公司人员文化程度相对较低，接受先进的技术能力比较吃力。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主要风险的说明</w:t>
                  </w:r>
                </w:p>
              </w:tc>
              <w:tc>
                <w:tcPr>
                  <w:tcW w:w="7375" w:type="dxa"/>
                </w:tcPr>
                <w:p>
                  <w:pPr>
                    <w:rPr>
                      <w:szCs w:val="21"/>
                    </w:rPr>
                  </w:pPr>
                  <w:r>
                    <w:rPr>
                      <w:rFonts w:hint="eastAsia"/>
                      <w:szCs w:val="21"/>
                    </w:rPr>
                    <w:t>疫情影</w:t>
                  </w:r>
                  <w:r>
                    <w:rPr>
                      <w:szCs w:val="21"/>
                    </w:rPr>
                    <w:t>响</w:t>
                  </w:r>
                  <w:r>
                    <w:rPr>
                      <w:rFonts w:hint="eastAsia"/>
                      <w:szCs w:val="21"/>
                    </w:rPr>
                    <w:t>风险；人员工资的增长；食材的价格增长；客户需要的食材需求更新较快；客户转型；领先优势的取代；货款回收不及时；</w:t>
                  </w: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机遇的说明</w:t>
                  </w:r>
                </w:p>
              </w:tc>
              <w:tc>
                <w:tcPr>
                  <w:tcW w:w="7375" w:type="dxa"/>
                </w:tcPr>
                <w:p>
                  <w:pPr>
                    <w:rPr>
                      <w:rFonts w:asciiTheme="minorEastAsia" w:hAnsiTheme="minorEastAsia" w:eastAsiaTheme="minorEastAsia"/>
                      <w:szCs w:val="21"/>
                    </w:rPr>
                  </w:pPr>
                  <w:r>
                    <w:rPr>
                      <w:rFonts w:ascii="Arial Narrow" w:hAnsi="Arial Narrow" w:cs="宋体"/>
                      <w:kern w:val="0"/>
                      <w:szCs w:val="21"/>
                    </w:rPr>
                    <w:t>市场需求急剧增加</w:t>
                  </w:r>
                  <w:r>
                    <w:rPr>
                      <w:rFonts w:hint="eastAsia" w:ascii="Arial Narrow" w:hAnsi="Arial Narrow" w:cs="宋体"/>
                      <w:kern w:val="0"/>
                      <w:szCs w:val="21"/>
                    </w:rPr>
                    <w:t>、</w:t>
                  </w:r>
                  <w:r>
                    <w:rPr>
                      <w:rFonts w:ascii="Arial Narrow" w:hAnsi="Arial Narrow" w:cs="宋体"/>
                      <w:kern w:val="0"/>
                      <w:szCs w:val="21"/>
                    </w:rPr>
                    <w:t>与供应商良好关系</w:t>
                  </w:r>
                  <w:r>
                    <w:rPr>
                      <w:rFonts w:hint="eastAsia" w:ascii="Arial Narrow" w:hAnsi="Arial Narrow" w:cs="宋体"/>
                      <w:kern w:val="0"/>
                      <w:szCs w:val="21"/>
                    </w:rPr>
                    <w:t>、国</w:t>
                  </w:r>
                  <w:r>
                    <w:rPr>
                      <w:rFonts w:ascii="Arial Narrow" w:hAnsi="Arial Narrow" w:cs="宋体"/>
                      <w:kern w:val="0"/>
                      <w:szCs w:val="21"/>
                    </w:rPr>
                    <w:t>家</w:t>
                  </w:r>
                  <w:r>
                    <w:rPr>
                      <w:rFonts w:hint="eastAsia" w:ascii="Arial Narrow" w:hAnsi="Arial Narrow" w:cs="宋体"/>
                      <w:kern w:val="0"/>
                      <w:szCs w:val="21"/>
                    </w:rPr>
                    <w:t>对</w:t>
                  </w:r>
                  <w:r>
                    <w:rPr>
                      <w:rFonts w:ascii="Arial Narrow" w:hAnsi="Arial Narrow" w:cs="宋体"/>
                      <w:kern w:val="0"/>
                      <w:szCs w:val="21"/>
                    </w:rPr>
                    <w:t>农业扶持</w:t>
                  </w:r>
                  <w:r>
                    <w:rPr>
                      <w:rFonts w:hint="eastAsia" w:ascii="Arial Narrow" w:hAnsi="Arial Narrow" w:cs="宋体"/>
                      <w:kern w:val="0"/>
                      <w:szCs w:val="21"/>
                    </w:rPr>
                    <w:t>政</w:t>
                  </w:r>
                  <w:r>
                    <w:rPr>
                      <w:rFonts w:ascii="Arial Narrow" w:hAnsi="Arial Narrow" w:cs="宋体"/>
                      <w:kern w:val="0"/>
                      <w:szCs w:val="21"/>
                    </w:rPr>
                    <w:t>策倾斜</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 xml:space="preserve">其他《风险和机遇评估分析及措施表》、 </w:t>
            </w:r>
            <w:r>
              <w:rPr>
                <w:rFonts w:hint="eastAsia"/>
              </w:rPr>
              <w:sym w:font="Wingdings" w:char="00FE"/>
            </w:r>
            <w:r>
              <w:rPr>
                <w:rFonts w:hint="eastAsia"/>
              </w:rPr>
              <w:t>《内外部环境分析识别表》</w:t>
            </w:r>
          </w:p>
          <w:p>
            <w:pPr>
              <w:rPr>
                <w:color w:val="000000"/>
                <w:szCs w:val="21"/>
              </w:rPr>
            </w:pP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理解相关方的需求和期望</w:t>
            </w:r>
          </w:p>
        </w:tc>
        <w:tc>
          <w:tcPr>
            <w:tcW w:w="952" w:type="dxa"/>
            <w:vMerge w:val="restart"/>
          </w:tcPr>
          <w:p>
            <w:r>
              <w:rPr>
                <w:rFonts w:hint="eastAsia"/>
              </w:rPr>
              <w:t xml:space="preserve">F4.2 </w:t>
            </w:r>
          </w:p>
        </w:tc>
        <w:tc>
          <w:tcPr>
            <w:tcW w:w="761" w:type="dxa"/>
          </w:tcPr>
          <w:p>
            <w:r>
              <w:rPr>
                <w:rFonts w:hint="eastAsia"/>
              </w:rPr>
              <w:t>文件名称</w:t>
            </w:r>
          </w:p>
        </w:tc>
        <w:tc>
          <w:tcPr>
            <w:tcW w:w="9367" w:type="dxa"/>
          </w:tcPr>
          <w:p>
            <w:r>
              <w:rPr>
                <w:rFonts w:hint="eastAsia"/>
              </w:rPr>
              <w:t>如：</w:t>
            </w:r>
            <w:r>
              <w:rPr>
                <w:rFonts w:hint="eastAsia"/>
                <w:szCs w:val="22"/>
              </w:rPr>
              <w:sym w:font="Wingdings" w:char="00FE"/>
            </w:r>
            <w:r>
              <w:rPr>
                <w:rFonts w:hint="eastAsia"/>
                <w:szCs w:val="22"/>
              </w:rPr>
              <w:t>《相关方需求和期望控制程序》</w:t>
            </w:r>
            <w:r>
              <w:rPr>
                <w:rFonts w:hint="eastAsia"/>
              </w:rPr>
              <w:t xml:space="preserve">、 </w:t>
            </w:r>
            <w:r>
              <w:rPr>
                <w:rFonts w:hint="eastAsia"/>
              </w:rPr>
              <w:sym w:font="Wingdings" w:char="00FE"/>
            </w:r>
            <w:r>
              <w:rPr>
                <w:rFonts w:hint="eastAsia"/>
              </w:rPr>
              <w:t>管理手册第4.2章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2495" w:type="dxa"/>
                </w:tcPr>
                <w:p>
                  <w:pPr>
                    <w:rPr>
                      <w:sz w:val="18"/>
                      <w:szCs w:val="18"/>
                    </w:rPr>
                  </w:pPr>
                  <w:r>
                    <w:rPr>
                      <w:rFonts w:hint="eastAsia"/>
                      <w:sz w:val="18"/>
                      <w:szCs w:val="18"/>
                    </w:rPr>
                    <w:t>厦</w:t>
                  </w:r>
                  <w:r>
                    <w:rPr>
                      <w:sz w:val="18"/>
                      <w:szCs w:val="18"/>
                    </w:rPr>
                    <w:t>门市同安</w:t>
                  </w:r>
                  <w:r>
                    <w:rPr>
                      <w:rFonts w:hint="eastAsia"/>
                      <w:sz w:val="18"/>
                      <w:szCs w:val="18"/>
                    </w:rPr>
                    <w:t>区</w:t>
                  </w:r>
                  <w:r>
                    <w:rPr>
                      <w:sz w:val="18"/>
                      <w:szCs w:val="18"/>
                    </w:rPr>
                    <w:t>市场监督管理局</w:t>
                  </w:r>
                </w:p>
              </w:tc>
              <w:tc>
                <w:tcPr>
                  <w:tcW w:w="3611" w:type="dxa"/>
                </w:tcPr>
                <w:p>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2495" w:type="dxa"/>
                </w:tcPr>
                <w:p>
                  <w:pPr>
                    <w:rPr>
                      <w:rFonts w:ascii="宋体" w:hAnsi="宋体" w:cs="宋体"/>
                      <w:bCs/>
                      <w:color w:val="000000"/>
                      <w:kern w:val="0"/>
                      <w:sz w:val="18"/>
                      <w:szCs w:val="18"/>
                    </w:rPr>
                  </w:pPr>
                  <w:r>
                    <w:rPr>
                      <w:rFonts w:hint="eastAsia"/>
                    </w:rPr>
                    <w:t>厦</w:t>
                  </w:r>
                  <w:r>
                    <w:t>门</w:t>
                  </w:r>
                  <w:r>
                    <w:rPr>
                      <w:rFonts w:hint="eastAsia"/>
                    </w:rPr>
                    <w:t>沧</w:t>
                  </w:r>
                  <w:r>
                    <w:t>鹭水产有</w:t>
                  </w:r>
                  <w:r>
                    <w:rPr>
                      <w:rFonts w:hint="eastAsia"/>
                    </w:rPr>
                    <w:t>限</w:t>
                  </w:r>
                  <w:r>
                    <w:t>公</w:t>
                  </w:r>
                  <w:r>
                    <w:rPr>
                      <w:rFonts w:hint="eastAsia"/>
                    </w:rPr>
                    <w:t>司</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pPr>
                    <w:rPr>
                      <w:sz w:val="18"/>
                      <w:szCs w:val="18"/>
                    </w:rPr>
                  </w:pPr>
                  <w:r>
                    <w:rPr>
                      <w:rFonts w:hint="eastAsia"/>
                    </w:rPr>
                    <w:t>福建</w:t>
                  </w:r>
                  <w:r>
                    <w:t>省九龙建设集团有限公司（祥平区）</w:t>
                  </w:r>
                </w:p>
              </w:tc>
              <w:tc>
                <w:tcPr>
                  <w:tcW w:w="3611" w:type="dxa"/>
                </w:tcPr>
                <w:p>
                  <w:pPr>
                    <w:ind w:left="210" w:hanging="210" w:hangingChars="100"/>
                  </w:pPr>
                  <w:r>
                    <w:rPr>
                      <w:rFonts w:ascii="Segoe UI Symbol" w:hAnsi="Segoe UI Symbol" w:cs="Segoe UI Symbol"/>
                    </w:rPr>
                    <w:t>☑</w:t>
                  </w: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☑消费者</w:t>
                  </w:r>
                </w:p>
              </w:tc>
              <w:tc>
                <w:tcPr>
                  <w:tcW w:w="2495" w:type="dxa"/>
                </w:tcPr>
                <w:p>
                  <w:pPr>
                    <w:rPr>
                      <w:color w:val="000000" w:themeColor="text1"/>
                      <w:sz w:val="18"/>
                      <w:szCs w:val="18"/>
                      <w14:textFill>
                        <w14:solidFill>
                          <w14:schemeClr w14:val="tx1"/>
                        </w14:solidFill>
                      </w14:textFill>
                    </w:rPr>
                  </w:pPr>
                </w:p>
              </w:tc>
              <w:tc>
                <w:tcPr>
                  <w:tcW w:w="3611" w:type="dxa"/>
                </w:tcPr>
                <w:p>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495" w:type="dxa"/>
                </w:tcPr>
                <w:p>
                  <w:pPr>
                    <w:rPr>
                      <w:szCs w:val="24"/>
                    </w:rPr>
                  </w:pPr>
                  <w:r>
                    <w:rPr>
                      <w:rFonts w:hint="eastAsia"/>
                      <w:szCs w:val="24"/>
                    </w:rPr>
                    <w:t>——</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95" w:type="dxa"/>
                </w:tcPr>
                <w:p>
                  <w:r>
                    <w:rPr>
                      <w:rFonts w:hint="eastAsia"/>
                    </w:rPr>
                    <w:t>——</w:t>
                  </w:r>
                </w:p>
              </w:tc>
              <w:tc>
                <w:tcPr>
                  <w:tcW w:w="3611" w:type="dxa"/>
                </w:tcPr>
                <w:p>
                  <w:r>
                    <w:rPr>
                      <w:rFonts w:hint="eastAsia"/>
                    </w:rPr>
                    <w:t>□不因食品安全问题停产，组织持续经营、盈利</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社区</w:t>
                  </w:r>
                </w:p>
              </w:tc>
              <w:tc>
                <w:tcPr>
                  <w:tcW w:w="2495" w:type="dxa"/>
                </w:tcPr>
                <w:p>
                  <w:r>
                    <w:rPr>
                      <w:rFonts w:hint="eastAsia"/>
                      <w:color w:val="000000" w:themeColor="text1"/>
                      <w14:textFill>
                        <w14:solidFill>
                          <w14:schemeClr w14:val="tx1"/>
                        </w14:solidFill>
                      </w14:textFill>
                    </w:rPr>
                    <w:t>周边居民</w:t>
                  </w:r>
                </w:p>
              </w:tc>
              <w:tc>
                <w:tcPr>
                  <w:tcW w:w="3611" w:type="dxa"/>
                </w:tcPr>
                <w:p>
                  <w:r>
                    <w:rPr>
                      <w:rFonts w:hint="eastAsia"/>
                    </w:rPr>
                    <w:sym w:font="Wingdings 2" w:char="0052"/>
                  </w:r>
                  <w:r>
                    <w:rPr>
                      <w:rFonts w:hint="eastAsia"/>
                    </w:rPr>
                    <w:t>不因食品安全问题影响周围人员的就业</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rPr>
              <w:t>确定食品安全管理体系的范围</w:t>
            </w:r>
          </w:p>
        </w:tc>
        <w:tc>
          <w:tcPr>
            <w:tcW w:w="952" w:type="dxa"/>
            <w:vMerge w:val="restart"/>
            <w:shd w:val="clear" w:color="auto" w:fill="FFFFFF" w:themeFill="background1"/>
          </w:tcPr>
          <w:p>
            <w:r>
              <w:rPr>
                <w:rFonts w:hint="eastAsia"/>
              </w:rPr>
              <w:t>F4.3</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如：管理手册第4.3条款和“公司介绍”</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组织考虑了各种内部和外部因素和相关方的要求确定了相关管理体系的范围；如下</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CellMar>
                  <w:top w:w="0" w:type="dxa"/>
                  <w:left w:w="108" w:type="dxa"/>
                  <w:bottom w:w="0" w:type="dxa"/>
                  <w:right w:w="108" w:type="dxa"/>
                </w:tblCellMar>
              </w:tblPrEx>
              <w:trPr>
                <w:trHeight w:val="335" w:hRule="atLeast"/>
              </w:trPr>
              <w:tc>
                <w:tcPr>
                  <w:tcW w:w="1911" w:type="dxa"/>
                </w:tcPr>
                <w:p>
                  <w:r>
                    <w:rPr>
                      <w:rFonts w:hint="eastAsia"/>
                    </w:rPr>
                    <w:t>范围的项目</w:t>
                  </w:r>
                </w:p>
              </w:tc>
              <w:tc>
                <w:tcPr>
                  <w:tcW w:w="4117" w:type="dxa"/>
                </w:tcPr>
                <w:p>
                  <w:r>
                    <w:rPr>
                      <w:rFonts w:hint="eastAsia"/>
                    </w:rPr>
                    <w:t>内容描述</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117" w:type="dxa"/>
                </w:tcPr>
                <w:p>
                  <w:r>
                    <w:rPr>
                      <w:rFonts w:hint="eastAsia"/>
                      <w:szCs w:val="21"/>
                    </w:rPr>
                    <w:t>位于厦门市同安区洪塘路788-1号二楼厦门一亩鲜生供应链集团有限公司加工区的农副产品（水果、蔬菜、畜禽肉、水产品）的初加工</w:t>
                  </w:r>
                </w:p>
              </w:tc>
              <w:tc>
                <w:tcPr>
                  <w:tcW w:w="3015" w:type="dxa"/>
                </w:tcPr>
                <w:p/>
              </w:tc>
            </w:tr>
            <w:tr>
              <w:tblPrEx>
                <w:tblCellMar>
                  <w:top w:w="0" w:type="dxa"/>
                  <w:left w:w="108" w:type="dxa"/>
                  <w:bottom w:w="0" w:type="dxa"/>
                  <w:right w:w="108" w:type="dxa"/>
                </w:tblCellMar>
              </w:tblPrEx>
              <w:tc>
                <w:tcPr>
                  <w:tcW w:w="1911" w:type="dxa"/>
                </w:tcPr>
                <w:p>
                  <w:r>
                    <w:rPr>
                      <w:rFonts w:hint="eastAsia"/>
                    </w:rPr>
                    <w:t>经营地址（生产/服务场地）</w:t>
                  </w:r>
                </w:p>
              </w:tc>
              <w:tc>
                <w:tcPr>
                  <w:tcW w:w="4117" w:type="dxa"/>
                </w:tcPr>
                <w:p>
                  <w:pPr>
                    <w:rPr>
                      <w:highlight w:val="yellow"/>
                    </w:rPr>
                  </w:pPr>
                  <w:r>
                    <w:rPr>
                      <w:rFonts w:hint="eastAsia"/>
                      <w:szCs w:val="21"/>
                    </w:rPr>
                    <w:t>厦门市同安区洪塘路788-1号二楼</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117" w:type="dxa"/>
                </w:tcPr>
                <w:p>
                  <w:r>
                    <w:rPr>
                      <w:rFonts w:hint="eastAsia"/>
                    </w:rPr>
                    <w:sym w:font="Wingdings" w:char="00FE"/>
                  </w:r>
                  <w:r>
                    <w:rPr>
                      <w:rFonts w:hint="eastAsia"/>
                    </w:rPr>
                    <w:t xml:space="preserve"> </w:t>
                  </w:r>
                  <w:r>
                    <w:rPr>
                      <w:rFonts w:hint="eastAsia"/>
                      <w:lang w:val="en-US" w:eastAsia="zh-CN"/>
                    </w:rPr>
                    <w:t>近一年</w:t>
                  </w:r>
                  <w:r>
                    <w:rPr>
                      <w:rFonts w:hint="eastAsia"/>
                    </w:rPr>
                    <w:t>建立以来：202</w:t>
                  </w:r>
                  <w:r>
                    <w:t>0</w:t>
                  </w:r>
                  <w:r>
                    <w:rPr>
                      <w:rFonts w:hint="eastAsia"/>
                    </w:rPr>
                    <w:t>-10-13</w:t>
                  </w:r>
                </w:p>
                <w:p>
                  <w:r>
                    <w:rPr>
                      <w:rFonts w:hint="eastAsia"/>
                    </w:rPr>
                    <w:sym w:font="Wingdings" w:char="00A8"/>
                  </w:r>
                </w:p>
              </w:tc>
              <w:tc>
                <w:tcPr>
                  <w:tcW w:w="3015" w:type="dxa"/>
                </w:tcPr>
                <w:p/>
              </w:tc>
            </w:tr>
          </w:tbl>
          <w:p/>
          <w:p>
            <w:pPr>
              <w:rPr>
                <w:color w:val="000000"/>
                <w:szCs w:val="21"/>
              </w:rPr>
            </w:pPr>
          </w:p>
          <w:p>
            <w:pPr>
              <w:rPr>
                <w:color w:val="000000"/>
                <w:szCs w:val="21"/>
              </w:rPr>
            </w:pPr>
            <w:r>
              <w:rPr>
                <w:rFonts w:hint="eastAsia"/>
                <w:color w:val="000000"/>
                <w:szCs w:val="21"/>
              </w:rPr>
              <w:t>在企业的管理手册中有描述。</w:t>
            </w:r>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rPr>
              <w:t>食品安全管理体系</w:t>
            </w:r>
          </w:p>
        </w:tc>
        <w:tc>
          <w:tcPr>
            <w:tcW w:w="952" w:type="dxa"/>
            <w:vMerge w:val="restart"/>
            <w:shd w:val="clear" w:color="auto" w:fill="FFFFFF" w:themeFill="background1"/>
          </w:tcPr>
          <w:p>
            <w:r>
              <w:rPr>
                <w:rFonts w:hint="eastAsia"/>
              </w:rPr>
              <w:t xml:space="preserve">F4.4 </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rFonts w:hint="eastAsia"/>
              </w:rPr>
              <w:sym w:font="Wingdings" w:char="00FE"/>
            </w:r>
            <w:r>
              <w:rPr>
                <w:rFonts w:hint="eastAsia"/>
              </w:rPr>
              <w:t xml:space="preserve"> 管理手册第4.4章、《过程清单》</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pPr>
            <w:r>
              <w:rPr>
                <w:rFonts w:hint="eastAsia"/>
              </w:rPr>
              <w:t xml:space="preserve">□设备维修   □人员培训 □PRP和OPRP、HACCP验证  </w:t>
            </w:r>
            <w:r>
              <w:rPr>
                <w:rFonts w:hint="eastAsia"/>
              </w:rPr>
              <w:sym w:font="Wingdings 2" w:char="0052"/>
            </w:r>
            <w:r>
              <w:rPr>
                <w:rFonts w:hint="eastAsia"/>
              </w:rPr>
              <w:t>其他——无</w:t>
            </w:r>
          </w:p>
          <w:p>
            <w:pPr>
              <w:rPr>
                <w:lang w:val="en-GB"/>
              </w:rPr>
            </w:pP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rPr>
              <w:t>领导作用与承诺</w:t>
            </w:r>
          </w:p>
        </w:tc>
        <w:tc>
          <w:tcPr>
            <w:tcW w:w="952" w:type="dxa"/>
            <w:vMerge w:val="restart"/>
            <w:shd w:val="clear" w:color="auto" w:fill="FFFFFF" w:themeFill="background1"/>
          </w:tcPr>
          <w:p>
            <w:r>
              <w:rPr>
                <w:rFonts w:hint="eastAsia"/>
              </w:rPr>
              <w:t>F5.1</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如：管理手册第5.1章和“总经理岗位职责”</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rPr>
              <w:t>食品安全方针</w:t>
            </w:r>
          </w:p>
        </w:tc>
        <w:tc>
          <w:tcPr>
            <w:tcW w:w="952" w:type="dxa"/>
            <w:vMerge w:val="restart"/>
            <w:shd w:val="clear" w:color="auto" w:fill="FFFFFF" w:themeFill="background1"/>
          </w:tcPr>
          <w:p>
            <w:r>
              <w:rPr>
                <w:rFonts w:hint="eastAsia"/>
              </w:rPr>
              <w:t>F5.2</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sym w:font="Wingdings" w:char="00FE"/>
            </w:r>
            <w:r>
              <w:rPr>
                <w:rFonts w:hint="eastAsia"/>
              </w:rPr>
              <w:t>管理手册第5.2条款、</w:t>
            </w:r>
            <w:r>
              <w:rPr>
                <w:rFonts w:hint="eastAsia"/>
                <w:color w:val="000000"/>
                <w:szCs w:val="21"/>
              </w:rPr>
              <w:sym w:font="Wingdings" w:char="00FE"/>
            </w:r>
            <w:r>
              <w:rPr>
                <w:rFonts w:hint="eastAsia"/>
                <w:szCs w:val="21"/>
              </w:rPr>
              <w:t>“质量安全方针与目标”</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pPr>
              <w:rPr>
                <w:u w:val="single"/>
              </w:rPr>
            </w:pPr>
            <w:r>
              <w:rPr>
                <w:rFonts w:hint="eastAsia"/>
                <w:color w:val="000000"/>
                <w:szCs w:val="21"/>
              </w:rPr>
              <w:t xml:space="preserve"> </w:t>
            </w:r>
            <w:r>
              <w:rPr>
                <w:rFonts w:hint="eastAsia"/>
              </w:rPr>
              <w:t>最高管理者制定了文件化的食品安全体系方针：</w:t>
            </w:r>
          </w:p>
          <w:p>
            <w:pPr>
              <w:spacing w:line="440" w:lineRule="exact"/>
              <w:ind w:firstLine="1050" w:firstLineChars="500"/>
              <w:rPr>
                <w:rFonts w:ascii="宋体" w:hAnsi="宋体"/>
                <w:szCs w:val="21"/>
                <w:u w:val="single"/>
              </w:rPr>
            </w:pPr>
            <w:r>
              <w:rPr>
                <w:rFonts w:hint="eastAsia"/>
                <w:szCs w:val="21"/>
                <w:u w:val="single"/>
              </w:rPr>
              <w:t xml:space="preserve">  </w:t>
            </w:r>
            <w:r>
              <w:rPr>
                <w:rFonts w:hint="eastAsia" w:ascii="宋体" w:hAnsi="宋体"/>
                <w:b/>
                <w:bCs/>
                <w:szCs w:val="21"/>
                <w:u w:val="single"/>
              </w:rPr>
              <w:t>安全生产，规范管理，持续改进，顾客满意</w:t>
            </w:r>
          </w:p>
          <w:p>
            <w:pPr>
              <w:rPr>
                <w:color w:val="000000"/>
                <w:szCs w:val="18"/>
              </w:rPr>
            </w:pPr>
            <w:r>
              <w:rPr>
                <w:rFonts w:hint="eastAsia"/>
                <w:color w:val="000000"/>
                <w:szCs w:val="18"/>
              </w:rPr>
              <w:t xml:space="preserve">      </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rPr>
              <w:t>组织的角色、职责和权限</w:t>
            </w:r>
          </w:p>
          <w:p/>
        </w:tc>
        <w:tc>
          <w:tcPr>
            <w:tcW w:w="952" w:type="dxa"/>
            <w:vMerge w:val="restart"/>
            <w:shd w:val="clear" w:color="auto" w:fill="FFFFFF" w:themeFill="background1"/>
          </w:tcPr>
          <w:p>
            <w:r>
              <w:rPr>
                <w:rFonts w:hint="eastAsia"/>
              </w:rPr>
              <w:t>F5.3</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如：管理手册第5.3条款</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采</w:t>
                  </w:r>
                  <w:r>
                    <w:t>购部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外部沟通</w:t>
                  </w:r>
                </w:p>
              </w:tc>
              <w:tc>
                <w:tcPr>
                  <w:tcW w:w="2261" w:type="dxa"/>
                </w:tcPr>
                <w:p>
                  <w:r>
                    <w:rPr>
                      <w:rFonts w:hint="eastAsia"/>
                    </w:rPr>
                    <w:t>业</w:t>
                  </w:r>
                  <w:r>
                    <w:t>务部</w:t>
                  </w:r>
                </w:p>
              </w:tc>
              <w:tc>
                <w:tcPr>
                  <w:tcW w:w="2261" w:type="dxa"/>
                </w:tcPr>
                <w:p/>
              </w:tc>
              <w:tc>
                <w:tcPr>
                  <w:tcW w:w="2261" w:type="dxa"/>
                </w:tcPr>
                <w:p/>
              </w:tc>
            </w:tr>
          </w:tbl>
          <w:p/>
          <w:p>
            <w:pPr>
              <w:rPr>
                <w:szCs w:val="21"/>
                <w:u w:val="single"/>
              </w:rPr>
            </w:pPr>
            <w:r>
              <w:rPr>
                <w:rFonts w:hint="eastAsia"/>
              </w:rPr>
              <w:sym w:font="Wingdings" w:char="00FE"/>
            </w:r>
            <w:r>
              <w:rPr>
                <w:rFonts w:hint="eastAsia"/>
              </w:rPr>
              <w:t>HACCP小组长：</w:t>
            </w:r>
            <w:r>
              <w:rPr>
                <w:rFonts w:hint="eastAsia" w:ascii="宋体" w:hAnsi="宋体"/>
                <w:szCs w:val="21"/>
                <w:u w:val="single"/>
              </w:rPr>
              <w:t>蔡加坤</w:t>
            </w:r>
            <w:r>
              <w:rPr>
                <w:rFonts w:hint="eastAsia"/>
                <w:szCs w:val="21"/>
                <w:u w:val="single"/>
              </w:rPr>
              <w:t xml:space="preserve">   </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应对风险和机遇的措施</w:t>
            </w:r>
          </w:p>
          <w:p/>
        </w:tc>
        <w:tc>
          <w:tcPr>
            <w:tcW w:w="952" w:type="dxa"/>
            <w:vMerge w:val="restart"/>
          </w:tcPr>
          <w:p>
            <w:r>
              <w:rPr>
                <w:rFonts w:hint="eastAsia"/>
                <w:color w:val="000000"/>
                <w:szCs w:val="21"/>
              </w:rPr>
              <w:t>F6.1.1</w:t>
            </w:r>
          </w:p>
        </w:tc>
        <w:tc>
          <w:tcPr>
            <w:tcW w:w="761" w:type="dxa"/>
          </w:tcPr>
          <w:p>
            <w:r>
              <w:rPr>
                <w:rFonts w:hint="eastAsia"/>
              </w:rPr>
              <w:t>文件名称</w:t>
            </w:r>
          </w:p>
        </w:tc>
        <w:tc>
          <w:tcPr>
            <w:tcW w:w="9367" w:type="dxa"/>
          </w:tcPr>
          <w:p>
            <w:r>
              <w:rPr>
                <w:rFonts w:hint="eastAsia"/>
              </w:rPr>
              <w:t>如：</w:t>
            </w:r>
            <w:r>
              <w:rPr/>
              <w:sym w:font="Wingdings" w:char="00FE"/>
            </w:r>
            <w:r>
              <w:rPr>
                <w:rFonts w:hint="eastAsia"/>
              </w:rPr>
              <w:t xml:space="preserve">手册第6.1条款 </w:t>
            </w:r>
            <w:r>
              <w:rPr/>
              <w:sym w:font="Wingdings" w:char="00FE"/>
            </w:r>
            <w:r>
              <w:rPr>
                <w:rFonts w:hint="eastAsia"/>
              </w:rPr>
              <w:t>《</w:t>
            </w:r>
            <w:r>
              <w:rPr>
                <w:rFonts w:hint="eastAsia"/>
                <w:color w:val="000000"/>
                <w:szCs w:val="21"/>
              </w:rPr>
              <w:t>风险和机遇</w:t>
            </w:r>
            <w:r>
              <w:rPr>
                <w:rFonts w:hint="eastAsia"/>
              </w:rPr>
              <w:t>控制程序》</w:t>
            </w:r>
          </w:p>
        </w:tc>
        <w:tc>
          <w:tcPr>
            <w:tcW w:w="1590" w:type="dxa"/>
            <w:vMerge w:val="restart"/>
          </w:tcPr>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tc>
        <w:tc>
          <w:tcPr>
            <w:tcW w:w="952" w:type="dxa"/>
            <w:vMerge w:val="continue"/>
          </w:tcPr>
          <w:p>
            <w:pPr>
              <w:rPr>
                <w:color w:val="000000"/>
                <w:szCs w:val="21"/>
              </w:rPr>
            </w:pPr>
          </w:p>
        </w:tc>
        <w:tc>
          <w:tcPr>
            <w:tcW w:w="761" w:type="dxa"/>
          </w:tcPr>
          <w:p>
            <w:r>
              <w:rPr>
                <w:rFonts w:hint="eastAsia"/>
              </w:rPr>
              <w:t>运行证据</w:t>
            </w:r>
          </w:p>
        </w:tc>
        <w:tc>
          <w:tcPr>
            <w:tcW w:w="9367"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pPr>
                    <w:rPr>
                      <w:szCs w:val="24"/>
                    </w:rPr>
                  </w:pPr>
                  <w:r>
                    <w:rPr>
                      <w:rFonts w:hint="eastAsia"/>
                    </w:rPr>
                    <w:t>应对措施</w:t>
                  </w:r>
                </w:p>
              </w:tc>
              <w:tc>
                <w:tcPr>
                  <w:tcW w:w="2080"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rPr>
                      <w:rFonts w:ascii="宋体" w:hAnsi="宋体"/>
                      <w:szCs w:val="21"/>
                    </w:rPr>
                  </w:pPr>
                  <w:r>
                    <w:rPr>
                      <w:rFonts w:hint="eastAsia" w:ascii="宋体" w:hAnsi="宋体"/>
                      <w:szCs w:val="21"/>
                    </w:rPr>
                    <w:t>整体经济还存在着多方面的不确定性.</w:t>
                  </w:r>
                </w:p>
                <w:p>
                  <w:pPr>
                    <w:rPr>
                      <w:rFonts w:ascii="宋体" w:hAnsi="宋体"/>
                      <w:szCs w:val="21"/>
                    </w:rPr>
                  </w:pPr>
                  <w:r>
                    <w:rPr>
                      <w:rFonts w:hint="eastAsia" w:ascii="宋体" w:hAnsi="宋体"/>
                      <w:szCs w:val="21"/>
                    </w:rPr>
                    <w:t>小型企业面临洗牌，发展空间小；</w:t>
                  </w:r>
                </w:p>
                <w:p>
                  <w:pPr>
                    <w:rPr>
                      <w:rFonts w:ascii="宋体" w:hAnsi="宋体"/>
                      <w:szCs w:val="21"/>
                    </w:rPr>
                  </w:pPr>
                  <w:r>
                    <w:rPr>
                      <w:rFonts w:hint="eastAsia" w:ascii="宋体" w:hAnsi="宋体"/>
                      <w:szCs w:val="21"/>
                    </w:rPr>
                    <w:t>货款回收周期较长；人员流动性大；</w:t>
                  </w:r>
                </w:p>
                <w:p>
                  <w:pPr>
                    <w:rPr>
                      <w:rFonts w:ascii="宋体" w:hAnsi="宋体"/>
                      <w:szCs w:val="21"/>
                    </w:rPr>
                  </w:pPr>
                  <w:r>
                    <w:rPr>
                      <w:rFonts w:hint="eastAsia" w:ascii="宋体" w:hAnsi="宋体"/>
                      <w:szCs w:val="21"/>
                    </w:rPr>
                    <w:t>行业订单逐步回落</w:t>
                  </w:r>
                </w:p>
                <w:p>
                  <w:pPr>
                    <w:rPr>
                      <w:szCs w:val="22"/>
                    </w:rPr>
                  </w:pPr>
                  <w:r>
                    <w:rPr>
                      <w:rFonts w:hint="eastAsia" w:ascii="宋体" w:hAnsi="宋体"/>
                      <w:szCs w:val="21"/>
                    </w:rPr>
                    <w:t>对环境的要求越来越高</w:t>
                  </w:r>
                </w:p>
              </w:tc>
              <w:tc>
                <w:tcPr>
                  <w:tcW w:w="3421" w:type="dxa"/>
                  <w:vAlign w:val="center"/>
                </w:tcPr>
                <w:p>
                  <w:pPr>
                    <w:rPr>
                      <w:rFonts w:ascii="宋体" w:hAnsi="宋体"/>
                      <w:szCs w:val="21"/>
                    </w:rPr>
                  </w:pPr>
                  <w:r>
                    <w:rPr>
                      <w:rFonts w:hint="eastAsia" w:ascii="宋体" w:hAnsi="宋体"/>
                      <w:szCs w:val="21"/>
                    </w:rPr>
                    <w:t>1、继续提高研究开发提高竞争能力</w:t>
                  </w:r>
                </w:p>
                <w:p>
                  <w:pPr>
                    <w:rPr>
                      <w:rFonts w:ascii="宋体" w:hAnsi="宋体"/>
                      <w:szCs w:val="21"/>
                    </w:rPr>
                  </w:pPr>
                  <w:r>
                    <w:rPr>
                      <w:rFonts w:hint="eastAsia" w:ascii="宋体" w:hAnsi="宋体"/>
                      <w:szCs w:val="21"/>
                    </w:rPr>
                    <w:t>2、进一步发挥产品质量和价格优势</w:t>
                  </w:r>
                </w:p>
                <w:p>
                  <w:pPr>
                    <w:rPr>
                      <w:szCs w:val="22"/>
                    </w:rPr>
                  </w:pPr>
                  <w:r>
                    <w:rPr>
                      <w:rFonts w:hint="eastAsia" w:ascii="宋体" w:hAnsi="宋体"/>
                      <w:szCs w:val="21"/>
                    </w:rPr>
                    <w:t>3、做好广告宣传，包括体系认证。</w:t>
                  </w:r>
                </w:p>
              </w:tc>
              <w:tc>
                <w:tcPr>
                  <w:tcW w:w="2080"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rPr>
                      <w:szCs w:val="22"/>
                    </w:rPr>
                  </w:pPr>
                  <w:r>
                    <w:rPr>
                      <w:rFonts w:hint="eastAsia"/>
                      <w:szCs w:val="24"/>
                    </w:rPr>
                    <w:t>新冠疫</w:t>
                  </w:r>
                  <w:r>
                    <w:rPr>
                      <w:szCs w:val="24"/>
                    </w:rPr>
                    <w:t>情</w:t>
                  </w:r>
                  <w:r>
                    <w:rPr>
                      <w:rFonts w:hint="eastAsia"/>
                      <w:szCs w:val="24"/>
                    </w:rPr>
                    <w:t>导</w:t>
                  </w:r>
                  <w:r>
                    <w:rPr>
                      <w:szCs w:val="24"/>
                    </w:rPr>
                    <w:t>致</w:t>
                  </w:r>
                  <w:r>
                    <w:rPr>
                      <w:rFonts w:hint="eastAsia"/>
                      <w:szCs w:val="24"/>
                    </w:rPr>
                    <w:t>消</w:t>
                  </w:r>
                  <w:r>
                    <w:rPr>
                      <w:szCs w:val="24"/>
                    </w:rPr>
                    <w:t>费不稳定</w:t>
                  </w:r>
                </w:p>
              </w:tc>
              <w:tc>
                <w:tcPr>
                  <w:tcW w:w="342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切</w:t>
                  </w:r>
                  <w:r>
                    <w:rPr>
                      <w:rFonts w:asciiTheme="minorEastAsia" w:hAnsiTheme="minorEastAsia" w:eastAsiaTheme="minorEastAsia"/>
                      <w:szCs w:val="21"/>
                    </w:rPr>
                    <w:t>实做好</w:t>
                  </w:r>
                  <w:r>
                    <w:rPr>
                      <w:rFonts w:hint="eastAsia" w:asciiTheme="minorEastAsia" w:hAnsiTheme="minorEastAsia" w:eastAsiaTheme="minorEastAsia"/>
                      <w:szCs w:val="21"/>
                    </w:rPr>
                    <w:t>尽</w:t>
                  </w:r>
                  <w:r>
                    <w:rPr>
                      <w:rFonts w:asciiTheme="minorEastAsia" w:hAnsiTheme="minorEastAsia" w:eastAsiaTheme="minorEastAsia"/>
                      <w:szCs w:val="21"/>
                    </w:rPr>
                    <w:t>防疫措施</w:t>
                  </w:r>
                  <w:r>
                    <w:rPr>
                      <w:rFonts w:hint="eastAsia" w:asciiTheme="minorEastAsia" w:hAnsiTheme="minorEastAsia" w:eastAsiaTheme="minorEastAsia"/>
                      <w:szCs w:val="21"/>
                    </w:rPr>
                    <w:t>，全</w:t>
                  </w:r>
                  <w:r>
                    <w:rPr>
                      <w:rFonts w:asciiTheme="minorEastAsia" w:hAnsiTheme="minorEastAsia" w:eastAsiaTheme="minorEastAsia"/>
                      <w:szCs w:val="21"/>
                    </w:rPr>
                    <w:t>员</w:t>
                  </w:r>
                  <w:r>
                    <w:rPr>
                      <w:rFonts w:hint="eastAsia" w:asciiTheme="minorEastAsia" w:hAnsiTheme="minorEastAsia" w:eastAsiaTheme="minorEastAsia"/>
                      <w:szCs w:val="21"/>
                    </w:rPr>
                    <w:t>做</w:t>
                  </w:r>
                  <w:r>
                    <w:rPr>
                      <w:rFonts w:asciiTheme="minorEastAsia" w:hAnsiTheme="minorEastAsia" w:eastAsiaTheme="minorEastAsia"/>
                      <w:szCs w:val="21"/>
                    </w:rPr>
                    <w:t>好</w:t>
                  </w:r>
                  <w:r>
                    <w:rPr>
                      <w:rFonts w:hint="eastAsia" w:asciiTheme="minorEastAsia" w:hAnsiTheme="minorEastAsia" w:eastAsiaTheme="minorEastAsia"/>
                      <w:szCs w:val="21"/>
                    </w:rPr>
                    <w:t>防</w:t>
                  </w:r>
                  <w:r>
                    <w:rPr>
                      <w:rFonts w:asciiTheme="minorEastAsia" w:hAnsiTheme="minorEastAsia" w:eastAsiaTheme="minorEastAsia"/>
                      <w:szCs w:val="21"/>
                    </w:rPr>
                    <w:t>疫检验检</w:t>
                  </w:r>
                  <w:r>
                    <w:rPr>
                      <w:rFonts w:hint="eastAsia" w:asciiTheme="minorEastAsia" w:hAnsiTheme="minorEastAsia" w:eastAsiaTheme="minorEastAsia"/>
                      <w:szCs w:val="21"/>
                    </w:rPr>
                    <w:t>测实施营销战略和品牌战略</w:t>
                  </w:r>
                </w:p>
                <w:p>
                  <w:pPr>
                    <w:rPr>
                      <w:rFonts w:asciiTheme="minorEastAsia" w:hAnsiTheme="minorEastAsia" w:eastAsiaTheme="minorEastAsia"/>
                      <w:szCs w:val="21"/>
                    </w:rPr>
                  </w:pPr>
                  <w:r>
                    <w:rPr>
                      <w:rFonts w:hint="eastAsia" w:asciiTheme="minorEastAsia" w:hAnsiTheme="minorEastAsia" w:eastAsiaTheme="minorEastAsia"/>
                      <w:szCs w:val="21"/>
                    </w:rPr>
                    <w:t>完善售后服务体系，优质服务，提</w:t>
                  </w:r>
                  <w:r>
                    <w:rPr>
                      <w:rFonts w:asciiTheme="minorEastAsia" w:hAnsiTheme="minorEastAsia" w:eastAsiaTheme="minorEastAsia"/>
                      <w:szCs w:val="21"/>
                    </w:rPr>
                    <w:t>高</w:t>
                  </w:r>
                  <w:r>
                    <w:rPr>
                      <w:rFonts w:hint="eastAsia" w:asciiTheme="minorEastAsia" w:hAnsiTheme="minorEastAsia" w:eastAsiaTheme="minorEastAsia"/>
                      <w:szCs w:val="21"/>
                    </w:rPr>
                    <w:t>客户满</w:t>
                  </w:r>
                  <w:r>
                    <w:rPr>
                      <w:rFonts w:asciiTheme="minorEastAsia" w:hAnsiTheme="minorEastAsia" w:eastAsiaTheme="minorEastAsia"/>
                      <w:szCs w:val="21"/>
                    </w:rPr>
                    <w:t>意度</w:t>
                  </w:r>
                </w:p>
                <w:p>
                  <w:pPr>
                    <w:rPr>
                      <w:szCs w:val="22"/>
                    </w:rPr>
                  </w:pPr>
                </w:p>
              </w:tc>
              <w:tc>
                <w:tcPr>
                  <w:tcW w:w="2080" w:type="dxa"/>
                </w:tcPr>
                <w:p>
                  <w:pPr>
                    <w:rPr>
                      <w:highlight w:val="yellow"/>
                    </w:rPr>
                  </w:pPr>
                  <w:r>
                    <w:rPr>
                      <w:rFonts w:hint="eastAsia"/>
                    </w:rPr>
                    <w:t>基本有效</w:t>
                  </w: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Pr>
              <w:rPr>
                <w:highlight w:val="yellow"/>
              </w:rPr>
            </w:pPr>
          </w:p>
          <w:p>
            <w:r>
              <w:rPr>
                <w:rFonts w:hint="eastAsia"/>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rFonts w:asciiTheme="minorEastAsia" w:hAnsiTheme="minorEastAsia" w:eastAsiaTheme="minorEastAsia"/>
                      <w:szCs w:val="21"/>
                    </w:rPr>
                  </w:pPr>
                  <w:r>
                    <w:rPr>
                      <w:rFonts w:hint="eastAsia" w:asciiTheme="minorEastAsia" w:hAnsiTheme="minorEastAsia" w:eastAsiaTheme="minorEastAsia"/>
                      <w:szCs w:val="21"/>
                    </w:rPr>
                    <w:t>主要的机遇描述</w:t>
                  </w:r>
                </w:p>
              </w:tc>
              <w:tc>
                <w:tcPr>
                  <w:tcW w:w="3760" w:type="dxa"/>
                </w:tcPr>
                <w:p>
                  <w:pPr>
                    <w:rPr>
                      <w:rFonts w:asciiTheme="minorEastAsia" w:hAnsiTheme="minorEastAsia" w:eastAsiaTheme="minorEastAsia"/>
                      <w:szCs w:val="21"/>
                    </w:rPr>
                  </w:pPr>
                  <w:r>
                    <w:rPr>
                      <w:rFonts w:hint="eastAsia" w:asciiTheme="minorEastAsia" w:hAnsiTheme="minorEastAsia" w:eastAsiaTheme="minorEastAsia"/>
                      <w:szCs w:val="21"/>
                    </w:rPr>
                    <w:t>应对措施</w:t>
                  </w:r>
                </w:p>
              </w:tc>
              <w:tc>
                <w:tcPr>
                  <w:tcW w:w="2071" w:type="dxa"/>
                </w:tcPr>
                <w:p>
                  <w:pPr>
                    <w:rPr>
                      <w:rFonts w:asciiTheme="minorEastAsia" w:hAnsiTheme="minorEastAsia" w:eastAsiaTheme="minorEastAsia"/>
                      <w:szCs w:val="21"/>
                    </w:rPr>
                  </w:pPr>
                  <w:r>
                    <w:rPr>
                      <w:rFonts w:hint="eastAsia" w:asciiTheme="minorEastAsia" w:hAnsiTheme="minorEastAsia" w:eastAsiaTheme="minor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学</w:t>
                  </w:r>
                  <w:r>
                    <w:t>校招投标市场</w:t>
                  </w:r>
                  <w:r>
                    <w:rPr>
                      <w:rFonts w:hint="eastAsia"/>
                    </w:rPr>
                    <w:t>需</w:t>
                  </w:r>
                  <w:r>
                    <w:t>求大</w:t>
                  </w:r>
                </w:p>
              </w:tc>
              <w:tc>
                <w:tcPr>
                  <w:tcW w:w="3760" w:type="dxa"/>
                </w:tcPr>
                <w:p>
                  <w:pPr>
                    <w:rPr>
                      <w:rFonts w:ascii="宋体" w:hAnsi="宋体"/>
                      <w:szCs w:val="21"/>
                    </w:rPr>
                  </w:pPr>
                  <w:r>
                    <w:rPr>
                      <w:rFonts w:hint="eastAsia" w:ascii="宋体" w:hAnsi="宋体"/>
                      <w:szCs w:val="21"/>
                    </w:rPr>
                    <w:t>1、继续提高研究开发提高竞争能力</w:t>
                  </w:r>
                </w:p>
                <w:p>
                  <w:pPr>
                    <w:rPr>
                      <w:rFonts w:ascii="宋体" w:hAnsi="宋体"/>
                      <w:szCs w:val="21"/>
                    </w:rPr>
                  </w:pPr>
                  <w:r>
                    <w:rPr>
                      <w:rFonts w:hint="eastAsia" w:ascii="宋体" w:hAnsi="宋体"/>
                      <w:szCs w:val="21"/>
                    </w:rPr>
                    <w:t>2、进一步发挥产品质量和价格优势</w:t>
                  </w:r>
                </w:p>
                <w:p>
                  <w:r>
                    <w:rPr>
                      <w:rFonts w:hint="eastAsia" w:ascii="宋体" w:hAnsi="宋体"/>
                      <w:szCs w:val="21"/>
                    </w:rPr>
                    <w:t>3、做好广告宣传，包括体系认证。。</w:t>
                  </w:r>
                </w:p>
              </w:tc>
              <w:tc>
                <w:tcPr>
                  <w:tcW w:w="2071" w:type="dxa"/>
                </w:tcPr>
                <w:p>
                  <w:pPr>
                    <w:widowControl/>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基本有效</w:t>
                  </w: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停天然气   </w:t>
            </w:r>
          </w:p>
          <w:p>
            <w:pPr>
              <w:ind w:firstLine="420"/>
              <w:rPr>
                <w:u w:val="single"/>
              </w:rPr>
            </w:pPr>
            <w:r>
              <w:rPr>
                <w:rFonts w:hint="eastAsia"/>
                <w:u w:val="single"/>
              </w:rPr>
              <w:sym w:font="Wingdings" w:char="00A8"/>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 停蒸汽   </w:t>
            </w:r>
            <w:r>
              <w:rPr>
                <w:rFonts w:hint="eastAsia"/>
                <w:u w:val="single"/>
              </w:rPr>
              <w:sym w:font="Wingdings" w:char="00A8"/>
            </w:r>
            <w:r>
              <w:rPr>
                <w:rFonts w:hint="eastAsia"/>
                <w:u w:val="single"/>
              </w:rPr>
              <w:t xml:space="preserve"> 其他    </w:t>
            </w:r>
          </w:p>
          <w:p>
            <w:pPr>
              <w:ind w:firstLine="420"/>
              <w:rPr>
                <w:u w:val="single"/>
              </w:rPr>
            </w:pP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tcPr>
          <w:p>
            <w:r>
              <w:rPr>
                <w:rFonts w:hint="eastAsia"/>
                <w:color w:val="000000"/>
                <w:szCs w:val="21"/>
              </w:rPr>
              <w:t>F6.1.2</w:t>
            </w:r>
          </w:p>
        </w:tc>
        <w:tc>
          <w:tcPr>
            <w:tcW w:w="761" w:type="dxa"/>
          </w:tcPr>
          <w:p>
            <w:r>
              <w:rPr>
                <w:rFonts w:hint="eastAsia"/>
              </w:rPr>
              <w:t>运行证据</w:t>
            </w:r>
          </w:p>
        </w:tc>
        <w:tc>
          <w:tcPr>
            <w:tcW w:w="9367"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解决这些风险和机遇的行动;——企业提供了《风险和机遇评估分析表》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tc>
        <w:tc>
          <w:tcPr>
            <w:tcW w:w="952" w:type="dxa"/>
          </w:tcPr>
          <w:p>
            <w:r>
              <w:rPr>
                <w:rFonts w:hint="eastAsia"/>
                <w:color w:val="000000"/>
                <w:szCs w:val="21"/>
              </w:rPr>
              <w:t>F6.1.3</w:t>
            </w:r>
          </w:p>
        </w:tc>
        <w:tc>
          <w:tcPr>
            <w:tcW w:w="761" w:type="dxa"/>
          </w:tcPr>
          <w:p>
            <w:r>
              <w:rPr>
                <w:rFonts w:hint="eastAsia"/>
              </w:rPr>
              <w:t>运行证据</w:t>
            </w:r>
          </w:p>
        </w:tc>
        <w:tc>
          <w:tcPr>
            <w:tcW w:w="9367"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r>
              <w:rPr>
                <w:rFonts w:hint="eastAsia"/>
                <w:color w:val="000000"/>
                <w:szCs w:val="21"/>
              </w:rPr>
              <w:t>食品安全管理体系目标及其实现的策划</w:t>
            </w:r>
          </w:p>
        </w:tc>
        <w:tc>
          <w:tcPr>
            <w:tcW w:w="952" w:type="dxa"/>
            <w:vMerge w:val="restart"/>
            <w:shd w:val="clear" w:color="auto" w:fill="FFFFFF" w:themeFill="background1"/>
          </w:tcPr>
          <w:p>
            <w:r>
              <w:rPr>
                <w:rFonts w:hint="eastAsia"/>
                <w:color w:val="000000"/>
                <w:szCs w:val="21"/>
              </w:rPr>
              <w:t>F6.2</w:t>
            </w:r>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sym w:font="Wingdings" w:char="00FE"/>
            </w:r>
            <w:r>
              <w:rPr>
                <w:rFonts w:hint="eastAsia"/>
              </w:rPr>
              <w:t>手册第6.2条款、</w:t>
            </w:r>
            <w:r>
              <w:rPr/>
              <w:sym w:font="Wingdings" w:char="00FE"/>
            </w:r>
            <w:r>
              <w:rPr>
                <w:rFonts w:hint="eastAsia"/>
              </w:rPr>
              <w:t>“</w:t>
            </w:r>
            <w:bookmarkStart w:id="0" w:name="_Toc154807529"/>
            <w:bookmarkStart w:id="1" w:name="_Toc149970707"/>
            <w:bookmarkStart w:id="2" w:name="_Toc145400879"/>
            <w:bookmarkStart w:id="3" w:name="_Toc146529956"/>
            <w:bookmarkStart w:id="4" w:name="_Toc145402008"/>
            <w:r>
              <w:rPr>
                <w:rFonts w:hint="eastAsia"/>
              </w:rPr>
              <w:t>食品安全方针与目标</w:t>
            </w:r>
            <w:bookmarkEnd w:id="0"/>
            <w:bookmarkEnd w:id="1"/>
            <w:bookmarkEnd w:id="2"/>
            <w:bookmarkEnd w:id="3"/>
            <w:bookmarkEnd w:id="4"/>
            <w:r>
              <w:rPr>
                <w:rFonts w:hint="eastAsia"/>
              </w:rPr>
              <w:t>”</w:t>
            </w:r>
            <w:r>
              <w:rPr/>
              <w:sym w:font="Wingdings" w:char="00A8"/>
            </w:r>
            <w:r>
              <w:rPr>
                <w:rFonts w:hint="eastAsia"/>
              </w:rPr>
              <w:t>《食品安全目标和考核指标及实施统计表</w:t>
            </w:r>
          </w:p>
          <w:p>
            <w:r>
              <w:rPr>
                <w:rFonts w:hint="eastAsia"/>
              </w:rPr>
              <w:t>》、《分解目标》</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805"/>
              <w:gridCol w:w="322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80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322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177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r>
                    <w:rPr>
                      <w:rFonts w:hint="eastAsia" w:asciiTheme="minorEastAsia" w:hAnsiTheme="minorEastAsia" w:eastAsiaTheme="minorEastAsia"/>
                      <w:szCs w:val="21"/>
                      <w:lang w:val="en-US" w:eastAsia="zh-CN"/>
                    </w:rPr>
                    <w:t>2021.01-2021.07</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shd w:val="clear" w:color="auto" w:fill="auto"/>
                  <w:vAlign w:val="center"/>
                </w:tcPr>
                <w:p>
                  <w:pPr>
                    <w:spacing w:line="300" w:lineRule="auto"/>
                    <w:jc w:val="left"/>
                    <w:rPr>
                      <w:rFonts w:cs="宋体" w:asciiTheme="minorEastAsia" w:hAnsiTheme="minorEastAsia" w:eastAsiaTheme="minorEastAsia"/>
                      <w:szCs w:val="21"/>
                    </w:rPr>
                  </w:pPr>
                  <w:r>
                    <w:rPr>
                      <w:rFonts w:hint="eastAsia" w:asciiTheme="minorEastAsia" w:hAnsiTheme="minorEastAsia" w:eastAsiaTheme="minorEastAsia"/>
                      <w:bCs/>
                      <w:szCs w:val="21"/>
                    </w:rPr>
                    <w:t>关键控制点监控合格率100%</w:t>
                  </w:r>
                </w:p>
              </w:tc>
              <w:tc>
                <w:tcPr>
                  <w:tcW w:w="805" w:type="dxa"/>
                  <w:shd w:val="clear" w:color="auto" w:fill="auto"/>
                </w:tcPr>
                <w:p>
                  <w:pPr>
                    <w:rPr>
                      <w:rFonts w:asciiTheme="minorEastAsia" w:hAnsiTheme="minorEastAsia" w:eastAsiaTheme="minorEastAsia"/>
                      <w:szCs w:val="21"/>
                      <w:lang w:val="en-GB"/>
                    </w:rPr>
                  </w:pPr>
                  <w:r>
                    <w:rPr>
                      <w:rFonts w:hint="eastAsia" w:asciiTheme="minorEastAsia" w:hAnsiTheme="minorEastAsia" w:eastAsiaTheme="minorEastAsia"/>
                      <w:szCs w:val="21"/>
                    </w:rPr>
                    <w:t>季度</w:t>
                  </w:r>
                </w:p>
              </w:tc>
              <w:tc>
                <w:tcPr>
                  <w:tcW w:w="3226" w:type="dxa"/>
                  <w:shd w:val="clear" w:color="auto" w:fill="auto"/>
                  <w:vAlign w:val="center"/>
                </w:tcPr>
                <w:p>
                  <w:pPr>
                    <w:jc w:val="left"/>
                    <w:rPr>
                      <w:rFonts w:asciiTheme="minorEastAsia" w:hAnsiTheme="minorEastAsia" w:eastAsiaTheme="minorEastAsia"/>
                      <w:bCs/>
                      <w:szCs w:val="21"/>
                    </w:rPr>
                  </w:pPr>
                  <w:r>
                    <w:rPr>
                      <w:rFonts w:hint="eastAsia" w:asciiTheme="minorEastAsia" w:hAnsiTheme="minorEastAsia" w:eastAsiaTheme="minorEastAsia"/>
                      <w:bCs/>
                      <w:szCs w:val="21"/>
                    </w:rPr>
                    <w:t>关键控制点监控合格率=（对CCP点的控制抽查合格数/总CCP点的控制抽查合格数）*100%</w:t>
                  </w:r>
                </w:p>
              </w:tc>
              <w:tc>
                <w:tcPr>
                  <w:tcW w:w="1774" w:type="dxa"/>
                  <w:shd w:val="clear" w:color="auto" w:fill="auto"/>
                  <w:vAlign w:val="center"/>
                </w:tcPr>
                <w:p>
                  <w:pPr>
                    <w:spacing w:line="30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shd w:val="clear" w:color="auto" w:fill="auto"/>
                  <w:vAlign w:val="center"/>
                </w:tcPr>
                <w:p>
                  <w:pPr>
                    <w:adjustRightInd w:val="0"/>
                    <w:snapToGrid w:val="0"/>
                    <w:spacing w:line="300" w:lineRule="auto"/>
                    <w:rPr>
                      <w:rFonts w:cs="宋体" w:asciiTheme="minorEastAsia" w:hAnsiTheme="minorEastAsia" w:eastAsiaTheme="minorEastAsia"/>
                      <w:szCs w:val="21"/>
                    </w:rPr>
                  </w:pPr>
                  <w:r>
                    <w:rPr>
                      <w:rFonts w:hint="eastAsia" w:asciiTheme="minorEastAsia" w:hAnsiTheme="minorEastAsia" w:eastAsiaTheme="minorEastAsia"/>
                      <w:bCs/>
                      <w:szCs w:val="21"/>
                    </w:rPr>
                    <w:t>卫生标准操作程序执行检查合格率≥98%</w:t>
                  </w:r>
                </w:p>
              </w:tc>
              <w:tc>
                <w:tcPr>
                  <w:tcW w:w="80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季度</w:t>
                  </w:r>
                </w:p>
              </w:tc>
              <w:tc>
                <w:tcPr>
                  <w:tcW w:w="3226" w:type="dxa"/>
                  <w:shd w:val="clear" w:color="auto" w:fill="auto"/>
                  <w:vAlign w:val="center"/>
                </w:tcPr>
                <w:p>
                  <w:pPr>
                    <w:spacing w:line="300" w:lineRule="auto"/>
                    <w:rPr>
                      <w:rFonts w:asciiTheme="minorEastAsia" w:hAnsiTheme="minorEastAsia" w:eastAsiaTheme="minorEastAsia"/>
                      <w:bCs/>
                      <w:szCs w:val="21"/>
                    </w:rPr>
                  </w:pPr>
                  <w:r>
                    <w:rPr>
                      <w:rFonts w:hint="eastAsia" w:asciiTheme="minorEastAsia" w:hAnsiTheme="minorEastAsia" w:eastAsiaTheme="minorEastAsia"/>
                      <w:bCs/>
                      <w:szCs w:val="21"/>
                    </w:rPr>
                    <w:t>卫生标准操作程序执行检查合格率=（按卫生标准操作程序合格次数/总抽查次数）*100%</w:t>
                  </w:r>
                </w:p>
              </w:tc>
              <w:tc>
                <w:tcPr>
                  <w:tcW w:w="1774" w:type="dxa"/>
                  <w:shd w:val="clear" w:color="auto" w:fill="auto"/>
                  <w:vAlign w:val="center"/>
                </w:tcPr>
                <w:p>
                  <w:pPr>
                    <w:adjustRightInd w:val="0"/>
                    <w:snapToGrid w:val="0"/>
                    <w:spacing w:line="300" w:lineRule="auto"/>
                    <w:rPr>
                      <w:rFonts w:asciiTheme="minorEastAsia" w:hAnsiTheme="minorEastAsia" w:eastAsiaTheme="minorEastAsia"/>
                      <w:bCs/>
                      <w:szCs w:val="21"/>
                    </w:rPr>
                  </w:pPr>
                  <w:r>
                    <w:rPr>
                      <w:rFonts w:hint="eastAsia" w:asciiTheme="minorEastAsia" w:hAnsiTheme="minorEastAsia" w:eastAsiaTheme="minorEastAsia"/>
                      <w:bCs/>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shd w:val="clear" w:color="auto" w:fill="auto"/>
                  <w:vAlign w:val="center"/>
                </w:tcPr>
                <w:p>
                  <w:pPr>
                    <w:adjustRightInd w:val="0"/>
                    <w:snapToGrid w:val="0"/>
                    <w:spacing w:line="300" w:lineRule="auto"/>
                    <w:rPr>
                      <w:rFonts w:asciiTheme="minorEastAsia" w:hAnsiTheme="minorEastAsia" w:eastAsiaTheme="minorEastAsia"/>
                      <w:bCs/>
                      <w:szCs w:val="21"/>
                    </w:rPr>
                  </w:pPr>
                  <w:r>
                    <w:rPr>
                      <w:rFonts w:hint="eastAsia" w:asciiTheme="minorEastAsia" w:hAnsiTheme="minorEastAsia" w:eastAsiaTheme="minorEastAsia"/>
                      <w:bCs/>
                      <w:szCs w:val="21"/>
                    </w:rPr>
                    <w:t>食品安全事故为零</w:t>
                  </w:r>
                </w:p>
              </w:tc>
              <w:tc>
                <w:tcPr>
                  <w:tcW w:w="80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季度</w:t>
                  </w:r>
                </w:p>
              </w:tc>
              <w:tc>
                <w:tcPr>
                  <w:tcW w:w="3226" w:type="dxa"/>
                  <w:shd w:val="clear" w:color="auto" w:fill="auto"/>
                  <w:vAlign w:val="center"/>
                </w:tcPr>
                <w:p>
                  <w:pPr>
                    <w:jc w:val="left"/>
                    <w:rPr>
                      <w:rFonts w:asciiTheme="minorEastAsia" w:hAnsiTheme="minorEastAsia" w:eastAsiaTheme="minorEastAsia"/>
                      <w:bCs/>
                      <w:szCs w:val="21"/>
                    </w:rPr>
                  </w:pPr>
                  <w:r>
                    <w:rPr>
                      <w:rFonts w:hint="eastAsia" w:asciiTheme="minorEastAsia" w:hAnsiTheme="minorEastAsia" w:eastAsiaTheme="minorEastAsia"/>
                      <w:bCs/>
                      <w:szCs w:val="21"/>
                    </w:rPr>
                    <w:t>食品安全事故由行政部每半年统计一次</w:t>
                  </w:r>
                </w:p>
              </w:tc>
              <w:tc>
                <w:tcPr>
                  <w:tcW w:w="1774" w:type="dxa"/>
                  <w:shd w:val="clear" w:color="auto" w:fill="auto"/>
                  <w:vAlign w:val="center"/>
                </w:tcPr>
                <w:p>
                  <w:pPr>
                    <w:adjustRightInd w:val="0"/>
                    <w:snapToGrid w:val="0"/>
                    <w:spacing w:line="300" w:lineRule="auto"/>
                    <w:rPr>
                      <w:rFonts w:asciiTheme="minorEastAsia" w:hAnsiTheme="minorEastAsia" w:eastAsiaTheme="minorEastAsia"/>
                      <w:bCs/>
                      <w:szCs w:val="21"/>
                    </w:rPr>
                  </w:pPr>
                  <w:r>
                    <w:rPr>
                      <w:rFonts w:hint="eastAsia" w:asciiTheme="minorEastAsia" w:hAnsiTheme="minorEastAsia" w:eastAsiaTheme="minorEastAsia"/>
                      <w:bCs/>
                      <w:szCs w:val="21"/>
                    </w:rPr>
                    <w:t>0</w:t>
                  </w:r>
                </w:p>
              </w:tc>
            </w:tr>
          </w:tbl>
          <w:p>
            <w:pPr>
              <w:rPr>
                <w:rFonts w:hint="default" w:eastAsia="宋体"/>
                <w:lang w:val="en-US" w:eastAsia="zh-CN"/>
              </w:rPr>
            </w:pPr>
            <w:r>
              <w:rPr>
                <w:rFonts w:hint="eastAsia"/>
              </w:rPr>
              <w:sym w:font="Wingdings" w:char="00FE"/>
            </w:r>
            <w:r>
              <w:rPr>
                <w:rFonts w:hint="eastAsia"/>
              </w:rPr>
              <w:t>目标已实现</w:t>
            </w:r>
            <w:r>
              <w:rPr>
                <w:rFonts w:hint="eastAsia"/>
                <w:lang w:val="en-US" w:eastAsia="zh-CN"/>
              </w:rPr>
              <w:t>,2020年度目标已实现</w:t>
            </w:r>
          </w:p>
          <w:p>
            <w:r>
              <w:rPr>
                <w:rFonts w:hint="eastAsia"/>
              </w:rPr>
              <w:sym w:font="Wingdings" w:char="00A8"/>
            </w:r>
            <w:r>
              <w:rPr>
                <w:rFonts w:hint="eastAsia"/>
              </w:rPr>
              <w:t>目标没有实现的，组织在内部及时进行原因分析并采取了改进措施。</w:t>
            </w:r>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color w:val="000000"/>
                <w:szCs w:val="21"/>
              </w:rPr>
            </w:pPr>
            <w:r>
              <w:rPr>
                <w:rFonts w:hint="eastAsia"/>
                <w:color w:val="000000"/>
                <w:szCs w:val="21"/>
              </w:rPr>
              <w:t>变更的策划</w:t>
            </w:r>
          </w:p>
          <w:p/>
        </w:tc>
        <w:tc>
          <w:tcPr>
            <w:tcW w:w="952" w:type="dxa"/>
            <w:vMerge w:val="restart"/>
            <w:shd w:val="clear" w:color="auto" w:fill="FFFFFF" w:themeFill="background1"/>
          </w:tcPr>
          <w:p>
            <w:r>
              <w:rPr>
                <w:rFonts w:hint="eastAsia"/>
                <w:color w:val="000000"/>
                <w:szCs w:val="21"/>
              </w:rPr>
              <w:t>F6.3</w:t>
            </w:r>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如：手册第6.3条款、</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rPr>
                <w:rFonts w:hint="eastAsia" w:eastAsia="宋体"/>
                <w:lang w:eastAsia="zh-CN"/>
              </w:rPr>
            </w:pPr>
            <w:r>
              <w:rPr>
                <w:rFonts w:hint="eastAsia"/>
              </w:rPr>
              <w:t xml:space="preserve">□主要设备设施 □主要检测设备 </w:t>
            </w:r>
            <w:r>
              <w:rPr>
                <w:rFonts w:hint="eastAsia"/>
                <w:lang w:eastAsia="zh-CN"/>
              </w:rPr>
              <w:sym w:font="Wingdings 2" w:char="0052"/>
            </w:r>
            <w:r>
              <w:rPr>
                <w:rFonts w:hint="eastAsia"/>
              </w:rPr>
              <w:t>其他</w:t>
            </w:r>
            <w:r>
              <w:rPr>
                <w:rFonts w:hint="eastAsia"/>
                <w:lang w:eastAsia="zh-CN"/>
              </w:rPr>
              <w:t>——</w:t>
            </w:r>
            <w:r>
              <w:rPr>
                <w:rFonts w:hint="eastAsia"/>
                <w:lang w:val="en-US" w:eastAsia="zh-CN"/>
              </w:rPr>
              <w:t>范围变更、适用标准等</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变更目的</w:t>
                  </w:r>
                </w:p>
              </w:tc>
              <w:tc>
                <w:tcPr>
                  <w:tcW w:w="36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符合ISO22000:2018标准要求</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vAlign w:val="top"/>
                </w:tcPr>
                <w:p>
                  <w:pPr>
                    <w:rPr>
                      <w:rFonts w:ascii="Times New Roman" w:hAnsi="Times New Roman" w:eastAsia="宋体" w:cs="Times New Roman"/>
                      <w:kern w:val="2"/>
                      <w:sz w:val="21"/>
                      <w:lang w:val="en-US" w:eastAsia="zh-CN" w:bidi="ar-SA"/>
                    </w:rPr>
                  </w:pPr>
                  <w:r>
                    <w:rPr>
                      <w:rFonts w:hint="eastAsia"/>
                    </w:rPr>
                    <w:t>——</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完整</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具备范围变更、适用标准变更的咨询配置</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不涉及</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资源（总则）</w:t>
            </w:r>
          </w:p>
        </w:tc>
        <w:tc>
          <w:tcPr>
            <w:tcW w:w="952" w:type="dxa"/>
            <w:vMerge w:val="restart"/>
          </w:tcPr>
          <w:p>
            <w:r>
              <w:rPr>
                <w:rFonts w:hint="eastAsia"/>
                <w:color w:val="000000"/>
                <w:szCs w:val="21"/>
              </w:rPr>
              <w:t>F7.1.1</w:t>
            </w:r>
          </w:p>
        </w:tc>
        <w:tc>
          <w:tcPr>
            <w:tcW w:w="761" w:type="dxa"/>
          </w:tcPr>
          <w:p>
            <w:r>
              <w:rPr>
                <w:rFonts w:hint="eastAsia"/>
              </w:rPr>
              <w:t>文件名称</w:t>
            </w:r>
          </w:p>
        </w:tc>
        <w:tc>
          <w:tcPr>
            <w:tcW w:w="9367" w:type="dxa"/>
          </w:tcPr>
          <w:p>
            <w:r>
              <w:rPr>
                <w:rFonts w:hint="eastAsia"/>
              </w:rPr>
              <w:t>如：手册第7.1条款、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1"/>
              </w:numPr>
              <w:rPr>
                <w:color w:val="000000"/>
                <w:szCs w:val="21"/>
              </w:rPr>
            </w:pPr>
            <w:r>
              <w:rPr>
                <w:rFonts w:hint="eastAsia"/>
                <w:color w:val="000000"/>
                <w:szCs w:val="21"/>
              </w:rPr>
              <w:t>现有内部资源的能力；</w:t>
            </w:r>
          </w:p>
          <w:p>
            <w:pPr>
              <w:ind w:firstLine="210" w:firstLineChars="100"/>
              <w:rPr>
                <w:color w:val="auto"/>
              </w:rPr>
            </w:pPr>
            <w:r>
              <w:rPr>
                <w:rFonts w:hint="eastAsia"/>
                <w:color w:val="auto"/>
              </w:rPr>
              <w:t>建筑面积</w:t>
            </w:r>
            <w:r>
              <w:rPr>
                <w:rFonts w:hint="eastAsia"/>
                <w:color w:val="auto"/>
                <w:u w:val="single"/>
              </w:rPr>
              <w:t xml:space="preserve"> </w:t>
            </w:r>
            <w:r>
              <w:rPr>
                <w:color w:val="auto"/>
                <w:u w:val="single"/>
              </w:rPr>
              <w:t>2000</w:t>
            </w:r>
            <w:r>
              <w:rPr>
                <w:rFonts w:hint="eastAsia"/>
                <w:color w:val="auto"/>
              </w:rPr>
              <w:t>平方米,；加工间</w:t>
            </w:r>
            <w:r>
              <w:rPr>
                <w:rFonts w:hint="eastAsia"/>
                <w:color w:val="auto"/>
                <w:u w:val="single"/>
              </w:rPr>
              <w:t xml:space="preserve"> 1 </w:t>
            </w:r>
            <w:r>
              <w:rPr>
                <w:rFonts w:hint="eastAsia"/>
                <w:color w:val="auto"/>
              </w:rPr>
              <w:t>个；速</w:t>
            </w:r>
            <w:r>
              <w:rPr>
                <w:color w:val="auto"/>
              </w:rPr>
              <w:t>冻</w:t>
            </w:r>
            <w:r>
              <w:rPr>
                <w:rFonts w:hint="eastAsia"/>
                <w:color w:val="auto"/>
              </w:rPr>
              <w:t>库房、</w:t>
            </w:r>
            <w:r>
              <w:rPr>
                <w:color w:val="auto"/>
              </w:rPr>
              <w:t>冷</w:t>
            </w:r>
            <w:r>
              <w:rPr>
                <w:rFonts w:hint="eastAsia"/>
                <w:color w:val="auto"/>
              </w:rPr>
              <w:t>藏</w:t>
            </w:r>
            <w:r>
              <w:rPr>
                <w:color w:val="auto"/>
              </w:rPr>
              <w:t>库</w:t>
            </w:r>
            <w:r>
              <w:rPr>
                <w:rFonts w:hint="eastAsia"/>
                <w:color w:val="auto"/>
              </w:rPr>
              <w:t>、</w:t>
            </w:r>
            <w:r>
              <w:rPr>
                <w:color w:val="auto"/>
              </w:rPr>
              <w:t>成品库、解冻库、原料库</w:t>
            </w:r>
            <w:r>
              <w:rPr>
                <w:rFonts w:hint="eastAsia"/>
                <w:color w:val="auto"/>
              </w:rPr>
              <w:t>各1</w:t>
            </w:r>
            <w:r>
              <w:rPr>
                <w:rFonts w:hint="eastAsia"/>
                <w:color w:val="auto"/>
                <w:u w:val="single"/>
              </w:rPr>
              <w:t xml:space="preserve"> 间</w:t>
            </w:r>
            <w:r>
              <w:rPr>
                <w:rFonts w:hint="eastAsia"/>
                <w:color w:val="auto"/>
              </w:rPr>
              <w:t>；化验室</w:t>
            </w:r>
            <w:r>
              <w:rPr>
                <w:rFonts w:hint="eastAsia"/>
                <w:color w:val="auto"/>
                <w:u w:val="single"/>
              </w:rPr>
              <w:t xml:space="preserve"> 1 </w:t>
            </w:r>
            <w:r>
              <w:rPr>
                <w:rFonts w:hint="eastAsia"/>
                <w:color w:val="auto"/>
              </w:rPr>
              <w:t>个；办公区</w:t>
            </w:r>
            <w:r>
              <w:rPr>
                <w:color w:val="auto"/>
                <w:u w:val="single"/>
              </w:rPr>
              <w:t>1</w:t>
            </w:r>
            <w:r>
              <w:rPr>
                <w:rFonts w:hint="eastAsia"/>
                <w:color w:val="auto"/>
              </w:rPr>
              <w:t>间；</w:t>
            </w:r>
          </w:p>
          <w:p>
            <w:pPr>
              <w:ind w:firstLine="210" w:firstLineChars="100"/>
              <w:rPr>
                <w:rFonts w:ascii="宋体" w:hAnsi="宋体"/>
                <w:color w:val="auto"/>
                <w:szCs w:val="21"/>
                <w:u w:val="single"/>
              </w:rPr>
            </w:pPr>
            <w:r>
              <w:rPr>
                <w:rFonts w:hint="eastAsia" w:ascii="宋体" w:hAnsi="宋体"/>
                <w:color w:val="auto"/>
                <w:szCs w:val="21"/>
                <w:u w:val="single"/>
              </w:rPr>
              <w:t>查看原料入库、生产加工、成品出库等过程管理，与流程图基本一致。</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sym w:font="Wingdings" w:char="00FE"/>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rFonts w:hint="eastAsia"/>
              </w:rPr>
              <w:sym w:font="Wingdings" w:char="00A8"/>
            </w:r>
            <w:r>
              <w:rPr>
                <w:rFonts w:hint="eastAsia"/>
                <w:color w:val="000000"/>
              </w:rPr>
              <w:t xml:space="preserve">食堂  </w:t>
            </w:r>
            <w:r>
              <w:rPr>
                <w:rFonts w:hint="eastAsia"/>
              </w:rPr>
              <w:sym w:font="Wingdings" w:char="00FE"/>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bookmarkStart w:id="5" w:name="_GoBack"/>
            <w:r>
              <w:rPr>
                <w:rFonts w:hint="eastAsia"/>
              </w:rPr>
              <w:t>主要生产设备有：</w:t>
            </w:r>
            <w:r>
              <w:rPr>
                <w:rFonts w:hint="eastAsia"/>
                <w:u w:val="single"/>
              </w:rPr>
              <w:t xml:space="preserve">  </w:t>
            </w:r>
            <w:r>
              <w:rPr>
                <w:rFonts w:hint="eastAsia"/>
                <w:sz w:val="20"/>
                <w:u w:val="single"/>
              </w:rPr>
              <w:t>湿蔬菜包装机、输送机、风冷机组、蒸发器</w:t>
            </w:r>
            <w:r>
              <w:rPr>
                <w:rFonts w:hint="eastAsia"/>
                <w:u w:val="single"/>
              </w:rPr>
              <w:t xml:space="preserve">        （列举2~4种）</w:t>
            </w:r>
          </w:p>
          <w:bookmarkEnd w:id="5"/>
          <w:p>
            <w:r>
              <w:rPr>
                <w:rFonts w:hint="eastAsia"/>
              </w:rPr>
              <w:t>特种设备：</w:t>
            </w:r>
            <w:r>
              <w:rPr>
                <w:rFonts w:hint="eastAsia"/>
              </w:rPr>
              <w:sym w:font="Wingdings" w:char="00FE"/>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不</w:t>
            </w:r>
            <w:r>
              <w:rPr>
                <w:u w:val="single"/>
              </w:rPr>
              <w:t>涉及</w:t>
            </w:r>
            <w:r>
              <w:rPr>
                <w:rFonts w:hint="eastAsia"/>
                <w:u w:val="single"/>
              </w:rPr>
              <w:t xml:space="preserve">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不涉</w:t>
            </w:r>
            <w:r>
              <w:rPr>
                <w:u w:val="single"/>
              </w:rPr>
              <w:t>及</w:t>
            </w:r>
            <w:r>
              <w:rPr>
                <w:rFonts w:hint="eastAsia"/>
                <w:u w:val="single"/>
              </w:rPr>
              <w:t xml:space="preserve">                       </w:t>
            </w:r>
            <w:r>
              <w:rPr>
                <w:rFonts w:hint="eastAsia"/>
              </w:rPr>
              <w:t xml:space="preserve">  </w:t>
            </w:r>
          </w:p>
          <w:p>
            <w:r>
              <w:rPr>
                <w:rFonts w:hint="eastAsia"/>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4" w:type="dxa"/>
            <w:vMerge w:val="restart"/>
          </w:tcPr>
          <w:p>
            <w:r>
              <w:rPr>
                <w:rFonts w:hint="eastAsia"/>
              </w:rPr>
              <w:t xml:space="preserve">沟通  </w:t>
            </w:r>
          </w:p>
        </w:tc>
        <w:tc>
          <w:tcPr>
            <w:tcW w:w="952" w:type="dxa"/>
            <w:vMerge w:val="restart"/>
          </w:tcPr>
          <w:p>
            <w:r>
              <w:rPr>
                <w:rFonts w:hint="eastAsia"/>
              </w:rPr>
              <w:t xml:space="preserve">F7.4  </w:t>
            </w:r>
          </w:p>
        </w:tc>
        <w:tc>
          <w:tcPr>
            <w:tcW w:w="761" w:type="dxa"/>
          </w:tcPr>
          <w:p>
            <w:r>
              <w:rPr>
                <w:rFonts w:hint="eastAsia"/>
              </w:rPr>
              <w:t>文件名称</w:t>
            </w:r>
          </w:p>
        </w:tc>
        <w:tc>
          <w:tcPr>
            <w:tcW w:w="9368" w:type="dxa"/>
          </w:tcPr>
          <w:p>
            <w:r>
              <w:rPr>
                <w:rFonts w:hint="eastAsia"/>
              </w:rPr>
              <w:t>如：管理手册第7.4章、《内外部沟通控制程序》</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vMerge w:val="continue"/>
          </w:tcPr>
          <w:p/>
        </w:tc>
        <w:tc>
          <w:tcPr>
            <w:tcW w:w="952" w:type="dxa"/>
            <w:vMerge w:val="continue"/>
          </w:tcPr>
          <w:p/>
        </w:tc>
        <w:tc>
          <w:tcPr>
            <w:tcW w:w="761" w:type="dxa"/>
          </w:tcPr>
          <w:p>
            <w:r>
              <w:rPr>
                <w:rFonts w:hint="eastAsia"/>
              </w:rPr>
              <w:t>运行证据</w:t>
            </w:r>
          </w:p>
        </w:tc>
        <w:tc>
          <w:tcPr>
            <w:tcW w:w="9368" w:type="dxa"/>
          </w:tcPr>
          <w:p>
            <w:r>
              <w:rPr>
                <w:rFonts w:hint="eastAsia"/>
              </w:rPr>
              <w:t>组织考虑了合规义务，确保质量/食品安全信息与质量/食品安全管理体系形成的信息一致且真实可信。一般由办公室负责。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☑表单传递 ☑微信 ☑QQ ☑展板 </w:t>
            </w:r>
            <w:r>
              <w:rPr>
                <w:rFonts w:hint="eastAsia"/>
                <w:color w:val="000000"/>
                <w:szCs w:val="21"/>
              </w:rPr>
              <w:sym w:font="Wingdings 2" w:char="0052"/>
            </w:r>
            <w:r>
              <w:rPr>
                <w:rFonts w:hint="eastAsia"/>
                <w:color w:val="000000"/>
                <w:szCs w:val="21"/>
              </w:rPr>
              <w:t>标语</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监视、测量、分析和评价</w:t>
            </w:r>
          </w:p>
          <w:p/>
        </w:tc>
        <w:tc>
          <w:tcPr>
            <w:tcW w:w="952" w:type="dxa"/>
            <w:vMerge w:val="restart"/>
          </w:tcPr>
          <w:p>
            <w:r>
              <w:rPr>
                <w:rFonts w:hint="eastAsia"/>
              </w:rPr>
              <w:t>F9.1.1</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管理手册9.1.1章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2044" w:type="dxa"/>
            <w:vMerge w:val="continue"/>
          </w:tcPr>
          <w:p/>
        </w:tc>
        <w:tc>
          <w:tcPr>
            <w:tcW w:w="952" w:type="dxa"/>
            <w:vMerge w:val="continue"/>
          </w:tcPr>
          <w:p/>
        </w:tc>
        <w:tc>
          <w:tcPr>
            <w:tcW w:w="761" w:type="dxa"/>
          </w:tcPr>
          <w:p>
            <w:r>
              <w:rPr>
                <w:rFonts w:hint="eastAsia"/>
              </w:rPr>
              <w:t>运行证据</w:t>
            </w:r>
          </w:p>
        </w:tc>
        <w:tc>
          <w:tcPr>
            <w:tcW w:w="9367" w:type="dxa"/>
          </w:tcPr>
          <w:p>
            <w:r>
              <w:rPr>
                <w:rFonts w:hint="eastAsia"/>
              </w:rPr>
              <w:t>组织对监视和测量的食品安全绩效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评价其食品安全绩效所依据的准则和适当的参数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rPr>
                    <w:t>原辅料及包装材料</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索证、入厂检验</w:t>
                  </w:r>
                </w:p>
              </w:tc>
              <w:tc>
                <w:tcPr>
                  <w:tcW w:w="1986" w:type="dxa"/>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 xml:space="preserve">□每月 □每季度 □每年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其他（每批）</w:t>
                  </w:r>
                </w:p>
              </w:tc>
              <w:tc>
                <w:tcPr>
                  <w:tcW w:w="1887"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符合</w:t>
                  </w:r>
                  <w:r>
                    <w:rPr>
                      <w:rFonts w:cs="宋体" w:asciiTheme="minorEastAsia" w:hAnsiTheme="minorEastAsia" w:eastAsiaTheme="minorEastAsia"/>
                      <w:szCs w:val="21"/>
                    </w:rPr>
                    <w:t>GB 2707食品安全国家标准 鲜（冻）畜、禽产品</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以GB 10136-2015 食品安全国家标准 动物性水产制品</w:t>
                  </w:r>
                </w:p>
                <w:p>
                  <w:pPr>
                    <w:rPr>
                      <w:rFonts w:asciiTheme="minorEastAsia" w:hAnsiTheme="minorEastAsia" w:eastAsiaTheme="minorEastAsia"/>
                      <w:szCs w:val="21"/>
                    </w:rPr>
                  </w:pPr>
                  <w:r>
                    <w:rPr>
                      <w:rFonts w:hint="eastAsia" w:asciiTheme="minorEastAsia" w:hAnsiTheme="minorEastAsia" w:eastAsiaTheme="minorEastAsia"/>
                      <w:szCs w:val="21"/>
                    </w:rPr>
                    <w:t>GB 2763-2021 《食品安全国家标准  食品中农药最大残留限量》</w:t>
                  </w:r>
                </w:p>
              </w:tc>
              <w:tc>
                <w:tcPr>
                  <w:tcW w:w="2034" w:type="dxa"/>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 xml:space="preserve">□每月 □每季度 </w:t>
                  </w:r>
                  <w:r>
                    <w:rPr>
                      <w:rFonts w:ascii="Segoe UI Symbol" w:hAnsi="Segoe UI Symbol" w:cs="Segoe UI Symbol" w:eastAsiaTheme="minorEastAsia"/>
                      <w:szCs w:val="21"/>
                    </w:rPr>
                    <w:t>☑</w:t>
                  </w:r>
                  <w:r>
                    <w:rPr>
                      <w:rFonts w:hint="eastAsia" w:cs="宋体" w:asciiTheme="minorEastAsia" w:hAnsiTheme="minorEastAsia" w:eastAsiaTheme="minorEastAsia"/>
                      <w:szCs w:val="21"/>
                    </w:rPr>
                    <w:t>每年</w:t>
                  </w:r>
                  <w:r>
                    <w:rPr>
                      <w:rFonts w:hint="eastAsia" w:asciiTheme="minorEastAsia" w:hAnsiTheme="minorEastAsia" w:eastAsiaTheme="minorEastAsia"/>
                      <w:szCs w:val="21"/>
                    </w:rPr>
                    <w:t xml:space="preserve"> </w:t>
                  </w:r>
                  <w:r>
                    <w:rPr>
                      <w:rFonts w:hint="eastAsia" w:ascii="Segoe UI Symbol" w:hAnsi="Segoe UI Symbol" w:cs="Segoe UI Symbol" w:eastAsiaTheme="minorEastAsia"/>
                      <w:szCs w:val="21"/>
                      <w:lang w:eastAsia="zh-CN"/>
                    </w:rPr>
                    <w:t>□</w:t>
                  </w:r>
                  <w:r>
                    <w:rPr>
                      <w:rFonts w:hint="eastAsia" w:cs="宋体" w:asciiTheme="minorEastAsia" w:hAnsiTheme="minorEastAsia" w:eastAsiaTheme="minorEastAsia"/>
                      <w:szCs w:val="21"/>
                    </w:rPr>
                    <w:t>每半年</w:t>
                  </w:r>
                  <w:r>
                    <w:rPr>
                      <w:rFonts w:hint="eastAsia"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成品</w:t>
                  </w:r>
                </w:p>
              </w:tc>
              <w:tc>
                <w:tcPr>
                  <w:tcW w:w="2149" w:type="dxa"/>
                </w:tcPr>
                <w:p>
                  <w:pPr>
                    <w:rPr>
                      <w:rFonts w:hint="eastAsia" w:eastAsia="宋体"/>
                      <w:lang w:eastAsia="zh-CN"/>
                    </w:rPr>
                  </w:pPr>
                  <w:r>
                    <w:rPr>
                      <w:rFonts w:hint="eastAsia"/>
                      <w:lang w:val="en-US" w:eastAsia="zh-CN"/>
                    </w:rPr>
                    <w:t>自检</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lang w:eastAsia="zh-CN"/>
                    </w:rPr>
                    <w:sym w:font="Wingdings 2" w:char="0052"/>
                  </w:r>
                  <w:r>
                    <w:rPr>
                      <w:rFonts w:hint="eastAsia"/>
                      <w:color w:val="000000"/>
                      <w:szCs w:val="21"/>
                    </w:rPr>
                    <w:t>每年 □</w:t>
                  </w:r>
                  <w:r>
                    <w:rPr>
                      <w:rFonts w:hint="eastAsia"/>
                    </w:rPr>
                    <w:t>其他</w:t>
                  </w:r>
                </w:p>
              </w:tc>
              <w:tc>
                <w:tcPr>
                  <w:tcW w:w="1887" w:type="dxa"/>
                </w:tcPr>
                <w:p>
                  <w:pPr>
                    <w:rPr>
                      <w:rFonts w:hint="default" w:eastAsia="宋体"/>
                      <w:szCs w:val="22"/>
                      <w:lang w:val="en-US" w:eastAsia="zh-CN"/>
                    </w:rPr>
                  </w:pPr>
                  <w:r>
                    <w:rPr>
                      <w:rFonts w:hint="eastAsia"/>
                      <w:szCs w:val="22"/>
                      <w:lang w:val="en-US" w:eastAsia="zh-CN"/>
                    </w:rPr>
                    <w:t>按照作业指导书进行</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过程</w:t>
                  </w:r>
                </w:p>
              </w:tc>
              <w:tc>
                <w:tcPr>
                  <w:tcW w:w="2149"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p/>
              </w:tc>
              <w:tc>
                <w:tcPr>
                  <w:tcW w:w="1887" w:type="dxa"/>
                </w:tcPr>
                <w:p>
                  <w:pPr>
                    <w:ind w:firstLine="4095" w:firstLineChars="1950"/>
                    <w:contextualSpacing/>
                    <w:rPr>
                      <w:rFonts w:ascii="宋体" w:hAnsi="宋体"/>
                      <w:szCs w:val="21"/>
                    </w:rPr>
                  </w:pPr>
                  <w:r>
                    <w:rPr>
                      <w:rFonts w:hint="eastAsia"/>
                      <w:szCs w:val="22"/>
                    </w:rPr>
                    <w:t>生</w:t>
                  </w:r>
                  <w:r>
                    <w:rPr>
                      <w:rFonts w:hint="eastAsia" w:ascii="宋体" w:hAnsi="宋体"/>
                      <w:szCs w:val="21"/>
                    </w:rPr>
                    <w:t>《原料验收记录表》、《</w:t>
                  </w:r>
                  <w:r>
                    <w:rPr>
                      <w:rFonts w:ascii="宋体" w:hAnsi="宋体"/>
                      <w:szCs w:val="21"/>
                    </w:rPr>
                    <w:t>金属检测器运行监控记录表</w:t>
                  </w:r>
                  <w:r>
                    <w:rPr>
                      <w:rFonts w:hint="eastAsia" w:ascii="宋体" w:hAnsi="宋体"/>
                      <w:szCs w:val="21"/>
                    </w:rPr>
                    <w:t>》、</w:t>
                  </w:r>
                  <w:r>
                    <w:rPr>
                      <w:rFonts w:hint="eastAsia"/>
                      <w:szCs w:val="21"/>
                    </w:rPr>
                    <w:t>《原辅材料验收规范》</w:t>
                  </w:r>
                </w:p>
                <w:p>
                  <w:pPr>
                    <w:ind w:firstLine="4095" w:firstLineChars="1950"/>
                    <w:contextualSpacing/>
                    <w:rPr>
                      <w:szCs w:val="22"/>
                    </w:rPr>
                  </w:pPr>
                </w:p>
                <w:p>
                  <w:pPr>
                    <w:ind w:firstLine="4095" w:firstLineChars="1950"/>
                    <w:contextualSpacing/>
                    <w:rPr>
                      <w:szCs w:val="22"/>
                    </w:rPr>
                  </w:pPr>
                </w:p>
                <w:p>
                  <w:pPr>
                    <w:ind w:firstLine="4095" w:firstLineChars="1950"/>
                    <w:contextualSpacing/>
                    <w:rPr>
                      <w:szCs w:val="22"/>
                    </w:rPr>
                  </w:pPr>
                  <w:r>
                    <w:rPr>
                      <w:rFonts w:hint="eastAsia"/>
                      <w:szCs w:val="22"/>
                    </w:rPr>
                    <w:t>〈</w:t>
                  </w:r>
                </w:p>
                <w:p>
                  <w:pPr>
                    <w:ind w:firstLine="4095" w:firstLineChars="1950"/>
                    <w:contextualSpacing/>
                    <w:rPr>
                      <w:szCs w:val="22"/>
                    </w:rPr>
                  </w:pPr>
                </w:p>
                <w:p>
                  <w:pPr>
                    <w:ind w:firstLine="4095" w:firstLineChars="1950"/>
                    <w:contextualSpacing/>
                    <w:rPr>
                      <w:szCs w:val="22"/>
                    </w:rPr>
                  </w:pPr>
                </w:p>
                <w:p>
                  <w:pPr>
                    <w:ind w:firstLine="4095" w:firstLineChars="1950"/>
                    <w:contextualSpacing/>
                    <w:rPr>
                      <w:szCs w:val="22"/>
                    </w:rPr>
                  </w:pPr>
                </w:p>
              </w:tc>
              <w:tc>
                <w:tcPr>
                  <w:tcW w:w="2034" w:type="dxa"/>
                </w:tcPr>
                <w:p>
                  <w:pPr>
                    <w:widowControl/>
                    <w:spacing w:before="40"/>
                    <w:jc w:val="left"/>
                  </w:pPr>
                  <w:r>
                    <w:rPr>
                      <w:rFonts w:hint="eastAsia"/>
                      <w:color w:val="000000"/>
                      <w:szCs w:val="21"/>
                    </w:rPr>
                    <w:sym w:font="Wingdings 2" w:char="0052"/>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每批</w:t>
                  </w:r>
                </w:p>
                <w:p>
                  <w:pPr>
                    <w:widowControl/>
                    <w:spacing w:before="40"/>
                    <w:jc w:val="left"/>
                  </w:pPr>
                  <w:r>
                    <w:rPr>
                      <w:rFonts w:hint="eastAsia"/>
                      <w:color w:val="000000"/>
                      <w:szCs w:val="21"/>
                    </w:rPr>
                    <w:t>□</w:t>
                  </w:r>
                  <w:r>
                    <w:rPr>
                      <w:rFonts w:hint="eastAsia"/>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pPr>
                    <w:rPr>
                      <w:szCs w:val="22"/>
                    </w:rPr>
                  </w:pPr>
                  <w:r>
                    <w:rPr>
                      <w:rFonts w:hint="eastAsia"/>
                      <w:szCs w:val="22"/>
                    </w:rPr>
                    <w:t>ISO22000:2018</w:t>
                  </w:r>
                </w:p>
                <w:p>
                  <w:pPr>
                    <w:rPr>
                      <w:szCs w:val="22"/>
                    </w:rPr>
                  </w:pP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w:t>
                  </w:r>
                  <w:r>
                    <w:t>FSMS</w:t>
                  </w:r>
                  <w:r>
                    <w:rPr>
                      <w:rFonts w:hint="eastAsia"/>
                    </w:rPr>
                    <w:t>存在的需要问题进行分析</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pPr>
                    <w:rPr>
                      <w:szCs w:val="22"/>
                    </w:rPr>
                  </w:pPr>
                  <w:r>
                    <w:rPr>
                      <w:rFonts w:hint="eastAsia"/>
                      <w:szCs w:val="22"/>
                    </w:rPr>
                    <w:t>ISO22000:2018</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1887" w:type="dxa"/>
                </w:tcPr>
                <w:p>
                  <w:r>
                    <w:rPr>
                      <w:rFonts w:hint="eastAsia"/>
                    </w:rPr>
                    <w:t>顾客满意度调查表</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☑随时</w:t>
                  </w:r>
                </w:p>
              </w:tc>
            </w:tr>
          </w:tbl>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4" w:type="dxa"/>
            <w:vMerge w:val="restart"/>
          </w:tcPr>
          <w:p>
            <w:r>
              <w:rPr>
                <w:rFonts w:hint="eastAsia"/>
              </w:rPr>
              <w:t>管理评审</w:t>
            </w:r>
          </w:p>
          <w:p/>
        </w:tc>
        <w:tc>
          <w:tcPr>
            <w:tcW w:w="952" w:type="dxa"/>
            <w:vMerge w:val="restart"/>
          </w:tcPr>
          <w:p>
            <w:r>
              <w:rPr>
                <w:rFonts w:hint="eastAsia"/>
              </w:rPr>
              <w:t>F9.3</w:t>
            </w:r>
          </w:p>
          <w:p/>
        </w:tc>
        <w:tc>
          <w:tcPr>
            <w:tcW w:w="761" w:type="dxa"/>
          </w:tcPr>
          <w:p>
            <w:r>
              <w:rPr>
                <w:rFonts w:hint="eastAsia"/>
              </w:rPr>
              <w:t>文件名称</w:t>
            </w:r>
          </w:p>
        </w:tc>
        <w:tc>
          <w:tcPr>
            <w:tcW w:w="9367" w:type="dxa"/>
          </w:tcPr>
          <w:p>
            <w:r>
              <w:rPr>
                <w:rFonts w:hint="eastAsia"/>
              </w:rPr>
              <w:t>如：</w:t>
            </w:r>
            <w:r>
              <w:rPr>
                <w:rFonts w:hint="eastAsia" w:ascii="Calibri" w:hAnsi="Calibri"/>
              </w:rPr>
              <w:t>☑</w:t>
            </w:r>
            <w:r>
              <w:rPr>
                <w:rFonts w:hint="eastAsia"/>
              </w:rPr>
              <w:t>《管理评审程序》</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4" w:type="dxa"/>
            <w:vMerge w:val="continue"/>
          </w:tcPr>
          <w:p/>
        </w:tc>
        <w:tc>
          <w:tcPr>
            <w:tcW w:w="952" w:type="dxa"/>
            <w:vMerge w:val="continue"/>
          </w:tcPr>
          <w:p/>
        </w:tc>
        <w:tc>
          <w:tcPr>
            <w:tcW w:w="761" w:type="dxa"/>
          </w:tcPr>
          <w:p>
            <w:pPr>
              <w:widowControl/>
              <w:spacing w:before="40"/>
              <w:jc w:val="left"/>
              <w:rPr>
                <w:color w:val="000000"/>
                <w:szCs w:val="18"/>
              </w:rPr>
            </w:pPr>
          </w:p>
          <w:p>
            <w:r>
              <w:rPr>
                <w:rFonts w:hint="eastAsia"/>
              </w:rPr>
              <w:t>运行证据</w:t>
            </w:r>
          </w:p>
        </w:tc>
        <w:tc>
          <w:tcPr>
            <w:tcW w:w="9367"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0</w:t>
            </w:r>
            <w:r>
              <w:rPr>
                <w:color w:val="000000"/>
                <w:szCs w:val="18"/>
                <w:u w:val="single"/>
              </w:rPr>
              <w:t>2</w:t>
            </w:r>
            <w:r>
              <w:rPr>
                <w:rFonts w:hint="eastAsia"/>
                <w:color w:val="000000"/>
                <w:szCs w:val="18"/>
              </w:rPr>
              <w:t xml:space="preserve">月 </w:t>
            </w:r>
            <w:r>
              <w:rPr>
                <w:rFonts w:hint="eastAsia"/>
                <w:color w:val="000000"/>
                <w:szCs w:val="18"/>
                <w:u w:val="single"/>
              </w:rPr>
              <w:t>20</w:t>
            </w:r>
            <w:r>
              <w:rPr>
                <w:rFonts w:hint="eastAsia"/>
                <w:color w:val="000000"/>
                <w:szCs w:val="18"/>
              </w:rPr>
              <w:t>日实施了管理评审；</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管理评审纪要  ☑管理评审报告</w:t>
            </w:r>
          </w:p>
          <w:p>
            <w:pPr>
              <w:widowControl/>
              <w:spacing w:before="40"/>
              <w:jc w:val="left"/>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 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ind w:firstLine="105" w:firstLineChars="50"/>
                    <w:rPr>
                      <w:color w:val="000000"/>
                      <w:sz w:val="18"/>
                      <w:szCs w:val="18"/>
                    </w:rPr>
                  </w:pPr>
                  <w:r>
                    <w:rPr>
                      <w:rFonts w:hint="eastAsia"/>
                    </w:rPr>
                    <w:t>加强各部门之间的沟通及信息反馈，严格把好检验关，保证产品质量、进度，希望有关部门尽</w:t>
                  </w:r>
                  <w:r>
                    <w:t xml:space="preserve"> </w:t>
                  </w:r>
                  <w:r>
                    <w:rPr>
                      <w:rFonts w:hint="eastAsia"/>
                    </w:rPr>
                    <w:t>快拿出并实施。</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jc w:val="left"/>
                    <w:rPr>
                      <w:color w:val="000000"/>
                      <w:szCs w:val="21"/>
                    </w:rPr>
                  </w:pPr>
                  <w:r>
                    <w:rPr>
                      <w:rFonts w:hint="eastAsia" w:ascii="宋体" w:hAnsi="宋体" w:cs="宋体"/>
                      <w:color w:val="000000"/>
                      <w:kern w:val="0"/>
                      <w:sz w:val="20"/>
                      <w:lang w:bidi="ar"/>
                    </w:rPr>
                    <w:t>无</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u w:val="single"/>
              </w:rPr>
            </w:pPr>
            <w:r>
              <w:rPr>
                <w:rFonts w:hint="eastAsia"/>
              </w:rPr>
              <w:sym w:font="Wingdings" w:char="00FE"/>
            </w:r>
            <w:r>
              <w:rPr>
                <w:rFonts w:hint="eastAsia"/>
              </w:rPr>
              <w:t>改进措施未落实的原因：</w:t>
            </w:r>
            <w:r>
              <w:rPr>
                <w:rFonts w:hint="eastAsia"/>
                <w:u w:val="single"/>
              </w:rPr>
              <w:t xml:space="preserve">   计划2021年全年完成          </w:t>
            </w:r>
          </w:p>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shd w:val="clear" w:color="auto" w:fill="FFFFFF" w:themeFill="background1"/>
          </w:tcPr>
          <w:p>
            <w:r>
              <w:rPr>
                <w:rFonts w:hint="eastAsia"/>
              </w:rPr>
              <w:t>持续改进</w:t>
            </w:r>
          </w:p>
        </w:tc>
        <w:tc>
          <w:tcPr>
            <w:tcW w:w="952" w:type="dxa"/>
            <w:vMerge w:val="restart"/>
            <w:shd w:val="clear" w:color="auto" w:fill="FFFFFF" w:themeFill="background1"/>
          </w:tcPr>
          <w:p>
            <w:r>
              <w:rPr>
                <w:rFonts w:hint="eastAsia"/>
              </w:rPr>
              <w:t>F10.2</w:t>
            </w:r>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rFonts w:hint="eastAsia"/>
              </w:rPr>
              <w:sym w:font="Wingdings" w:char="00FE"/>
            </w:r>
            <w:r>
              <w:rPr>
                <w:rFonts w:hint="eastAsia"/>
              </w:rPr>
              <w:t>管理手册10.3条款</w:t>
            </w:r>
          </w:p>
        </w:tc>
        <w:tc>
          <w:tcPr>
            <w:tcW w:w="1590" w:type="dxa"/>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044" w:type="dxa"/>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A8"/>
            </w:r>
            <w:r>
              <w:rPr>
                <w:rFonts w:hint="eastAsia"/>
              </w:rPr>
              <w:t xml:space="preserve"> 改进措施已落实</w:t>
            </w:r>
          </w:p>
          <w:p>
            <w:pPr>
              <w:rPr>
                <w:u w:val="single"/>
              </w:rPr>
            </w:pPr>
            <w:r>
              <w:rPr>
                <w:rFonts w:hint="eastAsia"/>
              </w:rPr>
              <w:sym w:font="Wingdings" w:char="00FE"/>
            </w:r>
            <w:r>
              <w:rPr>
                <w:rFonts w:hint="eastAsia"/>
              </w:rPr>
              <w:t xml:space="preserve"> 改进措施未落实的原因：</w:t>
            </w:r>
            <w:r>
              <w:rPr>
                <w:rFonts w:hint="eastAsia"/>
                <w:u w:val="single"/>
              </w:rPr>
              <w:t xml:space="preserve">  计划2021年全年完成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 xml:space="preserve">FSMS更新 </w:t>
            </w:r>
          </w:p>
        </w:tc>
        <w:tc>
          <w:tcPr>
            <w:tcW w:w="1590"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044" w:type="dxa"/>
            <w:shd w:val="clear" w:color="auto" w:fill="FFFFFF" w:themeFill="background1"/>
          </w:tcPr>
          <w:p>
            <w:r>
              <w:rPr>
                <w:rFonts w:hint="eastAsia"/>
              </w:rPr>
              <w:t>范围的确认、资质的确认、管理体系变化情况、监督抽查情况、顾客投诉、认证证书及标识使用情况。</w:t>
            </w:r>
          </w:p>
          <w:p>
            <w:r>
              <w:rPr>
                <w:rFonts w:hint="eastAsia" w:ascii="宋体" w:hAnsi="宋体" w:cs="宋体"/>
                <w:szCs w:val="21"/>
              </w:rPr>
              <w:t>上次不符合的验证</w:t>
            </w:r>
          </w:p>
        </w:tc>
        <w:tc>
          <w:tcPr>
            <w:tcW w:w="952" w:type="dxa"/>
            <w:shd w:val="clear" w:color="auto" w:fill="FFFFFF" w:themeFill="background1"/>
          </w:tcPr>
          <w:p/>
        </w:tc>
        <w:tc>
          <w:tcPr>
            <w:tcW w:w="761" w:type="dxa"/>
            <w:shd w:val="clear" w:color="auto" w:fill="FFFFFF" w:themeFill="background1"/>
          </w:tcPr>
          <w:p/>
        </w:tc>
        <w:tc>
          <w:tcPr>
            <w:tcW w:w="9367" w:type="dxa"/>
            <w:shd w:val="clear" w:color="auto" w:fill="FFFFFF" w:themeFill="background1"/>
          </w:tcPr>
          <w:p>
            <w:pPr>
              <w:spacing w:line="360" w:lineRule="auto"/>
              <w:ind w:firstLine="420" w:firstLineChars="200"/>
              <w:rPr>
                <w:szCs w:val="22"/>
              </w:rPr>
            </w:pPr>
            <w:r>
              <w:rPr>
                <w:rFonts w:hint="eastAsia"/>
                <w:szCs w:val="22"/>
              </w:rPr>
              <w:t>经沟通确认，公司管理体系范围无变化，ISO22000：200</w:t>
            </w:r>
            <w:r>
              <w:rPr>
                <w:rFonts w:hint="eastAsia"/>
                <w:szCs w:val="22"/>
                <w:lang w:val="en-US" w:eastAsia="zh-CN"/>
              </w:rPr>
              <w:t>5</w:t>
            </w:r>
            <w:r>
              <w:rPr>
                <w:rFonts w:hint="eastAsia"/>
                <w:szCs w:val="22"/>
              </w:rPr>
              <w:t>已顺利转版为ISO22000:2018，管理体系已换版。提供组织营业执照，</w:t>
            </w:r>
            <w:r>
              <w:rPr>
                <w:rFonts w:hint="eastAsia"/>
                <w:szCs w:val="22"/>
                <w:lang w:val="en-US" w:eastAsia="zh-CN"/>
              </w:rPr>
              <w:t>涉及法人变更，已收集最新营业执照</w:t>
            </w:r>
            <w:r>
              <w:rPr>
                <w:rFonts w:hint="eastAsia"/>
                <w:szCs w:val="22"/>
              </w:rPr>
              <w:t>。</w:t>
            </w:r>
          </w:p>
          <w:p>
            <w:pPr>
              <w:spacing w:line="360" w:lineRule="auto"/>
              <w:ind w:firstLine="420" w:firstLineChars="200"/>
            </w:pPr>
            <w:r>
              <w:rPr>
                <w:rFonts w:hint="eastAsia"/>
              </w:rPr>
              <w:t>近一年内，公司无重大食品安全投诉，未发生曝光情况。</w:t>
            </w:r>
          </w:p>
          <w:p>
            <w:pPr>
              <w:spacing w:line="360" w:lineRule="auto"/>
              <w:ind w:firstLine="420" w:firstLineChars="200"/>
              <w:rPr>
                <w:rFonts w:hint="default" w:eastAsia="宋体"/>
                <w:lang w:val="en-US" w:eastAsia="zh-CN"/>
              </w:rPr>
            </w:pPr>
            <w:r>
              <w:rPr>
                <w:rFonts w:hint="eastAsia"/>
                <w:lang w:val="en-US" w:eastAsia="zh-CN"/>
              </w:rPr>
              <w:t>经现场验证，上一年开具的不符合情况，今年未再次发生。</w:t>
            </w:r>
          </w:p>
          <w:p>
            <w:pPr>
              <w:spacing w:line="360" w:lineRule="auto"/>
              <w:ind w:firstLine="420" w:firstLineChars="200"/>
            </w:pPr>
            <w:r>
              <w:rPr>
                <w:rFonts w:hint="eastAsia"/>
              </w:rPr>
              <w:t>今年无主管部门监督抽查情况。现场查见认证证书及标识使用情况，符合要求。</w:t>
            </w:r>
          </w:p>
          <w:p/>
        </w:tc>
        <w:tc>
          <w:tcPr>
            <w:tcW w:w="1590" w:type="dxa"/>
            <w:shd w:val="clear" w:color="auto" w:fill="FFFFFF" w:themeFill="background1"/>
          </w:tcPr>
          <w:p>
            <w:r>
              <w:rPr/>
              <w:sym w:font="Wingdings" w:char="00FE"/>
            </w:r>
            <w:r>
              <w:rPr>
                <w:rFonts w:hint="eastAsia"/>
              </w:rPr>
              <w:t>符合</w:t>
            </w:r>
          </w:p>
          <w:p>
            <w:r>
              <w:rPr/>
              <w:sym w:font="Wingdings" w:char="00A8"/>
            </w:r>
            <w:r>
              <w:rPr>
                <w:rFonts w:hint="eastAsia"/>
              </w:rPr>
              <w:t>不符合</w:t>
            </w: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CIDFont+F5">
    <w:altName w:val="宋体"/>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F6"/>
    <w:rsid w:val="00026AD1"/>
    <w:rsid w:val="0003373A"/>
    <w:rsid w:val="000400E2"/>
    <w:rsid w:val="00041A0D"/>
    <w:rsid w:val="00055004"/>
    <w:rsid w:val="00062E46"/>
    <w:rsid w:val="0007137A"/>
    <w:rsid w:val="0007195A"/>
    <w:rsid w:val="000A3DFE"/>
    <w:rsid w:val="000B6D88"/>
    <w:rsid w:val="000D035B"/>
    <w:rsid w:val="000E6B21"/>
    <w:rsid w:val="00103241"/>
    <w:rsid w:val="00110F1B"/>
    <w:rsid w:val="00111F25"/>
    <w:rsid w:val="001126B5"/>
    <w:rsid w:val="00120E8B"/>
    <w:rsid w:val="001215BE"/>
    <w:rsid w:val="00162F05"/>
    <w:rsid w:val="00172A27"/>
    <w:rsid w:val="00187390"/>
    <w:rsid w:val="00187B1F"/>
    <w:rsid w:val="00190C3D"/>
    <w:rsid w:val="001A2D7F"/>
    <w:rsid w:val="001C7916"/>
    <w:rsid w:val="001E2EB9"/>
    <w:rsid w:val="0020258E"/>
    <w:rsid w:val="0024426F"/>
    <w:rsid w:val="00245374"/>
    <w:rsid w:val="00252241"/>
    <w:rsid w:val="00257A9B"/>
    <w:rsid w:val="00275EEE"/>
    <w:rsid w:val="002939AD"/>
    <w:rsid w:val="002F3F1E"/>
    <w:rsid w:val="002F5D15"/>
    <w:rsid w:val="00302C11"/>
    <w:rsid w:val="00307E64"/>
    <w:rsid w:val="00314AF6"/>
    <w:rsid w:val="0033207A"/>
    <w:rsid w:val="00337922"/>
    <w:rsid w:val="00340867"/>
    <w:rsid w:val="00356087"/>
    <w:rsid w:val="003774F0"/>
    <w:rsid w:val="00380621"/>
    <w:rsid w:val="00380837"/>
    <w:rsid w:val="00395BA8"/>
    <w:rsid w:val="003A198A"/>
    <w:rsid w:val="003A6AE8"/>
    <w:rsid w:val="003B0C87"/>
    <w:rsid w:val="00410914"/>
    <w:rsid w:val="00412171"/>
    <w:rsid w:val="004158C2"/>
    <w:rsid w:val="004177C7"/>
    <w:rsid w:val="004263F7"/>
    <w:rsid w:val="00433D0D"/>
    <w:rsid w:val="00470670"/>
    <w:rsid w:val="004724DC"/>
    <w:rsid w:val="0048186C"/>
    <w:rsid w:val="0048201E"/>
    <w:rsid w:val="004932FF"/>
    <w:rsid w:val="004A4B05"/>
    <w:rsid w:val="004D012D"/>
    <w:rsid w:val="004D4C6D"/>
    <w:rsid w:val="004D5BA5"/>
    <w:rsid w:val="004D7166"/>
    <w:rsid w:val="004E7D22"/>
    <w:rsid w:val="005004A4"/>
    <w:rsid w:val="0050288D"/>
    <w:rsid w:val="005158BA"/>
    <w:rsid w:val="00517B9B"/>
    <w:rsid w:val="0052165A"/>
    <w:rsid w:val="00532135"/>
    <w:rsid w:val="00536930"/>
    <w:rsid w:val="00553344"/>
    <w:rsid w:val="00564E53"/>
    <w:rsid w:val="00572483"/>
    <w:rsid w:val="005D5659"/>
    <w:rsid w:val="005E51E5"/>
    <w:rsid w:val="00600C20"/>
    <w:rsid w:val="006155F0"/>
    <w:rsid w:val="00617895"/>
    <w:rsid w:val="00624691"/>
    <w:rsid w:val="006369DF"/>
    <w:rsid w:val="00644FE2"/>
    <w:rsid w:val="00651851"/>
    <w:rsid w:val="006531C3"/>
    <w:rsid w:val="00662771"/>
    <w:rsid w:val="00665F9E"/>
    <w:rsid w:val="0067640C"/>
    <w:rsid w:val="00687B81"/>
    <w:rsid w:val="00693224"/>
    <w:rsid w:val="0069775F"/>
    <w:rsid w:val="006E678B"/>
    <w:rsid w:val="006E7B1D"/>
    <w:rsid w:val="006F14E8"/>
    <w:rsid w:val="00702C49"/>
    <w:rsid w:val="00721923"/>
    <w:rsid w:val="00732BB6"/>
    <w:rsid w:val="00733AF3"/>
    <w:rsid w:val="00737E74"/>
    <w:rsid w:val="0074288D"/>
    <w:rsid w:val="00746CAA"/>
    <w:rsid w:val="00774563"/>
    <w:rsid w:val="007757F3"/>
    <w:rsid w:val="00784061"/>
    <w:rsid w:val="00787C2B"/>
    <w:rsid w:val="007A08D1"/>
    <w:rsid w:val="007A7F3D"/>
    <w:rsid w:val="007A7F92"/>
    <w:rsid w:val="007C1B48"/>
    <w:rsid w:val="007C251F"/>
    <w:rsid w:val="007E050D"/>
    <w:rsid w:val="007E3B15"/>
    <w:rsid w:val="007E6704"/>
    <w:rsid w:val="007E6AEB"/>
    <w:rsid w:val="007F4422"/>
    <w:rsid w:val="00820B94"/>
    <w:rsid w:val="00836A86"/>
    <w:rsid w:val="0086070A"/>
    <w:rsid w:val="00886C33"/>
    <w:rsid w:val="008973EE"/>
    <w:rsid w:val="008B2066"/>
    <w:rsid w:val="008E318D"/>
    <w:rsid w:val="008E686A"/>
    <w:rsid w:val="00905985"/>
    <w:rsid w:val="00930807"/>
    <w:rsid w:val="00937D46"/>
    <w:rsid w:val="00971600"/>
    <w:rsid w:val="00983C02"/>
    <w:rsid w:val="009868DA"/>
    <w:rsid w:val="009973B4"/>
    <w:rsid w:val="009A6186"/>
    <w:rsid w:val="009B79B7"/>
    <w:rsid w:val="009C28C1"/>
    <w:rsid w:val="009E2827"/>
    <w:rsid w:val="009F7EED"/>
    <w:rsid w:val="00A100A4"/>
    <w:rsid w:val="00A30CCE"/>
    <w:rsid w:val="00A63811"/>
    <w:rsid w:val="00A70CC4"/>
    <w:rsid w:val="00A80636"/>
    <w:rsid w:val="00A90839"/>
    <w:rsid w:val="00AB27F9"/>
    <w:rsid w:val="00AC336D"/>
    <w:rsid w:val="00AC7DED"/>
    <w:rsid w:val="00AE1EC1"/>
    <w:rsid w:val="00AE46F3"/>
    <w:rsid w:val="00AF0AAB"/>
    <w:rsid w:val="00AF3571"/>
    <w:rsid w:val="00B15963"/>
    <w:rsid w:val="00B6108C"/>
    <w:rsid w:val="00B81FF6"/>
    <w:rsid w:val="00B97B87"/>
    <w:rsid w:val="00BA746A"/>
    <w:rsid w:val="00BB6E34"/>
    <w:rsid w:val="00BC4A1F"/>
    <w:rsid w:val="00BE01CF"/>
    <w:rsid w:val="00BF597E"/>
    <w:rsid w:val="00BF6290"/>
    <w:rsid w:val="00C2373F"/>
    <w:rsid w:val="00C27764"/>
    <w:rsid w:val="00C41E75"/>
    <w:rsid w:val="00C51A36"/>
    <w:rsid w:val="00C55228"/>
    <w:rsid w:val="00C63768"/>
    <w:rsid w:val="00C650BA"/>
    <w:rsid w:val="00C77034"/>
    <w:rsid w:val="00C82BD2"/>
    <w:rsid w:val="00C96C18"/>
    <w:rsid w:val="00CA78BA"/>
    <w:rsid w:val="00CD5DAA"/>
    <w:rsid w:val="00CE1C9D"/>
    <w:rsid w:val="00CE315A"/>
    <w:rsid w:val="00D06F59"/>
    <w:rsid w:val="00D109E5"/>
    <w:rsid w:val="00D124CD"/>
    <w:rsid w:val="00D15171"/>
    <w:rsid w:val="00D32DD8"/>
    <w:rsid w:val="00D373CE"/>
    <w:rsid w:val="00D55349"/>
    <w:rsid w:val="00D601EF"/>
    <w:rsid w:val="00D62743"/>
    <w:rsid w:val="00D64E7C"/>
    <w:rsid w:val="00D74CBC"/>
    <w:rsid w:val="00D81062"/>
    <w:rsid w:val="00D8388C"/>
    <w:rsid w:val="00DA338E"/>
    <w:rsid w:val="00DC3270"/>
    <w:rsid w:val="00DF0F8A"/>
    <w:rsid w:val="00DF3095"/>
    <w:rsid w:val="00E34551"/>
    <w:rsid w:val="00E45570"/>
    <w:rsid w:val="00E462B7"/>
    <w:rsid w:val="00E6224C"/>
    <w:rsid w:val="00E83EBD"/>
    <w:rsid w:val="00EA37D1"/>
    <w:rsid w:val="00EB0164"/>
    <w:rsid w:val="00EB0AD6"/>
    <w:rsid w:val="00EB34D6"/>
    <w:rsid w:val="00ED0F62"/>
    <w:rsid w:val="00EE5B78"/>
    <w:rsid w:val="00EF30B1"/>
    <w:rsid w:val="00F053D4"/>
    <w:rsid w:val="00F312C9"/>
    <w:rsid w:val="00F32094"/>
    <w:rsid w:val="00F410DB"/>
    <w:rsid w:val="00F44514"/>
    <w:rsid w:val="00F50DAF"/>
    <w:rsid w:val="00F51DFC"/>
    <w:rsid w:val="00F67031"/>
    <w:rsid w:val="00F7511A"/>
    <w:rsid w:val="00F9727B"/>
    <w:rsid w:val="00FB4A35"/>
    <w:rsid w:val="00FB5D06"/>
    <w:rsid w:val="00FD5243"/>
    <w:rsid w:val="00FD7E24"/>
    <w:rsid w:val="00FE1F12"/>
    <w:rsid w:val="00FF2438"/>
    <w:rsid w:val="01260C71"/>
    <w:rsid w:val="01274DB4"/>
    <w:rsid w:val="0148246F"/>
    <w:rsid w:val="01A177D4"/>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4E2389D"/>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6E3805"/>
    <w:rsid w:val="0977604F"/>
    <w:rsid w:val="09933EF9"/>
    <w:rsid w:val="09AA0CA5"/>
    <w:rsid w:val="09DC02FD"/>
    <w:rsid w:val="09FA6045"/>
    <w:rsid w:val="0A0D6F0D"/>
    <w:rsid w:val="0A0F142E"/>
    <w:rsid w:val="0A1C56C1"/>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933901"/>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47866"/>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1B012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44129"/>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BB036D"/>
    <w:rsid w:val="1ACF1254"/>
    <w:rsid w:val="1AE15E13"/>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406C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652AA3"/>
    <w:rsid w:val="21A07B88"/>
    <w:rsid w:val="21A34258"/>
    <w:rsid w:val="21A576DD"/>
    <w:rsid w:val="21B31BF6"/>
    <w:rsid w:val="21D24208"/>
    <w:rsid w:val="21E11F3F"/>
    <w:rsid w:val="21EA5593"/>
    <w:rsid w:val="226B2F60"/>
    <w:rsid w:val="227D2F04"/>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27AD4"/>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6E2027"/>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B345E0"/>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6F1CDE"/>
    <w:rsid w:val="378D2491"/>
    <w:rsid w:val="37A3423F"/>
    <w:rsid w:val="37A66325"/>
    <w:rsid w:val="37AF435B"/>
    <w:rsid w:val="37B82B0E"/>
    <w:rsid w:val="37D8509F"/>
    <w:rsid w:val="380178E9"/>
    <w:rsid w:val="38363F4B"/>
    <w:rsid w:val="385969A9"/>
    <w:rsid w:val="386866FF"/>
    <w:rsid w:val="38803663"/>
    <w:rsid w:val="389A539F"/>
    <w:rsid w:val="38A048C7"/>
    <w:rsid w:val="38B37216"/>
    <w:rsid w:val="38BD5C7F"/>
    <w:rsid w:val="38C5580C"/>
    <w:rsid w:val="38EC325F"/>
    <w:rsid w:val="38F948C4"/>
    <w:rsid w:val="39065B84"/>
    <w:rsid w:val="39286E54"/>
    <w:rsid w:val="39413BE7"/>
    <w:rsid w:val="394A5FEF"/>
    <w:rsid w:val="395956D6"/>
    <w:rsid w:val="398946BB"/>
    <w:rsid w:val="399117DD"/>
    <w:rsid w:val="39972637"/>
    <w:rsid w:val="399B386E"/>
    <w:rsid w:val="39D7104B"/>
    <w:rsid w:val="39DC06E8"/>
    <w:rsid w:val="39FA079B"/>
    <w:rsid w:val="3A34450F"/>
    <w:rsid w:val="3A3E0D9F"/>
    <w:rsid w:val="3A5573DE"/>
    <w:rsid w:val="3AAB1306"/>
    <w:rsid w:val="3AB709D9"/>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88101D"/>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1C0838"/>
    <w:rsid w:val="403F19EE"/>
    <w:rsid w:val="40571F31"/>
    <w:rsid w:val="405F4BF0"/>
    <w:rsid w:val="40760623"/>
    <w:rsid w:val="408B7234"/>
    <w:rsid w:val="40E27AF7"/>
    <w:rsid w:val="40F80D82"/>
    <w:rsid w:val="410251EC"/>
    <w:rsid w:val="410C3893"/>
    <w:rsid w:val="41203044"/>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6D20DE"/>
    <w:rsid w:val="427A1188"/>
    <w:rsid w:val="42942F0B"/>
    <w:rsid w:val="42C02986"/>
    <w:rsid w:val="42C26D29"/>
    <w:rsid w:val="432A5E11"/>
    <w:rsid w:val="433B1167"/>
    <w:rsid w:val="4352128B"/>
    <w:rsid w:val="435F500F"/>
    <w:rsid w:val="43C730CD"/>
    <w:rsid w:val="43CF2854"/>
    <w:rsid w:val="44087BCA"/>
    <w:rsid w:val="44350F69"/>
    <w:rsid w:val="447F43E8"/>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72228"/>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6C1BA5"/>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AB23E7"/>
    <w:rsid w:val="4CB62537"/>
    <w:rsid w:val="4CD2365B"/>
    <w:rsid w:val="4D0F484F"/>
    <w:rsid w:val="4D352804"/>
    <w:rsid w:val="4D374D03"/>
    <w:rsid w:val="4D3F76B9"/>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02769E"/>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B04E17"/>
    <w:rsid w:val="55C375DD"/>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04B1"/>
    <w:rsid w:val="575E2B20"/>
    <w:rsid w:val="57A14CB5"/>
    <w:rsid w:val="57F55B90"/>
    <w:rsid w:val="580F191D"/>
    <w:rsid w:val="581B6507"/>
    <w:rsid w:val="58276F84"/>
    <w:rsid w:val="58310954"/>
    <w:rsid w:val="58584813"/>
    <w:rsid w:val="58876040"/>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AC1A52"/>
    <w:rsid w:val="5AD64AF2"/>
    <w:rsid w:val="5AF377C8"/>
    <w:rsid w:val="5B0449BC"/>
    <w:rsid w:val="5B513157"/>
    <w:rsid w:val="5B517209"/>
    <w:rsid w:val="5B534520"/>
    <w:rsid w:val="5B544EB3"/>
    <w:rsid w:val="5B6A33DD"/>
    <w:rsid w:val="5B7C5AEB"/>
    <w:rsid w:val="5BA144BF"/>
    <w:rsid w:val="5BD84182"/>
    <w:rsid w:val="5BF04FFA"/>
    <w:rsid w:val="5C241AEE"/>
    <w:rsid w:val="5C4D2649"/>
    <w:rsid w:val="5C6F6375"/>
    <w:rsid w:val="5C741B1E"/>
    <w:rsid w:val="5C8A22BA"/>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86ED5"/>
    <w:rsid w:val="61744854"/>
    <w:rsid w:val="61857CB5"/>
    <w:rsid w:val="619A179D"/>
    <w:rsid w:val="61C47B95"/>
    <w:rsid w:val="61E77A7E"/>
    <w:rsid w:val="61EE7A69"/>
    <w:rsid w:val="62257ECD"/>
    <w:rsid w:val="622A4138"/>
    <w:rsid w:val="62385483"/>
    <w:rsid w:val="62385A6C"/>
    <w:rsid w:val="625901DA"/>
    <w:rsid w:val="62876D77"/>
    <w:rsid w:val="62CA4AF4"/>
    <w:rsid w:val="62E4371E"/>
    <w:rsid w:val="62FD1DFD"/>
    <w:rsid w:val="632045D1"/>
    <w:rsid w:val="6342544F"/>
    <w:rsid w:val="63645E75"/>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0C192E"/>
    <w:rsid w:val="6542498D"/>
    <w:rsid w:val="655D358A"/>
    <w:rsid w:val="65600ACC"/>
    <w:rsid w:val="65662197"/>
    <w:rsid w:val="658C79F9"/>
    <w:rsid w:val="65A33DF6"/>
    <w:rsid w:val="65B451D1"/>
    <w:rsid w:val="65BD4108"/>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567A54"/>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EC03CE"/>
    <w:rsid w:val="69F96768"/>
    <w:rsid w:val="6A176492"/>
    <w:rsid w:val="6A287F98"/>
    <w:rsid w:val="6A617707"/>
    <w:rsid w:val="6A657B3D"/>
    <w:rsid w:val="6A68684F"/>
    <w:rsid w:val="6A886720"/>
    <w:rsid w:val="6AB40496"/>
    <w:rsid w:val="6ABD1D5E"/>
    <w:rsid w:val="6AC0289E"/>
    <w:rsid w:val="6AF33939"/>
    <w:rsid w:val="6B0F60AF"/>
    <w:rsid w:val="6B795D62"/>
    <w:rsid w:val="6B894EA4"/>
    <w:rsid w:val="6B981EF4"/>
    <w:rsid w:val="6BC747F5"/>
    <w:rsid w:val="6BD35CE4"/>
    <w:rsid w:val="6BF1529E"/>
    <w:rsid w:val="6BF66D35"/>
    <w:rsid w:val="6C1272FC"/>
    <w:rsid w:val="6C2B02FA"/>
    <w:rsid w:val="6C3014BE"/>
    <w:rsid w:val="6C38001D"/>
    <w:rsid w:val="6C5D414F"/>
    <w:rsid w:val="6C77423E"/>
    <w:rsid w:val="6C9C2F85"/>
    <w:rsid w:val="6C9D6944"/>
    <w:rsid w:val="6CDE17FD"/>
    <w:rsid w:val="6CF21452"/>
    <w:rsid w:val="6D1D2C91"/>
    <w:rsid w:val="6D232D3C"/>
    <w:rsid w:val="6D2F5D1E"/>
    <w:rsid w:val="6D5B4A2E"/>
    <w:rsid w:val="6D792112"/>
    <w:rsid w:val="6DA004EB"/>
    <w:rsid w:val="6DA16646"/>
    <w:rsid w:val="6DE309B5"/>
    <w:rsid w:val="6DFC47DD"/>
    <w:rsid w:val="6E641038"/>
    <w:rsid w:val="6EB36C33"/>
    <w:rsid w:val="6EBD0EA6"/>
    <w:rsid w:val="6EBF38BA"/>
    <w:rsid w:val="6EE97CE2"/>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17D5E"/>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4663B44"/>
    <w:rsid w:val="753E2D2E"/>
    <w:rsid w:val="753F2F7D"/>
    <w:rsid w:val="75A744DB"/>
    <w:rsid w:val="75CD0955"/>
    <w:rsid w:val="75DB13A5"/>
    <w:rsid w:val="75E552E3"/>
    <w:rsid w:val="76190159"/>
    <w:rsid w:val="76346E4E"/>
    <w:rsid w:val="7648538B"/>
    <w:rsid w:val="76531223"/>
    <w:rsid w:val="765D1805"/>
    <w:rsid w:val="7663632F"/>
    <w:rsid w:val="76640645"/>
    <w:rsid w:val="767E47F6"/>
    <w:rsid w:val="7692158A"/>
    <w:rsid w:val="76BD747C"/>
    <w:rsid w:val="76CD52EB"/>
    <w:rsid w:val="76FE004A"/>
    <w:rsid w:val="77951354"/>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21206"/>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CE5D2C"/>
    <w:rsid w:val="7AF6556E"/>
    <w:rsid w:val="7B1F77A4"/>
    <w:rsid w:val="7B292799"/>
    <w:rsid w:val="7B3F5420"/>
    <w:rsid w:val="7BCF2874"/>
    <w:rsid w:val="7C0471A6"/>
    <w:rsid w:val="7C090682"/>
    <w:rsid w:val="7C27141B"/>
    <w:rsid w:val="7C42064D"/>
    <w:rsid w:val="7C6A6CA8"/>
    <w:rsid w:val="7CB31FBB"/>
    <w:rsid w:val="7CE34119"/>
    <w:rsid w:val="7CEC5EE7"/>
    <w:rsid w:val="7CED21D3"/>
    <w:rsid w:val="7CF04E00"/>
    <w:rsid w:val="7D41026F"/>
    <w:rsid w:val="7D59343F"/>
    <w:rsid w:val="7D67119E"/>
    <w:rsid w:val="7D6C098F"/>
    <w:rsid w:val="7DA65D72"/>
    <w:rsid w:val="7DB8415C"/>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1"/>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libri Light" w:hAnsi="Calibri Light"/>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2"/>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text|1"/>
    <w:basedOn w:val="1"/>
    <w:qFormat/>
    <w:uiPriority w:val="0"/>
    <w:pPr>
      <w:spacing w:after="80"/>
    </w:pPr>
    <w:rPr>
      <w:rFonts w:ascii="MingLiU" w:hAnsi="MingLiU" w:eastAsia="MingLiU" w:cs="MingLiU"/>
      <w:sz w:val="20"/>
      <w:lang w:val="zh-TW" w:eastAsia="zh-TW" w:bidi="zh-TW"/>
    </w:rPr>
  </w:style>
  <w:style w:type="paragraph" w:customStyle="1" w:styleId="1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F1E59-BBF0-48E0-BCDC-054A8A3E95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1197</Words>
  <Characters>6827</Characters>
  <Lines>56</Lines>
  <Paragraphs>16</Paragraphs>
  <TotalTime>3</TotalTime>
  <ScaleCrop>false</ScaleCrop>
  <LinksUpToDate>false</LinksUpToDate>
  <CharactersWithSpaces>8008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2021-08-03T15:07:20Z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51FC5124BB1D4C279B9B9C1EF0C4414B</vt:lpwstr>
  </property>
</Properties>
</file>