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陕西皇嘉物业管理有限公司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24001-2016/ISO14001:2015,Q：GB/T19001-2016/ISO9001:2015,O：GB/T45001-2020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陕西皇嘉物业管理有限公司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陕西省咸阳市武功县普集镇皇嘉花苑小区内</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712299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陕西省咸阳市武功县普集镇皇嘉花苑小区内</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712299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刘亚兰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18740309493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王肖栋</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ind w:firstLine="402" w:firstLineChars="200"/>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杨爱梅</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杨爱梅</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E：物业管理服务所涉及场所的相关环境管理活动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Q：物业管理服务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Q：35.15.00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初审不涉及</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b/>
                <w:color w:val="auto"/>
                <w:sz w:val="20"/>
                <w:szCs w:val="20"/>
                <w:lang w:val="en-US" w:eastAsia="zh-CN"/>
              </w:rPr>
            </w:pPr>
            <w:r>
              <w:rPr>
                <w:rFonts w:hint="eastAsia" w:ascii="宋体" w:hAnsi="宋体"/>
                <w:b/>
                <w:color w:val="auto"/>
                <w:sz w:val="20"/>
                <w:szCs w:val="20"/>
              </w:rPr>
              <w:t>管理层</w:t>
            </w:r>
          </w:p>
        </w:tc>
        <w:tc>
          <w:tcPr>
            <w:tcW w:w="6804" w:type="dxa"/>
            <w:vAlign w:val="top"/>
          </w:tcPr>
          <w:p>
            <w:pPr>
              <w:keepNext w:val="0"/>
              <w:keepLines w:val="0"/>
              <w:suppressLineNumbers w:val="0"/>
              <w:spacing w:before="0" w:beforeAutospacing="0" w:after="0" w:afterAutospacing="0"/>
              <w:ind w:left="0" w:right="0"/>
              <w:jc w:val="left"/>
              <w:rPr>
                <w:rFonts w:hint="default" w:ascii="宋体" w:hAnsi="宋体"/>
                <w:b/>
                <w:color w:val="auto"/>
                <w:sz w:val="20"/>
                <w:szCs w:val="20"/>
              </w:rPr>
            </w:pPr>
            <w:r>
              <w:rPr>
                <w:rFonts w:hint="eastAsia" w:ascii="宋体" w:hAnsi="宋体"/>
                <w:b/>
                <w:color w:val="auto"/>
                <w:sz w:val="20"/>
                <w:szCs w:val="20"/>
              </w:rPr>
              <w:t>主要负责公司管理体系策划；负责公司管理体系方针、目标的制定</w:t>
            </w:r>
          </w:p>
          <w:p>
            <w:pPr>
              <w:keepNext w:val="0"/>
              <w:keepLines w:val="0"/>
              <w:suppressLineNumbers w:val="0"/>
              <w:spacing w:before="0" w:beforeAutospacing="0" w:after="0" w:afterAutospacing="0"/>
              <w:ind w:left="0" w:right="0"/>
              <w:jc w:val="left"/>
              <w:rPr>
                <w:rFonts w:hint="default" w:ascii="宋体" w:hAnsi="宋体"/>
                <w:b/>
                <w:color w:val="auto"/>
                <w:sz w:val="20"/>
                <w:szCs w:val="20"/>
              </w:rPr>
            </w:pPr>
            <w:r>
              <w:rPr>
                <w:rFonts w:hint="eastAsia" w:ascii="宋体" w:hAnsi="宋体"/>
                <w:b/>
                <w:color w:val="auto"/>
                <w:sz w:val="20"/>
                <w:szCs w:val="20"/>
              </w:rPr>
              <w:t>负责公司管理体系管理评审主持、评审等；负责公司管理体系资源提供</w:t>
            </w:r>
          </w:p>
          <w:p>
            <w:pPr>
              <w:keepNext w:val="0"/>
              <w:keepLines w:val="0"/>
              <w:suppressLineNumbers w:val="0"/>
              <w:spacing w:before="0" w:beforeAutospacing="0" w:after="0" w:afterAutospacing="0"/>
              <w:ind w:left="0" w:leftChars="0" w:right="0" w:rightChars="0"/>
              <w:jc w:val="left"/>
              <w:rPr>
                <w:rFonts w:ascii="宋体" w:hAnsi="宋体"/>
                <w:b/>
                <w:color w:val="auto"/>
                <w:spacing w:val="-20"/>
                <w:sz w:val="20"/>
                <w:szCs w:val="20"/>
                <w:u w:val="single"/>
              </w:rPr>
            </w:pPr>
            <w:r>
              <w:rPr>
                <w:rFonts w:hint="eastAsia" w:ascii="宋体" w:hAnsi="宋体"/>
                <w:b/>
                <w:color w:val="auto"/>
                <w:sz w:val="20"/>
                <w:szCs w:val="20"/>
              </w:rPr>
              <w:t>管控公司管理体系风险和机遇等。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b/>
                <w:color w:val="auto"/>
                <w:sz w:val="20"/>
                <w:szCs w:val="20"/>
                <w:lang w:val="en-US" w:eastAsia="zh-CN"/>
              </w:rPr>
            </w:pPr>
            <w:r>
              <w:rPr>
                <w:rFonts w:hint="eastAsia" w:ascii="宋体" w:hAnsi="宋体"/>
                <w:b/>
                <w:color w:val="auto"/>
                <w:sz w:val="20"/>
                <w:szCs w:val="20"/>
                <w:lang w:val="en-US" w:eastAsia="zh-CN"/>
              </w:rPr>
              <w:t>办公室</w:t>
            </w:r>
          </w:p>
        </w:tc>
        <w:tc>
          <w:tcPr>
            <w:tcW w:w="6804" w:type="dxa"/>
            <w:vAlign w:val="top"/>
          </w:tcPr>
          <w:p>
            <w:pPr>
              <w:keepNext w:val="0"/>
              <w:keepLines w:val="0"/>
              <w:suppressLineNumbers w:val="0"/>
              <w:spacing w:before="0" w:beforeAutospacing="0" w:after="0" w:afterAutospacing="0"/>
              <w:ind w:left="0" w:leftChars="0" w:right="0" w:rightChars="0"/>
              <w:jc w:val="left"/>
              <w:rPr>
                <w:rFonts w:ascii="宋体" w:hAnsi="宋体"/>
                <w:b/>
                <w:color w:val="auto"/>
                <w:spacing w:val="-20"/>
                <w:sz w:val="20"/>
                <w:szCs w:val="20"/>
                <w:u w:val="single"/>
              </w:rPr>
            </w:pPr>
            <w:r>
              <w:rPr>
                <w:rFonts w:hint="eastAsia" w:ascii="宋体" w:hAnsi="宋体"/>
                <w:b/>
                <w:color w:val="auto"/>
                <w:sz w:val="20"/>
                <w:szCs w:val="20"/>
              </w:rPr>
              <w:t>方针、目标管理；文件、记录控制程；管理评审；内审管理；人员、部门职能职责和权限；采购管理；风险识别评价管理；环境因素识别评价管理。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3119" w:type="dxa"/>
            <w:vAlign w:val="top"/>
          </w:tcPr>
          <w:p>
            <w:pPr>
              <w:keepNext w:val="0"/>
              <w:keepLines w:val="0"/>
              <w:suppressLineNumbers w:val="0"/>
              <w:spacing w:before="0" w:beforeAutospacing="0" w:after="0" w:afterAutospacing="0"/>
              <w:ind w:left="0" w:leftChars="0" w:right="0" w:rightChars="0"/>
              <w:jc w:val="center"/>
              <w:rPr>
                <w:rFonts w:hint="eastAsia" w:ascii="宋体" w:hAnsi="宋体"/>
                <w:b/>
                <w:color w:val="auto"/>
                <w:sz w:val="20"/>
                <w:szCs w:val="20"/>
                <w:lang w:val="en-US" w:eastAsia="zh-CN"/>
              </w:rPr>
            </w:pPr>
            <w:r>
              <w:rPr>
                <w:rFonts w:hint="eastAsia" w:ascii="宋体" w:hAnsi="宋体"/>
                <w:b/>
                <w:color w:val="auto"/>
                <w:sz w:val="20"/>
                <w:szCs w:val="20"/>
                <w:lang w:val="en-US" w:eastAsia="zh-CN"/>
              </w:rPr>
              <w:t>项目管理</w:t>
            </w:r>
            <w:r>
              <w:rPr>
                <w:rFonts w:hint="eastAsia" w:ascii="宋体" w:hAnsi="宋体"/>
                <w:b/>
                <w:color w:val="auto"/>
                <w:sz w:val="20"/>
                <w:szCs w:val="20"/>
              </w:rPr>
              <w:t>部</w:t>
            </w:r>
            <w:r>
              <w:rPr>
                <w:rFonts w:hint="eastAsia" w:ascii="宋体" w:hAnsi="宋体"/>
                <w:b/>
                <w:color w:val="auto"/>
                <w:sz w:val="20"/>
                <w:szCs w:val="20"/>
                <w:lang w:eastAsia="zh-CN"/>
              </w:rPr>
              <w:t>（</w:t>
            </w:r>
            <w:r>
              <w:rPr>
                <w:rFonts w:hint="eastAsia" w:ascii="宋体" w:hAnsi="宋体"/>
                <w:b/>
                <w:color w:val="auto"/>
                <w:sz w:val="20"/>
                <w:szCs w:val="20"/>
                <w:lang w:val="en-US" w:eastAsia="zh-CN"/>
              </w:rPr>
              <w:t>及项目部</w:t>
            </w:r>
            <w:r>
              <w:rPr>
                <w:rFonts w:hint="eastAsia" w:ascii="宋体" w:hAnsi="宋体"/>
                <w:b/>
                <w:color w:val="auto"/>
                <w:sz w:val="20"/>
                <w:szCs w:val="20"/>
                <w:lang w:eastAsia="zh-CN"/>
              </w:rPr>
              <w:t>）</w:t>
            </w:r>
          </w:p>
          <w:p>
            <w:pPr>
              <w:keepNext w:val="0"/>
              <w:keepLines w:val="0"/>
              <w:suppressLineNumbers w:val="0"/>
              <w:spacing w:before="0" w:beforeAutospacing="0" w:after="0" w:afterAutospacing="0"/>
              <w:ind w:left="0" w:leftChars="0" w:right="0" w:rightChars="0"/>
              <w:jc w:val="center"/>
              <w:rPr>
                <w:rFonts w:ascii="宋体" w:hAnsi="宋体"/>
                <w:b/>
                <w:color w:val="auto"/>
                <w:sz w:val="20"/>
                <w:szCs w:val="20"/>
              </w:rPr>
            </w:pPr>
          </w:p>
        </w:tc>
        <w:tc>
          <w:tcPr>
            <w:tcW w:w="6804" w:type="dxa"/>
            <w:tcBorders/>
            <w:vAlign w:val="top"/>
          </w:tcPr>
          <w:p>
            <w:pPr>
              <w:keepNext w:val="0"/>
              <w:keepLines w:val="0"/>
              <w:suppressLineNumbers w:val="0"/>
              <w:spacing w:before="0" w:beforeAutospacing="0" w:after="0" w:afterAutospacing="0"/>
              <w:ind w:left="0" w:leftChars="0" w:right="0" w:rightChars="0"/>
              <w:jc w:val="left"/>
              <w:rPr>
                <w:rFonts w:hint="eastAsia" w:ascii="宋体" w:hAnsi="宋体"/>
                <w:b/>
                <w:color w:val="auto"/>
                <w:sz w:val="20"/>
                <w:szCs w:val="20"/>
              </w:rPr>
            </w:pPr>
            <w:r>
              <w:rPr>
                <w:rFonts w:hint="eastAsia" w:ascii="宋体" w:hAnsi="宋体"/>
                <w:b/>
                <w:color w:val="auto"/>
                <w:sz w:val="20"/>
                <w:szCs w:val="20"/>
              </w:rPr>
              <w:t>合同管理；产品验收管理；服务过程管理；采购管理。</w:t>
            </w:r>
          </w:p>
          <w:p>
            <w:pPr>
              <w:keepNext w:val="0"/>
              <w:keepLines w:val="0"/>
              <w:suppressLineNumbers w:val="0"/>
              <w:spacing w:before="0" w:beforeAutospacing="0" w:after="0" w:afterAutospacing="0"/>
              <w:ind w:left="0" w:leftChars="0" w:right="0" w:rightChars="0"/>
              <w:jc w:val="left"/>
              <w:rPr>
                <w:rFonts w:ascii="宋体" w:hAnsi="宋体"/>
                <w:b/>
                <w:color w:val="auto"/>
                <w:spacing w:val="-20"/>
                <w:sz w:val="20"/>
                <w:szCs w:val="20"/>
                <w:u w:val="single"/>
              </w:rPr>
            </w:pPr>
            <w:r>
              <w:rPr>
                <w:rFonts w:hint="eastAsia" w:ascii="宋体" w:hAnsi="宋体"/>
                <w:b/>
                <w:color w:val="auto"/>
                <w:sz w:val="20"/>
                <w:szCs w:val="20"/>
              </w:rPr>
              <w:t>不合格品控制；纠正和预防措施控制；产品验收管理；监视和测量设备管理；设备设施管理。策划管理；过程监控</w:t>
            </w:r>
            <w:r>
              <w:rPr>
                <w:rFonts w:hint="eastAsia" w:ascii="宋体" w:hAnsi="宋体"/>
                <w:b/>
                <w:color w:val="auto"/>
                <w:sz w:val="20"/>
                <w:szCs w:val="20"/>
                <w:u w:val="none"/>
              </w:rPr>
              <w:t>管理</w:t>
            </w:r>
            <w:r>
              <w:rPr>
                <w:rFonts w:hint="eastAsia" w:ascii="宋体" w:hAnsi="宋体"/>
                <w:b/>
                <w:color w:val="auto"/>
                <w:spacing w:val="-20"/>
                <w:sz w:val="20"/>
                <w:szCs w:val="20"/>
                <w:u w:val="none"/>
              </w:rPr>
              <w:t>设备设施、工作环境、监视和测量资源、工程项目策划实施及放行等控制</w:t>
            </w:r>
            <w:r>
              <w:rPr>
                <w:rFonts w:hint="eastAsia" w:ascii="宋体" w:hAnsi="宋体"/>
                <w:b/>
                <w:color w:val="auto"/>
                <w:spacing w:val="-20"/>
                <w:sz w:val="20"/>
                <w:szCs w:val="20"/>
                <w:u w:val="none"/>
                <w:lang w:eastAsia="zh-CN"/>
              </w:rPr>
              <w:t>；与</w:t>
            </w:r>
            <w:r>
              <w:rPr>
                <w:rFonts w:hint="eastAsia" w:ascii="宋体" w:hAnsi="宋体"/>
                <w:b/>
                <w:color w:val="auto"/>
                <w:spacing w:val="-20"/>
                <w:sz w:val="20"/>
                <w:szCs w:val="20"/>
                <w:u w:val="none"/>
                <w:lang w:val="en-US" w:eastAsia="zh-CN"/>
              </w:rPr>
              <w:t>物业服务</w:t>
            </w:r>
            <w:r>
              <w:rPr>
                <w:rFonts w:hint="eastAsia" w:ascii="宋体" w:hAnsi="宋体"/>
                <w:b/>
                <w:color w:val="auto"/>
                <w:spacing w:val="-20"/>
                <w:sz w:val="20"/>
                <w:szCs w:val="20"/>
                <w:u w:val="none"/>
                <w:lang w:eastAsia="zh-CN"/>
              </w:rPr>
              <w:t>有关设计运行控制，负责</w:t>
            </w:r>
            <w:r>
              <w:rPr>
                <w:rFonts w:hint="eastAsia" w:ascii="宋体" w:hAnsi="宋体"/>
                <w:b/>
                <w:color w:val="auto"/>
                <w:spacing w:val="-20"/>
                <w:sz w:val="20"/>
                <w:szCs w:val="20"/>
                <w:u w:val="none"/>
                <w:lang w:val="en-US" w:eastAsia="zh-CN"/>
              </w:rPr>
              <w:t>物业服务</w:t>
            </w:r>
            <w:r>
              <w:rPr>
                <w:rFonts w:hint="eastAsia" w:ascii="宋体" w:hAnsi="宋体"/>
                <w:b/>
                <w:color w:val="auto"/>
                <w:spacing w:val="-20"/>
                <w:sz w:val="20"/>
                <w:szCs w:val="20"/>
                <w:u w:val="none"/>
                <w:lang w:eastAsia="zh-CN"/>
              </w:rPr>
              <w:t>的环境因素识别、评价和危险源辨识、风险评价及风险控制；负责全公司员工职业健康安全防护的管理，以及环境控制设施的配置标准及监督检查；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b/>
                <w:color w:val="000000" w:themeColor="text1"/>
                <w:szCs w:val="21"/>
                <w:lang w:val="en-US" w:eastAsia="zh-CN"/>
              </w:rPr>
            </w:pPr>
            <w:r>
              <w:rPr>
                <w:rFonts w:hint="eastAsia" w:ascii="宋体" w:hAnsi="宋体"/>
                <w:b/>
                <w:color w:val="000000" w:themeColor="text1"/>
                <w:sz w:val="20"/>
                <w:szCs w:val="20"/>
              </w:rPr>
              <w:t>财务</w:t>
            </w:r>
            <w:r>
              <w:rPr>
                <w:rFonts w:hint="eastAsia" w:ascii="宋体" w:hAnsi="宋体"/>
                <w:b/>
                <w:color w:val="000000" w:themeColor="text1"/>
                <w:sz w:val="20"/>
                <w:szCs w:val="20"/>
                <w:lang w:val="en-US" w:eastAsia="zh-CN"/>
              </w:rPr>
              <w:t>室</w:t>
            </w:r>
          </w:p>
        </w:tc>
        <w:tc>
          <w:tcPr>
            <w:tcW w:w="6804" w:type="dxa"/>
            <w:vAlign w:val="top"/>
          </w:tcPr>
          <w:p>
            <w:pPr>
              <w:keepNext w:val="0"/>
              <w:keepLines w:val="0"/>
              <w:suppressLineNumbers w:val="0"/>
              <w:spacing w:before="0" w:beforeAutospacing="0" w:after="0" w:afterAutospacing="0"/>
              <w:ind w:left="0" w:leftChars="0" w:right="0" w:rightChars="0"/>
              <w:jc w:val="left"/>
              <w:rPr>
                <w:rFonts w:ascii="宋体" w:hAnsi="宋体"/>
                <w:b/>
                <w:color w:val="000000" w:themeColor="text1"/>
                <w:spacing w:val="-20"/>
                <w:szCs w:val="21"/>
                <w:u w:val="single"/>
              </w:rPr>
            </w:pPr>
            <w:r>
              <w:rPr>
                <w:rFonts w:hint="eastAsia" w:ascii="宋体" w:hAnsi="宋体"/>
                <w:b/>
                <w:color w:val="000000" w:themeColor="text1"/>
                <w:spacing w:val="-20"/>
                <w:sz w:val="20"/>
                <w:szCs w:val="20"/>
                <w:u w:val="single"/>
              </w:rPr>
              <w:t>环境和职业健康安全资金管理。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物业管理</w:t>
            </w:r>
          </w:p>
        </w:tc>
        <w:tc>
          <w:tcPr>
            <w:tcW w:w="2519" w:type="dxa"/>
          </w:tcPr>
          <w:p>
            <w:pPr>
              <w:rPr>
                <w:rFonts w:hint="default"/>
                <w:b/>
                <w:color w:val="000000" w:themeColor="text1"/>
                <w:sz w:val="20"/>
                <w:szCs w:val="20"/>
                <w:lang w:val="en-US"/>
              </w:rPr>
            </w:pPr>
            <w:r>
              <w:rPr>
                <w:rFonts w:hint="eastAsia"/>
                <w:b/>
                <w:color w:val="000000" w:themeColor="text1"/>
                <w:sz w:val="20"/>
                <w:szCs w:val="20"/>
                <w:lang w:val="en-US" w:eastAsia="zh-CN"/>
              </w:rPr>
              <w:t>物业管理服务</w:t>
            </w:r>
          </w:p>
        </w:tc>
        <w:tc>
          <w:tcPr>
            <w:tcW w:w="1843" w:type="dxa"/>
          </w:tcPr>
          <w:p>
            <w:pPr>
              <w:rPr>
                <w:b/>
                <w:color w:val="000000" w:themeColor="text1"/>
                <w:sz w:val="20"/>
                <w:szCs w:val="20"/>
              </w:rPr>
            </w:pPr>
          </w:p>
        </w:tc>
        <w:tc>
          <w:tcPr>
            <w:tcW w:w="3543" w:type="dxa"/>
          </w:tcPr>
          <w:tbl>
            <w:tblPr>
              <w:tblStyle w:val="8"/>
              <w:tblW w:w="4306" w:type="dxa"/>
              <w:tblInd w:w="-20" w:type="dxa"/>
              <w:shd w:val="clear" w:color="auto" w:fill="auto"/>
              <w:tblLayout w:type="fixed"/>
              <w:tblCellMar>
                <w:top w:w="0" w:type="dxa"/>
                <w:left w:w="108" w:type="dxa"/>
                <w:bottom w:w="0" w:type="dxa"/>
                <w:right w:w="108" w:type="dxa"/>
              </w:tblCellMar>
            </w:tblPr>
            <w:tblGrid>
              <w:gridCol w:w="3229"/>
            </w:tblGrid>
            <w:tr>
              <w:tblPrEx>
                <w:shd w:val="clear" w:color="auto" w:fill="auto"/>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住宅物业消防安全管理</w:t>
                  </w:r>
                </w:p>
              </w:tc>
            </w:tr>
            <w:tr>
              <w:tblPrEx>
                <w:tblCellMar>
                  <w:top w:w="0" w:type="dxa"/>
                  <w:left w:w="108" w:type="dxa"/>
                  <w:bottom w:w="0" w:type="dxa"/>
                  <w:right w:w="108" w:type="dxa"/>
                </w:tblCellMar>
              </w:tblPrEx>
              <w:trPr>
                <w:trHeight w:val="76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建筑及居住区数字化技术应用</w:t>
                  </w:r>
                  <w:r>
                    <w:rPr>
                      <w:rStyle w:val="20"/>
                      <w:rFonts w:eastAsia="宋体"/>
                      <w:lang w:val="en-US" w:eastAsia="zh-CN" w:bidi="ar"/>
                    </w:rPr>
                    <w:t xml:space="preserve"> </w:t>
                  </w:r>
                  <w:r>
                    <w:rPr>
                      <w:rStyle w:val="21"/>
                      <w:lang w:val="en-US" w:eastAsia="zh-CN" w:bidi="ar"/>
                    </w:rPr>
                    <w:t>第</w:t>
                  </w:r>
                  <w:r>
                    <w:rPr>
                      <w:rStyle w:val="20"/>
                      <w:rFonts w:eastAsia="宋体"/>
                      <w:lang w:val="en-US" w:eastAsia="zh-CN" w:bidi="ar"/>
                    </w:rPr>
                    <w:t>3</w:t>
                  </w:r>
                  <w:r>
                    <w:rPr>
                      <w:rStyle w:val="21"/>
                      <w:lang w:val="en-US" w:eastAsia="zh-CN" w:bidi="ar"/>
                    </w:rPr>
                    <w:t>部分：物业管理</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社区服务指南</w:t>
                  </w:r>
                  <w:r>
                    <w:rPr>
                      <w:rStyle w:val="22"/>
                      <w:rFonts w:eastAsia="宋体"/>
                      <w:lang w:val="en-US" w:eastAsia="zh-CN" w:bidi="ar"/>
                    </w:rPr>
                    <w:t xml:space="preserve"> </w:t>
                  </w:r>
                  <w:r>
                    <w:rPr>
                      <w:rStyle w:val="21"/>
                      <w:lang w:val="en-US" w:eastAsia="zh-CN" w:bidi="ar"/>
                    </w:rPr>
                    <w:t>第</w:t>
                  </w:r>
                  <w:r>
                    <w:rPr>
                      <w:rStyle w:val="22"/>
                      <w:rFonts w:eastAsia="宋体"/>
                      <w:lang w:val="en-US" w:eastAsia="zh-CN" w:bidi="ar"/>
                    </w:rPr>
                    <w:t>9</w:t>
                  </w:r>
                  <w:r>
                    <w:rPr>
                      <w:rStyle w:val="21"/>
                      <w:lang w:val="en-US" w:eastAsia="zh-CN" w:bidi="ar"/>
                    </w:rPr>
                    <w:t>部分：物业服务</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物业承接查验办法</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物业服务收费明码标价规定</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普通住宅小区物业管理服务等级标准</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全国物业管理示范小区（大厦、工业区）标准及评分细则</w:t>
                  </w:r>
                </w:p>
              </w:tc>
            </w:tr>
            <w:tr>
              <w:tblPrEx>
                <w:shd w:val="clear" w:color="auto" w:fill="auto"/>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公安部高层建筑消防管理规则</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电梯应急指南</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城市建筑垃圾管理规定</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城市生活垃圾管理办法</w:t>
                  </w:r>
                </w:p>
              </w:tc>
            </w:tr>
            <w:tr>
              <w:tblPrEx>
                <w:shd w:val="clear" w:color="auto" w:fill="auto"/>
                <w:tblCellMar>
                  <w:top w:w="0" w:type="dxa"/>
                  <w:left w:w="108" w:type="dxa"/>
                  <w:bottom w:w="0" w:type="dxa"/>
                  <w:right w:w="108" w:type="dxa"/>
                </w:tblCellMar>
              </w:tblPrEx>
              <w:trPr>
                <w:trHeight w:val="61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生活饮用水卫生标准</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中华人民共和国物权法</w:t>
                  </w:r>
                </w:p>
              </w:tc>
            </w:tr>
            <w:tr>
              <w:tblPrEx>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住宅室内装饰装修管理办法</w:t>
                  </w:r>
                </w:p>
              </w:tc>
            </w:tr>
            <w:tr>
              <w:tblPrEx>
                <w:shd w:val="clear" w:color="auto" w:fill="auto"/>
                <w:tblCellMar>
                  <w:top w:w="0" w:type="dxa"/>
                  <w:left w:w="108" w:type="dxa"/>
                  <w:bottom w:w="0" w:type="dxa"/>
                  <w:right w:w="108" w:type="dxa"/>
                </w:tblCellMar>
              </w:tblPrEx>
              <w:trPr>
                <w:trHeight w:val="440" w:hRule="atLeast"/>
              </w:trPr>
              <w:tc>
                <w:tcPr>
                  <w:tcW w:w="4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城市绿化条例</w:t>
                  </w:r>
                  <w:r>
                    <w:rPr>
                      <w:rFonts w:hint="eastAsia" w:ascii="宋体" w:hAnsi="宋体" w:cs="宋体"/>
                      <w:i w:val="0"/>
                      <w:iCs w:val="0"/>
                      <w:color w:val="000000"/>
                      <w:kern w:val="0"/>
                      <w:sz w:val="21"/>
                      <w:szCs w:val="21"/>
                      <w:u w:val="none"/>
                      <w:lang w:val="en-US" w:eastAsia="zh-CN" w:bidi="ar"/>
                    </w:rPr>
                    <w:t>等</w:t>
                  </w:r>
                </w:p>
              </w:tc>
            </w:tr>
          </w:tbl>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b/>
                <w:bCs w:val="0"/>
                <w:sz w:val="21"/>
                <w:szCs w:val="21"/>
              </w:rPr>
            </w:pPr>
            <w:r>
              <w:rPr>
                <w:rFonts w:hint="eastAsia"/>
                <w:b/>
                <w:bCs w:val="0"/>
                <w:sz w:val="21"/>
                <w:szCs w:val="21"/>
              </w:rPr>
              <w:t>相关方需求和期望识别情况</w:t>
            </w:r>
          </w:p>
          <w:p>
            <w:pPr>
              <w:rPr>
                <w:b/>
                <w:bCs w:val="0"/>
                <w:sz w:val="21"/>
                <w:szCs w:val="21"/>
              </w:rPr>
            </w:pPr>
            <w:r>
              <w:rPr>
                <w:rFonts w:hint="eastAsia"/>
                <w:b/>
                <w:bCs w:val="0"/>
                <w:sz w:val="21"/>
                <w:szCs w:val="21"/>
              </w:rPr>
              <w:t>在公司运营过程中充分考虑相关方方面的期望或要求，识别的相关方有：顾客、最终用户或受益人、业主，股东、员工等。销售部门和相关职能部门通过日常例会、市场活动、现场拜访、客户调查等多种渠道和方式方法随时了解相关方的需求和期望。做为公司经营风险分析和发展机遇的可利用资源。</w:t>
            </w:r>
          </w:p>
          <w:p>
            <w:pPr>
              <w:rPr>
                <w:b/>
                <w:color w:val="000000" w:themeColor="text1"/>
                <w:sz w:val="20"/>
                <w:szCs w:val="20"/>
              </w:rPr>
            </w:pPr>
            <w:r>
              <w:rPr>
                <w:rFonts w:hint="eastAsia"/>
                <w:b/>
                <w:bCs w:val="0"/>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楷体" w:hAnsi="楷体" w:eastAsia="楷体"/>
                <w:b/>
                <w:bCs w:val="0"/>
                <w:sz w:val="21"/>
                <w:szCs w:val="21"/>
              </w:rPr>
            </w:pPr>
            <w:r>
              <w:rPr>
                <w:b/>
                <w:bCs w:val="0"/>
                <w:sz w:val="21"/>
                <w:szCs w:val="21"/>
              </w:rPr>
              <w:t>3.</w:t>
            </w:r>
            <w:r>
              <w:rPr>
                <w:rFonts w:hint="eastAsia" w:ascii="宋体" w:hAnsi="宋体" w:cs="宋体"/>
                <w:b/>
                <w:bCs w:val="0"/>
                <w:spacing w:val="-10"/>
                <w:sz w:val="21"/>
                <w:szCs w:val="21"/>
              </w:rPr>
              <w:t>█</w:t>
            </w:r>
            <w:r>
              <w:rPr>
                <w:rFonts w:hint="eastAsia" w:ascii="宋体" w:hAnsi="宋体"/>
                <w:b/>
                <w:bCs w:val="0"/>
                <w:sz w:val="21"/>
                <w:szCs w:val="21"/>
              </w:rPr>
              <w:t>质量/</w:t>
            </w:r>
            <w:r>
              <w:rPr>
                <w:rFonts w:hint="eastAsia" w:ascii="宋体" w:hAnsi="宋体" w:cs="宋体"/>
                <w:b/>
                <w:bCs w:val="0"/>
                <w:spacing w:val="-10"/>
                <w:sz w:val="21"/>
                <w:szCs w:val="21"/>
              </w:rPr>
              <w:t>█</w:t>
            </w:r>
            <w:r>
              <w:rPr>
                <w:rFonts w:hint="eastAsia" w:ascii="宋体" w:hAnsi="宋体"/>
                <w:b/>
                <w:bCs w:val="0"/>
                <w:sz w:val="21"/>
                <w:szCs w:val="21"/>
              </w:rPr>
              <w:t>环境/</w:t>
            </w:r>
            <w:r>
              <w:rPr>
                <w:rFonts w:hint="eastAsia" w:ascii="宋体" w:hAnsi="宋体" w:cs="宋体"/>
                <w:b/>
                <w:bCs w:val="0"/>
                <w:spacing w:val="-10"/>
                <w:sz w:val="21"/>
                <w:szCs w:val="21"/>
              </w:rPr>
              <w:t>█</w:t>
            </w:r>
            <w:r>
              <w:rPr>
                <w:rFonts w:hint="eastAsia" w:ascii="宋体" w:hAnsi="宋体"/>
                <w:b/>
                <w:bCs w:val="0"/>
                <w:sz w:val="21"/>
                <w:szCs w:val="21"/>
              </w:rPr>
              <w:t>职业健康安全方针（组织</w:t>
            </w:r>
            <w:r>
              <w:rPr>
                <w:rFonts w:hint="eastAsia"/>
                <w:b/>
                <w:bCs w:val="0"/>
                <w:sz w:val="21"/>
                <w:szCs w:val="21"/>
              </w:rPr>
              <w:t>方针</w:t>
            </w:r>
            <w:r>
              <w:rPr>
                <w:rFonts w:hint="eastAsia" w:ascii="宋体" w:hAnsi="宋体"/>
                <w:b/>
                <w:bCs w:val="0"/>
                <w:sz w:val="21"/>
                <w:szCs w:val="21"/>
              </w:rPr>
              <w:t>的适宜性/持续适宜性、方针的传达及职工的理解等）</w:t>
            </w:r>
            <w:r>
              <w:rPr>
                <w:rFonts w:hint="eastAsia" w:ascii="楷体" w:hAnsi="楷体" w:eastAsia="楷体"/>
                <w:b/>
                <w:bCs w:val="0"/>
                <w:sz w:val="21"/>
                <w:szCs w:val="21"/>
              </w:rPr>
              <w:t>公司的管理方针是：</w:t>
            </w:r>
          </w:p>
          <w:p>
            <w:pPr>
              <w:ind w:left="315" w:leftChars="150"/>
              <w:jc w:val="left"/>
              <w:rPr>
                <w:rFonts w:ascii="宋体" w:hAnsi="宋体"/>
                <w:b/>
                <w:bCs w:val="0"/>
                <w:color w:val="FF0000"/>
                <w:sz w:val="21"/>
                <w:szCs w:val="21"/>
              </w:rPr>
            </w:pPr>
            <w:r>
              <w:rPr>
                <w:rFonts w:hint="eastAsia" w:ascii="宋体" w:hAnsi="宋体"/>
                <w:b/>
                <w:bCs w:val="0"/>
                <w:color w:val="FF0000"/>
                <w:sz w:val="21"/>
                <w:szCs w:val="21"/>
              </w:rPr>
              <w:t>精益求精，顾客满意；</w:t>
            </w:r>
          </w:p>
          <w:p>
            <w:pPr>
              <w:ind w:left="315" w:leftChars="150"/>
              <w:jc w:val="left"/>
              <w:rPr>
                <w:rFonts w:ascii="宋体" w:hAnsi="宋体"/>
                <w:b/>
                <w:bCs w:val="0"/>
                <w:color w:val="FF0000"/>
                <w:sz w:val="21"/>
                <w:szCs w:val="21"/>
              </w:rPr>
            </w:pPr>
            <w:r>
              <w:rPr>
                <w:rFonts w:hint="eastAsia" w:ascii="宋体" w:hAnsi="宋体"/>
                <w:b/>
                <w:bCs w:val="0"/>
                <w:color w:val="FF0000"/>
                <w:sz w:val="21"/>
                <w:szCs w:val="21"/>
              </w:rPr>
              <w:t>保护环境，预防污染；</w:t>
            </w:r>
          </w:p>
          <w:p>
            <w:pPr>
              <w:ind w:left="315" w:leftChars="150"/>
              <w:jc w:val="left"/>
              <w:rPr>
                <w:rFonts w:ascii="宋体" w:hAnsi="宋体"/>
                <w:b/>
                <w:bCs w:val="0"/>
                <w:color w:val="FF0000"/>
                <w:sz w:val="21"/>
                <w:szCs w:val="21"/>
              </w:rPr>
            </w:pPr>
            <w:r>
              <w:rPr>
                <w:rFonts w:hint="eastAsia" w:ascii="宋体" w:hAnsi="宋体"/>
                <w:b/>
                <w:bCs w:val="0"/>
                <w:color w:val="FF0000"/>
                <w:sz w:val="21"/>
                <w:szCs w:val="21"/>
              </w:rPr>
              <w:t>保障健康，安全第一；</w:t>
            </w:r>
          </w:p>
          <w:p>
            <w:pPr>
              <w:ind w:left="315" w:leftChars="150"/>
              <w:jc w:val="left"/>
              <w:rPr>
                <w:rFonts w:ascii="宋体" w:hAnsi="宋体"/>
                <w:b/>
                <w:bCs w:val="0"/>
                <w:color w:val="FF0000"/>
                <w:sz w:val="21"/>
                <w:szCs w:val="21"/>
              </w:rPr>
            </w:pPr>
            <w:r>
              <w:rPr>
                <w:rFonts w:hint="eastAsia" w:ascii="宋体" w:hAnsi="宋体"/>
                <w:b/>
                <w:bCs w:val="0"/>
                <w:color w:val="FF0000"/>
                <w:sz w:val="21"/>
                <w:szCs w:val="21"/>
              </w:rPr>
              <w:t>遵守法规，持续改进。</w:t>
            </w:r>
          </w:p>
          <w:p>
            <w:pPr>
              <w:pStyle w:val="18"/>
              <w:rPr>
                <w:b/>
                <w:color w:val="000000" w:themeColor="text1"/>
              </w:rPr>
            </w:pPr>
            <w:r>
              <w:rPr>
                <w:rFonts w:hint="eastAsia"/>
                <w:b/>
                <w:bCs w:val="0"/>
                <w:sz w:val="21"/>
                <w:szCs w:val="21"/>
              </w:rPr>
              <w:t>通过管理手册的分发使全体员工理解方针，通过内审和管理评审保持方针的适宜性。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rPr>
                <w:b/>
                <w:bCs w:val="0"/>
                <w:sz w:val="21"/>
                <w:szCs w:val="21"/>
              </w:rPr>
            </w:pPr>
            <w:r>
              <w:rPr>
                <w:rFonts w:hint="eastAsia"/>
                <w:b/>
                <w:bCs w:val="0"/>
                <w:sz w:val="21"/>
                <w:szCs w:val="21"/>
              </w:rPr>
              <w:t>定了《风险和机遇的应对控制程序》，明确风险和机遇事件的识别方法/途径、风险和机遇事件的评估方式、制定主要风险和机遇事件的应对措施的要求、评价这些措施有效性的方法。</w:t>
            </w:r>
          </w:p>
          <w:p>
            <w:pPr>
              <w:pStyle w:val="18"/>
              <w:numPr>
                <w:ilvl w:val="0"/>
                <w:numId w:val="0"/>
              </w:numPr>
              <w:ind w:leftChars="0"/>
            </w:pPr>
            <w:r>
              <w:rPr>
                <w:rFonts w:hint="eastAsia"/>
                <w:b/>
                <w:bCs w:val="0"/>
                <w:sz w:val="21"/>
                <w:szCs w:val="21"/>
              </w:rPr>
              <w:t>提供了“20</w:t>
            </w:r>
            <w:r>
              <w:rPr>
                <w:rFonts w:hint="eastAsia"/>
                <w:b/>
                <w:bCs w:val="0"/>
                <w:sz w:val="21"/>
                <w:szCs w:val="21"/>
                <w:lang w:val="en-US" w:eastAsia="zh-CN"/>
              </w:rPr>
              <w:t>20</w:t>
            </w:r>
            <w:r>
              <w:rPr>
                <w:rFonts w:hint="eastAsia"/>
                <w:b/>
                <w:bCs w:val="0"/>
                <w:sz w:val="21"/>
                <w:szCs w:val="21"/>
              </w:rPr>
              <w:t>年度 SWOT经营环境分析及对策报告”，对影响公司经营和发展的各种因素（内外部环境、相关方要求等）进行分析，确定需要应对的风险和机遇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ind w:left="201" w:hanging="201" w:hangingChars="100"/>
              <w:rPr>
                <w:rFonts w:ascii="宋体" w:hAnsi="宋体"/>
                <w:b/>
                <w:bCs w:val="0"/>
                <w:sz w:val="21"/>
                <w:szCs w:val="21"/>
              </w:rPr>
            </w:pPr>
            <w:r>
              <w:rPr>
                <w:rFonts w:hint="eastAsia"/>
                <w:b/>
                <w:color w:val="000000" w:themeColor="text1"/>
                <w:sz w:val="20"/>
                <w:szCs w:val="20"/>
              </w:rPr>
              <w:t>5</w:t>
            </w:r>
            <w:r>
              <w:rPr>
                <w:rFonts w:hint="eastAsia" w:ascii="宋体" w:hAnsi="宋体"/>
                <w:b/>
                <w:bCs w:val="0"/>
                <w:sz w:val="21"/>
                <w:szCs w:val="21"/>
              </w:rPr>
              <w:t>质量管理体系过程有：</w:t>
            </w:r>
          </w:p>
          <w:p>
            <w:pPr>
              <w:ind w:firstLine="211" w:firstLineChars="100"/>
              <w:rPr>
                <w:b/>
                <w:bCs w:val="0"/>
                <w:sz w:val="21"/>
                <w:szCs w:val="21"/>
              </w:rPr>
            </w:pPr>
            <w:r>
              <w:rPr>
                <w:rFonts w:hint="eastAsia"/>
                <w:b/>
                <w:bCs w:val="0"/>
                <w:sz w:val="21"/>
                <w:szCs w:val="21"/>
              </w:rPr>
              <w:t>质量管理体系过程有：获取产品物业管理项目信息（采用投标、参加展会、业务员主动拜访客户、介绍产品、老客户介绍、根据物业管理目录等多种方式）--项目情况调查、客户沟通--分析汇总、决策--进入项目跟踪阶段--进入投标报价阶段--如中标--与产品厂家确认供货周期、交付等--签订物业管理合同</w:t>
            </w:r>
            <w:r>
              <w:rPr>
                <w:b/>
                <w:bCs w:val="0"/>
                <w:sz w:val="21"/>
                <w:szCs w:val="21"/>
              </w:rPr>
              <w:t>—</w:t>
            </w:r>
            <w:r>
              <w:rPr>
                <w:rFonts w:hint="eastAsia"/>
                <w:b/>
                <w:bCs w:val="0"/>
                <w:sz w:val="21"/>
                <w:szCs w:val="21"/>
              </w:rPr>
              <w:t>采购产品</w:t>
            </w:r>
            <w:r>
              <w:rPr>
                <w:b/>
                <w:bCs w:val="0"/>
                <w:sz w:val="21"/>
                <w:szCs w:val="21"/>
              </w:rPr>
              <w:t>—</w:t>
            </w:r>
            <w:r>
              <w:rPr>
                <w:rFonts w:hint="eastAsia"/>
                <w:b/>
                <w:bCs w:val="0"/>
                <w:sz w:val="21"/>
                <w:szCs w:val="21"/>
              </w:rPr>
              <w:t>产品交付、验收--客户接收确认</w:t>
            </w:r>
          </w:p>
          <w:p>
            <w:pPr>
              <w:tabs>
                <w:tab w:val="left" w:pos="540"/>
              </w:tabs>
              <w:spacing w:line="300" w:lineRule="exact"/>
              <w:ind w:left="201" w:hanging="211" w:hangingChars="100"/>
              <w:rPr>
                <w:rFonts w:ascii="宋体" w:hAnsi="宋体"/>
                <w:b/>
                <w:bCs w:val="0"/>
                <w:color w:val="000000" w:themeColor="text1"/>
                <w:sz w:val="21"/>
                <w:szCs w:val="21"/>
                <w:u w:val="single"/>
              </w:rPr>
            </w:pPr>
            <w:r>
              <w:rPr>
                <w:rFonts w:hint="eastAsia" w:ascii="宋体" w:hAnsi="宋体"/>
                <w:b/>
                <w:bCs w:val="0"/>
                <w:color w:val="000000" w:themeColor="text1"/>
                <w:sz w:val="21"/>
                <w:szCs w:val="21"/>
              </w:rPr>
              <w:t>其中关键过程有</w:t>
            </w:r>
            <w:r>
              <w:rPr>
                <w:rFonts w:hint="eastAsia" w:ascii="宋体" w:hAnsi="宋体"/>
                <w:b/>
                <w:bCs w:val="0"/>
                <w:color w:val="000000" w:themeColor="text1"/>
                <w:sz w:val="21"/>
                <w:szCs w:val="21"/>
                <w:u w:val="single"/>
              </w:rPr>
              <w:t xml:space="preserve">  物业管理服务过程      </w:t>
            </w:r>
          </w:p>
          <w:p>
            <w:pPr>
              <w:tabs>
                <w:tab w:val="left" w:pos="540"/>
              </w:tabs>
              <w:spacing w:line="300" w:lineRule="exact"/>
              <w:ind w:left="201" w:hanging="211" w:hangingChars="100"/>
              <w:rPr>
                <w:rFonts w:ascii="宋体" w:hAnsi="宋体"/>
                <w:b/>
                <w:bCs w:val="0"/>
                <w:color w:val="000000" w:themeColor="text1"/>
                <w:sz w:val="21"/>
                <w:szCs w:val="21"/>
                <w:u w:val="single"/>
              </w:rPr>
            </w:pPr>
            <w:r>
              <w:rPr>
                <w:rFonts w:hint="eastAsia" w:ascii="宋体" w:hAnsi="宋体"/>
                <w:b/>
                <w:bCs w:val="0"/>
                <w:color w:val="000000" w:themeColor="text1"/>
                <w:sz w:val="21"/>
                <w:szCs w:val="21"/>
              </w:rPr>
              <w:t>需要确认过程  物业管理服务过程</w:t>
            </w:r>
          </w:p>
          <w:p>
            <w:pPr>
              <w:tabs>
                <w:tab w:val="left" w:pos="540"/>
              </w:tabs>
              <w:spacing w:line="300" w:lineRule="exact"/>
              <w:ind w:left="211" w:hanging="211" w:hangingChars="100"/>
              <w:rPr>
                <w:rFonts w:ascii="宋体" w:hAnsi="宋体"/>
                <w:b/>
                <w:color w:val="000000" w:themeColor="text1"/>
                <w:szCs w:val="21"/>
              </w:rPr>
            </w:pPr>
            <w:r>
              <w:rPr>
                <w:b/>
                <w:bCs w:val="0"/>
                <w:color w:val="000000" w:themeColor="text1"/>
                <w:sz w:val="21"/>
                <w:szCs w:val="21"/>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bCs w:val="0"/>
                <w:color w:val="000000" w:themeColor="text1"/>
                <w:sz w:val="21"/>
                <w:szCs w:val="21"/>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bCs w:val="0"/>
                <w:color w:val="000000" w:themeColor="text1"/>
                <w:sz w:val="21"/>
                <w:szCs w:val="21"/>
              </w:rPr>
              <w:t>不适用条款是   8.3   ，不适用理由：公司的物业管理服务不涉及设计开发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bCs w:val="0"/>
                <w:spacing w:val="-8"/>
                <w:sz w:val="21"/>
                <w:szCs w:val="21"/>
              </w:rPr>
            </w:pPr>
            <w:r>
              <w:rPr>
                <w:rFonts w:hint="eastAsia" w:ascii="宋体" w:hAnsi="宋体"/>
                <w:b/>
                <w:bCs w:val="0"/>
                <w:sz w:val="21"/>
                <w:szCs w:val="21"/>
              </w:rPr>
              <w:t>（</w:t>
            </w:r>
            <w:r>
              <w:rPr>
                <w:rFonts w:hint="eastAsia" w:ascii="宋体" w:hAnsi="宋体"/>
                <w:b/>
                <w:bCs w:val="0"/>
                <w:spacing w:val="-8"/>
                <w:sz w:val="21"/>
                <w:szCs w:val="21"/>
              </w:rPr>
              <w:t>环境因素</w:t>
            </w:r>
            <w:r>
              <w:rPr>
                <w:rFonts w:hint="eastAsia" w:ascii="宋体" w:hAnsi="宋体"/>
                <w:b/>
                <w:bCs w:val="0"/>
                <w:sz w:val="21"/>
                <w:szCs w:val="21"/>
              </w:rPr>
              <w:t>辨识是否充分、重要环境因素评价合理性，</w:t>
            </w:r>
            <w:r>
              <w:rPr>
                <w:rFonts w:hint="eastAsia" w:ascii="宋体" w:hAnsi="宋体"/>
                <w:b/>
                <w:bCs w:val="0"/>
                <w:spacing w:val="-8"/>
                <w:sz w:val="21"/>
                <w:szCs w:val="21"/>
              </w:rPr>
              <w:t>以及环境因素动态变更的及时性等）</w:t>
            </w:r>
          </w:p>
          <w:p>
            <w:pPr>
              <w:spacing w:line="394" w:lineRule="exact"/>
              <w:ind w:firstLine="422" w:firstLineChars="200"/>
              <w:rPr>
                <w:b/>
                <w:bCs w:val="0"/>
                <w:sz w:val="21"/>
                <w:szCs w:val="21"/>
              </w:rPr>
            </w:pPr>
            <w:r>
              <w:rPr>
                <w:rFonts w:hint="eastAsia"/>
                <w:b/>
                <w:bCs w:val="0"/>
                <w:sz w:val="21"/>
                <w:szCs w:val="21"/>
              </w:rPr>
              <w:t>编制了</w:t>
            </w:r>
            <w:r>
              <w:rPr>
                <w:b/>
                <w:bCs w:val="0"/>
                <w:sz w:val="21"/>
                <w:szCs w:val="21"/>
              </w:rPr>
              <w:t>《环境因素的识别与评价控制程序》</w:t>
            </w:r>
            <w:r>
              <w:rPr>
                <w:rFonts w:hint="eastAsia"/>
                <w:b/>
                <w:bCs w:val="0"/>
                <w:sz w:val="21"/>
                <w:szCs w:val="21"/>
              </w:rPr>
              <w:t>符合标准要求.</w:t>
            </w:r>
          </w:p>
          <w:p>
            <w:pPr>
              <w:ind w:firstLine="422" w:firstLineChars="200"/>
              <w:rPr>
                <w:b/>
                <w:bCs w:val="0"/>
                <w:sz w:val="21"/>
                <w:szCs w:val="21"/>
              </w:rPr>
            </w:pPr>
            <w:r>
              <w:rPr>
                <w:rFonts w:hint="eastAsia"/>
                <w:b/>
                <w:bCs w:val="0"/>
                <w:sz w:val="21"/>
                <w:szCs w:val="21"/>
              </w:rPr>
              <w:t>提供的“环境因素识别评价表”“重要环境因素清单”， 评价考虑了三种时态现在、过去、将来、三种状态、异常、正常、紧急考虑了法律法规，并进行了评价，针对</w:t>
            </w:r>
            <w:r>
              <w:rPr>
                <w:rFonts w:hint="eastAsia" w:ascii="宋体" w:hAnsi="宋体" w:cs="宋体"/>
                <w:b/>
                <w:bCs w:val="0"/>
                <w:kern w:val="0"/>
                <w:sz w:val="21"/>
                <w:szCs w:val="21"/>
              </w:rPr>
              <w:t>物业管理</w:t>
            </w:r>
            <w:r>
              <w:rPr>
                <w:rFonts w:hint="eastAsia"/>
                <w:b/>
                <w:bCs w:val="0"/>
                <w:sz w:val="21"/>
                <w:szCs w:val="21"/>
              </w:rPr>
              <w:t>过程，用打分法考虑了法规符合性、发生频次、影响范围等, 通过定性判断法，共识别出重大环境因素3项：固废排放、火灾，评价符合程序要求及公司的实际情况。</w:t>
            </w:r>
          </w:p>
          <w:p>
            <w:pPr>
              <w:spacing w:line="300" w:lineRule="exact"/>
              <w:rPr>
                <w:b/>
                <w:color w:val="000000" w:themeColor="text1"/>
                <w:sz w:val="20"/>
                <w:szCs w:val="20"/>
              </w:rPr>
            </w:pPr>
            <w:r>
              <w:rPr>
                <w:rFonts w:hint="eastAsia"/>
                <w:b/>
                <w:bCs w:val="0"/>
                <w:sz w:val="2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bCs w:val="0"/>
                <w:sz w:val="21"/>
                <w:szCs w:val="21"/>
              </w:rPr>
            </w:pPr>
            <w:r>
              <w:rPr>
                <w:rFonts w:hint="eastAsia"/>
                <w:b/>
                <w:bCs w:val="0"/>
                <w:sz w:val="21"/>
                <w:szCs w:val="21"/>
              </w:rPr>
              <w:t xml:space="preserve">7. </w:t>
            </w:r>
            <w:r>
              <w:rPr>
                <w:b/>
                <w:bCs w:val="0"/>
                <w:sz w:val="21"/>
                <w:szCs w:val="21"/>
              </w:rPr>
              <w:t>OHSMS</w:t>
            </w:r>
            <w:r>
              <w:rPr>
                <w:rFonts w:hint="eastAsia"/>
                <w:b/>
                <w:bCs w:val="0"/>
                <w:sz w:val="21"/>
                <w:szCs w:val="21"/>
              </w:rPr>
              <w:t>职业健康安全危险源</w:t>
            </w:r>
          </w:p>
          <w:p>
            <w:pPr>
              <w:spacing w:line="300" w:lineRule="exact"/>
              <w:rPr>
                <w:b/>
                <w:bCs w:val="0"/>
                <w:sz w:val="21"/>
                <w:szCs w:val="21"/>
              </w:rPr>
            </w:pPr>
            <w:r>
              <w:rPr>
                <w:rFonts w:hint="eastAsia"/>
                <w:b/>
                <w:bCs w:val="0"/>
                <w:sz w:val="21"/>
                <w:szCs w:val="21"/>
              </w:rPr>
              <w:t>（职业健康安全危险源辨识是否充分、风险评价合理性，以及风险评价动态变更的及时性等）</w:t>
            </w:r>
          </w:p>
          <w:p>
            <w:pPr>
              <w:ind w:firstLine="422" w:firstLineChars="200"/>
              <w:rPr>
                <w:b/>
                <w:bCs w:val="0"/>
                <w:sz w:val="21"/>
                <w:szCs w:val="21"/>
              </w:rPr>
            </w:pPr>
            <w:r>
              <w:rPr>
                <w:rFonts w:hint="eastAsia"/>
                <w:b/>
                <w:bCs w:val="0"/>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2" w:firstLineChars="200"/>
              <w:rPr>
                <w:b/>
                <w:bCs w:val="0"/>
                <w:sz w:val="21"/>
                <w:szCs w:val="21"/>
              </w:rPr>
            </w:pPr>
            <w:r>
              <w:rPr>
                <w:rFonts w:hint="eastAsia"/>
                <w:b/>
                <w:bCs w:val="0"/>
                <w:sz w:val="21"/>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18"/>
              <w:rPr>
                <w:b/>
                <w:color w:val="000000" w:themeColor="text1"/>
                <w:sz w:val="20"/>
                <w:szCs w:val="20"/>
              </w:rPr>
            </w:pPr>
            <w:r>
              <w:rPr>
                <w:rFonts w:hint="eastAsia"/>
                <w:b/>
                <w:bCs w:val="0"/>
                <w:spacing w:val="0"/>
                <w:sz w:val="21"/>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bCs w:val="0"/>
                <w:sz w:val="21"/>
                <w:szCs w:val="21"/>
              </w:rPr>
            </w:pPr>
            <w:r>
              <w:rPr>
                <w:rFonts w:hint="eastAsia"/>
                <w:b/>
                <w:bCs w:val="0"/>
                <w:sz w:val="21"/>
                <w:szCs w:val="21"/>
                <w:lang w:val="en-US" w:eastAsia="zh-CN"/>
              </w:rPr>
              <w:t>8</w:t>
            </w:r>
            <w:r>
              <w:rPr>
                <w:rFonts w:hint="eastAsia"/>
                <w:b/>
                <w:bCs w:val="0"/>
                <w:sz w:val="21"/>
                <w:szCs w:val="21"/>
              </w:rPr>
              <w:t xml:space="preserve">. </w:t>
            </w:r>
            <w:r>
              <w:rPr>
                <w:rFonts w:hint="eastAsia" w:ascii="宋体" w:hAnsi="宋体"/>
                <w:b/>
                <w:bCs w:val="0"/>
                <w:spacing w:val="-4"/>
                <w:sz w:val="21"/>
                <w:szCs w:val="21"/>
              </w:rPr>
              <w:t>法律法规及其他要求</w:t>
            </w:r>
          </w:p>
          <w:p>
            <w:pPr>
              <w:pStyle w:val="12"/>
              <w:numPr>
                <w:ilvl w:val="0"/>
                <w:numId w:val="3"/>
              </w:numPr>
              <w:tabs>
                <w:tab w:val="left" w:pos="540"/>
              </w:tabs>
              <w:spacing w:line="300" w:lineRule="exact"/>
              <w:ind w:firstLineChars="0"/>
              <w:rPr>
                <w:rFonts w:ascii="宋体" w:hAnsi="宋体"/>
                <w:b/>
                <w:bCs w:val="0"/>
                <w:sz w:val="21"/>
                <w:szCs w:val="21"/>
                <w:u w:val="single"/>
              </w:rPr>
            </w:pPr>
            <w:r>
              <w:rPr>
                <w:rFonts w:hint="eastAsia" w:ascii="宋体" w:hAnsi="宋体"/>
                <w:b/>
                <w:bCs w:val="0"/>
                <w:sz w:val="21"/>
                <w:szCs w:val="21"/>
              </w:rPr>
              <w:t>获取法律法规90项，■法律法规获取充分，□法律法规获取有遗漏，缺少</w:t>
            </w:r>
          </w:p>
          <w:p>
            <w:pPr>
              <w:pStyle w:val="12"/>
              <w:numPr>
                <w:ilvl w:val="0"/>
                <w:numId w:val="3"/>
              </w:numPr>
              <w:tabs>
                <w:tab w:val="left" w:pos="540"/>
              </w:tabs>
              <w:spacing w:line="300" w:lineRule="exact"/>
              <w:ind w:firstLineChars="0"/>
              <w:rPr>
                <w:rFonts w:ascii="宋体" w:hAnsi="宋体"/>
                <w:b/>
                <w:bCs w:val="0"/>
                <w:sz w:val="21"/>
                <w:szCs w:val="21"/>
              </w:rPr>
            </w:pPr>
            <w:r>
              <w:rPr>
                <w:rFonts w:hint="eastAsia" w:ascii="宋体" w:hAnsi="宋体"/>
                <w:b/>
                <w:bCs w:val="0"/>
                <w:sz w:val="21"/>
                <w:szCs w:val="21"/>
              </w:rPr>
              <w:t>结合公司的■产品/服务■环境因素■危险源，■确定 □未确定法律法规要求的具体条款，</w:t>
            </w:r>
          </w:p>
          <w:p>
            <w:pPr>
              <w:pStyle w:val="19"/>
              <w:numPr>
                <w:ilvl w:val="0"/>
                <w:numId w:val="3"/>
              </w:numPr>
              <w:tabs>
                <w:tab w:val="left" w:pos="540"/>
              </w:tabs>
              <w:spacing w:line="300" w:lineRule="exact"/>
              <w:ind w:firstLineChars="0"/>
              <w:rPr>
                <w:rFonts w:ascii="宋体" w:hAnsi="宋体"/>
                <w:b/>
                <w:bCs w:val="0"/>
                <w:sz w:val="21"/>
                <w:szCs w:val="21"/>
              </w:rPr>
            </w:pPr>
            <w:r>
              <w:rPr>
                <w:rFonts w:hint="eastAsia" w:ascii="宋体" w:hAnsi="宋体"/>
                <w:b/>
                <w:bCs w:val="0"/>
                <w:sz w:val="21"/>
                <w:szCs w:val="21"/>
              </w:rPr>
              <w:t>法律法规的宣传方式：进行发放纸质文件、电子文件的形式</w:t>
            </w:r>
          </w:p>
          <w:p>
            <w:pPr>
              <w:pStyle w:val="19"/>
              <w:numPr>
                <w:ilvl w:val="0"/>
                <w:numId w:val="3"/>
              </w:numPr>
              <w:tabs>
                <w:tab w:val="left" w:pos="540"/>
              </w:tabs>
              <w:spacing w:line="300" w:lineRule="exact"/>
              <w:ind w:left="420" w:leftChars="0" w:hanging="420" w:firstLineChars="0"/>
              <w:rPr>
                <w:b/>
                <w:color w:val="000000" w:themeColor="text1"/>
                <w:sz w:val="14"/>
                <w:szCs w:val="14"/>
              </w:rPr>
            </w:pPr>
            <w:r>
              <w:rPr>
                <w:rFonts w:hint="eastAsia" w:ascii="宋体" w:hAnsi="宋体"/>
                <w:b/>
                <w:bCs w:val="0"/>
                <w:sz w:val="21"/>
                <w:szCs w:val="21"/>
              </w:rPr>
              <w:t>法律法规要求及时更新了每年一次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bCs w:val="0"/>
                <w:sz w:val="21"/>
                <w:szCs w:val="21"/>
              </w:rPr>
            </w:pPr>
            <w:r>
              <w:rPr>
                <w:rFonts w:hint="eastAsia"/>
                <w:b/>
                <w:bCs w:val="0"/>
                <w:sz w:val="21"/>
                <w:szCs w:val="21"/>
              </w:rPr>
              <w:t>（</w:t>
            </w:r>
            <w:r>
              <w:rPr>
                <w:rFonts w:hint="eastAsia" w:ascii="宋体" w:hAnsi="宋体"/>
                <w:b/>
                <w:bCs w:val="0"/>
                <w:spacing w:val="-4"/>
                <w:sz w:val="21"/>
                <w:szCs w:val="21"/>
              </w:rPr>
              <w:t>在相关层次上建立</w:t>
            </w:r>
            <w:r>
              <w:rPr>
                <w:rFonts w:hint="eastAsia" w:ascii="宋体" w:hAnsi="宋体"/>
                <w:b/>
                <w:bCs w:val="0"/>
                <w:sz w:val="21"/>
                <w:szCs w:val="21"/>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
                <w:bCs w:val="0"/>
                <w:sz w:val="21"/>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240" w:lineRule="exact"/>
              <w:rPr>
                <w:b/>
                <w:bCs w:val="0"/>
                <w:sz w:val="21"/>
                <w:szCs w:val="21"/>
              </w:rPr>
            </w:pPr>
            <w:r>
              <w:rPr>
                <w:rFonts w:hint="eastAsia"/>
                <w:b/>
                <w:bCs w:val="0"/>
                <w:sz w:val="21"/>
                <w:szCs w:val="21"/>
              </w:rPr>
              <w:t xml:space="preserve"> 文件与记录控制 (文审修订后文件与标准的符合程度评价、文件控制管理等)</w:t>
            </w:r>
          </w:p>
          <w:p>
            <w:pPr>
              <w:tabs>
                <w:tab w:val="left" w:pos="540"/>
              </w:tabs>
              <w:spacing w:line="240" w:lineRule="exact"/>
              <w:rPr>
                <w:rFonts w:ascii="宋体" w:hAnsi="宋体"/>
                <w:b/>
                <w:color w:val="000000" w:themeColor="text1"/>
                <w:sz w:val="20"/>
                <w:szCs w:val="20"/>
              </w:rPr>
            </w:pPr>
            <w:r>
              <w:rPr>
                <w:rFonts w:hint="eastAsia"/>
                <w:b/>
                <w:bCs w:val="0"/>
                <w:sz w:val="21"/>
                <w:szCs w:val="21"/>
              </w:rPr>
              <w:t>文件</w:t>
            </w:r>
            <w:r>
              <w:rPr>
                <w:rFonts w:hint="eastAsia"/>
                <w:b/>
                <w:bCs w:val="0"/>
                <w:sz w:val="21"/>
                <w:szCs w:val="21"/>
                <w:lang w:val="en-US" w:eastAsia="zh-CN"/>
              </w:rPr>
              <w:t>基本</w:t>
            </w:r>
            <w:r>
              <w:rPr>
                <w:rFonts w:hint="eastAsia"/>
                <w:b/>
                <w:bCs w:val="0"/>
                <w:sz w:val="21"/>
                <w:szCs w:val="21"/>
              </w:rPr>
              <w:t>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b/>
                <w:bCs w:val="0"/>
                <w:sz w:val="21"/>
                <w:szCs w:val="21"/>
              </w:rPr>
              <w:t>该公司员工共25人，管理人</w:t>
            </w:r>
            <w:r>
              <w:rPr>
                <w:rFonts w:hint="eastAsia"/>
                <w:b/>
                <w:bCs w:val="0"/>
                <w:sz w:val="21"/>
                <w:szCs w:val="21"/>
                <w:lang w:val="en-US" w:eastAsia="zh-CN"/>
              </w:rPr>
              <w:t>7</w:t>
            </w:r>
            <w:r>
              <w:rPr>
                <w:rFonts w:hint="eastAsia"/>
                <w:b/>
                <w:bCs w:val="0"/>
                <w:sz w:val="21"/>
                <w:szCs w:val="21"/>
              </w:rPr>
              <w:t>人。有专业的</w:t>
            </w:r>
            <w:r>
              <w:rPr>
                <w:rFonts w:hint="eastAsia"/>
                <w:b/>
                <w:bCs w:val="0"/>
                <w:sz w:val="21"/>
                <w:szCs w:val="21"/>
                <w:lang w:val="en-US" w:eastAsia="zh-CN"/>
              </w:rPr>
              <w:t>物业管理、保</w:t>
            </w:r>
            <w:r>
              <w:rPr>
                <w:rFonts w:hint="eastAsia" w:ascii="宋体" w:hAnsi="宋体"/>
                <w:b/>
                <w:bCs w:val="0"/>
                <w:sz w:val="21"/>
                <w:szCs w:val="21"/>
              </w:rPr>
              <w:t>洁</w:t>
            </w:r>
            <w:r>
              <w:rPr>
                <w:rFonts w:hint="eastAsia" w:ascii="宋体" w:hAnsi="宋体"/>
                <w:b/>
                <w:bCs w:val="0"/>
                <w:sz w:val="21"/>
                <w:szCs w:val="21"/>
                <w:lang w:val="en-US" w:eastAsia="zh-CN"/>
              </w:rPr>
              <w:t>等</w:t>
            </w:r>
            <w:r>
              <w:rPr>
                <w:rFonts w:hint="eastAsia" w:ascii="宋体" w:hAnsi="宋体"/>
                <w:b/>
                <w:bCs w:val="0"/>
                <w:sz w:val="21"/>
                <w:szCs w:val="21"/>
              </w:rPr>
              <w:t>服务</w:t>
            </w:r>
            <w:r>
              <w:rPr>
                <w:rFonts w:hint="eastAsia"/>
                <w:b/>
                <w:bCs w:val="0"/>
                <w:sz w:val="21"/>
                <w:szCs w:val="21"/>
              </w:rPr>
              <w:t>人员，能满足</w:t>
            </w:r>
            <w:r>
              <w:rPr>
                <w:rFonts w:hint="eastAsia" w:ascii="宋体" w:hAnsi="宋体"/>
                <w:b/>
                <w:bCs w:val="0"/>
                <w:sz w:val="21"/>
                <w:szCs w:val="21"/>
              </w:rPr>
              <w:t>资质范围内的</w:t>
            </w:r>
            <w:r>
              <w:rPr>
                <w:rFonts w:hint="eastAsia" w:ascii="宋体" w:hAnsi="宋体" w:eastAsia="宋体" w:cs="宋体"/>
                <w:b/>
                <w:bCs/>
                <w:color w:val="auto"/>
                <w:sz w:val="21"/>
                <w:szCs w:val="21"/>
              </w:rPr>
              <w:t>物业管理及</w:t>
            </w:r>
            <w:r>
              <w:rPr>
                <w:rFonts w:hint="eastAsia" w:ascii="宋体" w:hAnsi="宋体"/>
                <w:b/>
                <w:bCs w:val="0"/>
                <w:sz w:val="21"/>
                <w:szCs w:val="21"/>
              </w:rPr>
              <w:t>服务</w:t>
            </w:r>
            <w:r>
              <w:rPr>
                <w:rFonts w:hint="eastAsia"/>
                <w:b/>
                <w:bCs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bCs/>
                <w:color w:val="auto"/>
                <w:sz w:val="20"/>
                <w:szCs w:val="20"/>
              </w:rPr>
            </w:pPr>
            <w:r>
              <w:rPr>
                <w:rFonts w:hint="eastAsia" w:ascii="宋体" w:hAnsi="宋体" w:eastAsia="宋体" w:cs="宋体"/>
                <w:b/>
                <w:bCs/>
                <w:color w:val="auto"/>
                <w:sz w:val="21"/>
                <w:szCs w:val="21"/>
                <w:lang w:val="en-US" w:eastAsia="zh-CN"/>
              </w:rPr>
              <w:t>电梯、火灾报警系统、中控室、配电室、</w:t>
            </w:r>
            <w:r>
              <w:rPr>
                <w:rFonts w:hint="eastAsia" w:ascii="宋体" w:hAnsi="宋体" w:eastAsia="宋体" w:cs="宋体"/>
                <w:b/>
                <w:bCs/>
                <w:color w:val="auto"/>
                <w:sz w:val="21"/>
                <w:szCs w:val="21"/>
              </w:rPr>
              <w:t>对讲机、摄像头、巡逻手电灯、监控、电话、扫帚、电动垃圾清运车、拖把、剪草机、</w:t>
            </w:r>
            <w:r>
              <w:rPr>
                <w:rFonts w:hint="eastAsia" w:ascii="宋体" w:hAnsi="宋体" w:cs="宋体"/>
                <w:b/>
                <w:bCs/>
                <w:color w:val="auto"/>
                <w:sz w:val="21"/>
                <w:szCs w:val="21"/>
                <w:lang w:val="en-US" w:eastAsia="zh-CN"/>
              </w:rPr>
              <w:t>清洗车、</w:t>
            </w:r>
            <w:r>
              <w:rPr>
                <w:rFonts w:hint="eastAsia" w:ascii="宋体" w:hAnsi="宋体" w:eastAsia="宋体" w:cs="宋体"/>
                <w:b/>
                <w:bCs/>
                <w:color w:val="auto"/>
                <w:sz w:val="21"/>
                <w:szCs w:val="21"/>
              </w:rPr>
              <w:t>水泵、空调、电扇、文件柜、电脑、打复印机等。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规定了工作环境控制内容包括：服务现场基本清洁、明亮、通风、按区域存放、标识清楚、配备消防器材且在有效期内。识别工作环境所需适宜的防雨、防火、通风等要求。</w:t>
            </w:r>
          </w:p>
          <w:p>
            <w:pPr>
              <w:spacing w:line="3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2、现场观察，服务现场环境较好、配置了路灯、室内空调等，通风采光良好。线路安装规定，未发现用电等职业健康安全隐患。无特殊要求。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pStyle w:val="3"/>
              <w:rPr>
                <w:rFonts w:hint="default" w:eastAsia="宋体"/>
                <w:lang w:val="en-US" w:eastAsia="zh-CN"/>
              </w:rPr>
            </w:pPr>
            <w:r>
              <w:rPr>
                <w:rFonts w:hint="eastAsia" w:ascii="宋体" w:hAnsi="宋体" w:eastAsia="宋体" w:cs="宋体"/>
                <w:b/>
                <w:bCs/>
                <w:color w:val="auto"/>
                <w:sz w:val="21"/>
                <w:szCs w:val="21"/>
                <w:lang w:val="en-US" w:eastAsia="zh-CN"/>
              </w:rPr>
              <w:t>火灾报警系统</w:t>
            </w: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万用表、钢卷尺。</w:t>
            </w:r>
            <w:r>
              <w:rPr>
                <w:rFonts w:hint="eastAsia" w:ascii="宋体" w:hAnsi="宋体" w:cs="宋体"/>
                <w:b/>
                <w:bCs/>
                <w:color w:val="FF0000"/>
                <w:sz w:val="21"/>
                <w:szCs w:val="21"/>
                <w:lang w:val="en-US" w:eastAsia="zh-CN"/>
              </w:rPr>
              <w:t>未提供</w:t>
            </w:r>
            <w:r>
              <w:rPr>
                <w:rFonts w:hint="eastAsia" w:ascii="宋体" w:hAnsi="宋体" w:cs="宋体"/>
                <w:b/>
                <w:bCs/>
                <w:color w:val="FF0000"/>
                <w:szCs w:val="21"/>
              </w:rPr>
              <w:t>钢卷尺和万用</w:t>
            </w:r>
            <w:r>
              <w:rPr>
                <w:rFonts w:hint="eastAsia" w:ascii="宋体" w:hAnsi="宋体" w:cs="宋体"/>
                <w:b/>
                <w:bCs/>
                <w:color w:val="FF0000"/>
                <w:szCs w:val="21"/>
                <w:lang w:val="en-US" w:eastAsia="zh-CN"/>
              </w:rPr>
              <w:t>表的校准报告开具一般不符合1项。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bCs w:val="0"/>
                <w:sz w:val="21"/>
                <w:szCs w:val="21"/>
              </w:rPr>
            </w:pPr>
            <w:r>
              <w:rPr>
                <w:rFonts w:hint="eastAsia" w:ascii="宋体" w:hAnsi="宋体"/>
                <w:b/>
                <w:bCs w:val="0"/>
                <w:sz w:val="21"/>
                <w:szCs w:val="21"/>
              </w:rPr>
              <w:t>知识</w:t>
            </w:r>
          </w:p>
          <w:p>
            <w:pPr>
              <w:rPr>
                <w:b/>
                <w:bCs w:val="0"/>
                <w:sz w:val="21"/>
                <w:szCs w:val="21"/>
              </w:rPr>
            </w:pPr>
            <w:r>
              <w:rPr>
                <w:rFonts w:hint="eastAsia"/>
                <w:b/>
                <w:bCs w:val="0"/>
                <w:sz w:val="21"/>
                <w:szCs w:val="21"/>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bCs w:val="0"/>
                <w:sz w:val="21"/>
                <w:szCs w:val="21"/>
              </w:rPr>
            </w:pPr>
            <w:r>
              <w:rPr>
                <w:rFonts w:hint="eastAsia" w:ascii="宋体" w:hAnsi="宋体"/>
                <w:b/>
                <w:bCs w:val="0"/>
                <w:sz w:val="21"/>
                <w:szCs w:val="21"/>
              </w:rPr>
              <w:t>环保设施：</w:t>
            </w:r>
          </w:p>
          <w:p>
            <w:pPr>
              <w:spacing w:line="240" w:lineRule="exact"/>
              <w:rPr>
                <w:rFonts w:ascii="宋体" w:hAnsi="宋体"/>
                <w:b/>
                <w:color w:val="000000" w:themeColor="text1"/>
                <w:sz w:val="20"/>
                <w:szCs w:val="20"/>
              </w:rPr>
            </w:pPr>
            <w:r>
              <w:rPr>
                <w:rFonts w:hint="eastAsia" w:cs="Lucida Sans"/>
                <w:b/>
                <w:bCs w:val="0"/>
                <w:sz w:val="21"/>
                <w:szCs w:val="21"/>
              </w:rPr>
              <w:t>环保设施包括：垃圾桶、消防设施</w:t>
            </w:r>
            <w:r>
              <w:rPr>
                <w:rFonts w:hint="eastAsia"/>
                <w:b/>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bCs w:val="0"/>
                <w:sz w:val="21"/>
                <w:szCs w:val="21"/>
              </w:rPr>
            </w:pPr>
            <w:r>
              <w:rPr>
                <w:rFonts w:hint="eastAsia"/>
                <w:b/>
                <w:bCs w:val="0"/>
                <w:sz w:val="21"/>
                <w:szCs w:val="21"/>
              </w:rPr>
              <w:t>职业健康安全设施：</w:t>
            </w:r>
          </w:p>
          <w:p>
            <w:pPr>
              <w:spacing w:line="240" w:lineRule="exact"/>
              <w:rPr>
                <w:rFonts w:ascii="宋体" w:hAnsi="宋体"/>
                <w:b/>
                <w:color w:val="000000" w:themeColor="text1"/>
                <w:sz w:val="20"/>
                <w:szCs w:val="20"/>
              </w:rPr>
            </w:pPr>
            <w:r>
              <w:rPr>
                <w:rFonts w:hint="eastAsia"/>
                <w:b/>
                <w:bCs w:val="0"/>
                <w:sz w:val="21"/>
                <w:szCs w:val="21"/>
              </w:rPr>
              <w:t>配备有</w:t>
            </w:r>
            <w:r>
              <w:rPr>
                <w:rFonts w:hint="eastAsia" w:cs="Lucida Sans"/>
                <w:b/>
                <w:bCs w:val="0"/>
                <w:sz w:val="21"/>
                <w:szCs w:val="21"/>
                <w:lang w:val="en-US" w:eastAsia="zh-CN"/>
              </w:rPr>
              <w:t>火灾报警器、</w:t>
            </w:r>
            <w:r>
              <w:rPr>
                <w:rFonts w:hint="eastAsia"/>
                <w:b/>
                <w:bCs w:val="0"/>
                <w:sz w:val="21"/>
                <w:szCs w:val="21"/>
              </w:rPr>
              <w:t>灭火器、消防栓等环保设施。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bCs w:val="0"/>
                <w:sz w:val="21"/>
                <w:szCs w:val="21"/>
              </w:rPr>
            </w:pPr>
            <w:r>
              <w:rPr>
                <w:rFonts w:hint="eastAsia"/>
                <w:b/>
                <w:bCs w:val="0"/>
                <w:sz w:val="21"/>
                <w:szCs w:val="21"/>
              </w:rPr>
              <w:t>1. 针对方针的管理职责评审</w:t>
            </w:r>
          </w:p>
          <w:p>
            <w:pPr>
              <w:spacing w:line="300" w:lineRule="exact"/>
              <w:ind w:left="1"/>
              <w:rPr>
                <w:b/>
                <w:bCs w:val="0"/>
                <w:sz w:val="21"/>
                <w:szCs w:val="21"/>
              </w:rPr>
            </w:pPr>
            <w:r>
              <w:rPr>
                <w:rFonts w:hint="eastAsia"/>
                <w:b/>
                <w:bCs w:val="0"/>
                <w:sz w:val="21"/>
                <w:szCs w:val="21"/>
              </w:rPr>
              <w:t>（包括针对组织宗旨，制定相关管理方针政策、确保方针为员工理解并在运营中实施，监视方针的实施并评审方针的适宜性）</w:t>
            </w:r>
          </w:p>
          <w:p>
            <w:pPr>
              <w:spacing w:line="300" w:lineRule="exact"/>
              <w:rPr>
                <w:b/>
                <w:color w:val="000000" w:themeColor="text1"/>
                <w:sz w:val="20"/>
                <w:szCs w:val="20"/>
              </w:rPr>
            </w:pPr>
            <w:r>
              <w:rPr>
                <w:rFonts w:hint="eastAsia"/>
                <w:b/>
                <w:bCs w:val="0"/>
                <w:sz w:val="21"/>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67" w:hangingChars="79"/>
              <w:rPr>
                <w:b/>
                <w:bCs w:val="0"/>
                <w:sz w:val="21"/>
                <w:szCs w:val="21"/>
              </w:rPr>
            </w:pPr>
            <w:r>
              <w:rPr>
                <w:rFonts w:hint="eastAsia"/>
                <w:b/>
                <w:bCs w:val="0"/>
                <w:sz w:val="21"/>
                <w:szCs w:val="21"/>
              </w:rPr>
              <w:t>2. 组织内部沟通的充分性与效果；（OHSMS员工参与风险管理/健康安全事务的关心和影响力；组织对外联络关注顾客的感受情况、</w:t>
            </w:r>
            <w:r>
              <w:rPr>
                <w:b/>
                <w:bCs w:val="0"/>
                <w:sz w:val="21"/>
                <w:szCs w:val="21"/>
              </w:rPr>
              <w:t>信息交流</w:t>
            </w:r>
            <w:r>
              <w:rPr>
                <w:rFonts w:hint="eastAsia"/>
                <w:b/>
                <w:bCs w:val="0"/>
                <w:sz w:val="21"/>
                <w:szCs w:val="21"/>
              </w:rPr>
              <w:t>包括通报相关方的情况等）</w:t>
            </w:r>
          </w:p>
          <w:p>
            <w:pPr>
              <w:spacing w:line="240" w:lineRule="exact"/>
              <w:rPr>
                <w:rFonts w:ascii="楷体_GB2312" w:eastAsia="楷体_GB2312"/>
                <w:b/>
                <w:bCs w:val="0"/>
                <w:sz w:val="21"/>
                <w:szCs w:val="21"/>
              </w:rPr>
            </w:pPr>
          </w:p>
          <w:p>
            <w:pPr>
              <w:spacing w:line="240" w:lineRule="exact"/>
              <w:rPr>
                <w:b/>
                <w:bCs w:val="0"/>
                <w:sz w:val="21"/>
                <w:szCs w:val="21"/>
              </w:rPr>
            </w:pPr>
            <w:r>
              <w:rPr>
                <w:rFonts w:hint="eastAsia" w:ascii="楷体_GB2312" w:eastAsia="楷体_GB2312"/>
                <w:b/>
                <w:bCs w:val="0"/>
                <w:sz w:val="21"/>
                <w:szCs w:val="21"/>
              </w:rPr>
              <w:t>组织对外联络，关注顾客的感受情况（QMS）：</w:t>
            </w:r>
            <w:r>
              <w:rPr>
                <w:rFonts w:hint="eastAsia"/>
                <w:b/>
                <w:bCs w:val="0"/>
                <w:sz w:val="21"/>
                <w:szCs w:val="21"/>
              </w:rPr>
              <w:t>顾客满意度调查表的发放、电话回访、到顾客现场进行询问、相关方告知书等形式</w:t>
            </w:r>
          </w:p>
          <w:p>
            <w:pPr>
              <w:spacing w:line="240" w:lineRule="exact"/>
              <w:rPr>
                <w:b/>
                <w:bCs w:val="0"/>
                <w:sz w:val="21"/>
                <w:szCs w:val="21"/>
              </w:rPr>
            </w:pPr>
          </w:p>
          <w:p>
            <w:pPr>
              <w:spacing w:line="240" w:lineRule="exact"/>
              <w:rPr>
                <w:rFonts w:hint="default" w:ascii="楷体_GB2312" w:eastAsia="宋体"/>
                <w:b/>
                <w:bCs w:val="0"/>
                <w:sz w:val="21"/>
                <w:szCs w:val="21"/>
                <w:lang w:val="en-US" w:eastAsia="zh-CN"/>
              </w:rPr>
            </w:pPr>
            <w:r>
              <w:rPr>
                <w:rFonts w:hint="eastAsia" w:ascii="楷体_GB2312" w:eastAsia="楷体_GB2312"/>
                <w:b/>
                <w:bCs w:val="0"/>
                <w:sz w:val="21"/>
                <w:szCs w:val="21"/>
              </w:rPr>
              <w:t>外部信息的接收、成文并答复的情况（E、S填写）：</w:t>
            </w:r>
            <w:r>
              <w:rPr>
                <w:rFonts w:hint="eastAsia"/>
                <w:b/>
                <w:bCs w:val="0"/>
                <w:sz w:val="21"/>
                <w:szCs w:val="21"/>
              </w:rPr>
              <w:t>进行接收、答复，但未进行记录</w:t>
            </w:r>
            <w:r>
              <w:rPr>
                <w:rFonts w:hint="eastAsia"/>
                <w:b/>
                <w:bCs w:val="0"/>
                <w:sz w:val="21"/>
                <w:szCs w:val="21"/>
                <w:lang w:eastAsia="zh-CN"/>
              </w:rPr>
              <w:t>，</w:t>
            </w:r>
            <w:r>
              <w:rPr>
                <w:rFonts w:hint="eastAsia"/>
                <w:b/>
                <w:bCs w:val="0"/>
                <w:sz w:val="21"/>
                <w:szCs w:val="21"/>
                <w:lang w:val="en-US" w:eastAsia="zh-CN"/>
              </w:rPr>
              <w:t>已交流。</w:t>
            </w:r>
          </w:p>
          <w:p>
            <w:pPr>
              <w:spacing w:line="240" w:lineRule="exact"/>
              <w:rPr>
                <w:rFonts w:ascii="楷体_GB2312" w:eastAsia="楷体_GB2312"/>
                <w:b/>
                <w:bCs w:val="0"/>
                <w:sz w:val="21"/>
                <w:szCs w:val="21"/>
              </w:rPr>
            </w:pPr>
          </w:p>
          <w:p>
            <w:pPr>
              <w:spacing w:line="240" w:lineRule="exact"/>
              <w:rPr>
                <w:rFonts w:ascii="楷体_GB2312" w:eastAsia="楷体_GB2312"/>
                <w:b/>
                <w:bCs w:val="0"/>
                <w:sz w:val="21"/>
                <w:szCs w:val="21"/>
              </w:rPr>
            </w:pPr>
            <w:r>
              <w:rPr>
                <w:rFonts w:hint="eastAsia" w:ascii="楷体_GB2312" w:eastAsia="楷体_GB2312"/>
                <w:b/>
                <w:bCs w:val="0"/>
                <w:sz w:val="21"/>
                <w:szCs w:val="21"/>
              </w:rPr>
              <w:t>重要环境因素信息对外交流情况（EMS填写）：</w:t>
            </w:r>
            <w:r>
              <w:rPr>
                <w:rFonts w:hint="eastAsia"/>
                <w:b/>
                <w:bCs w:val="0"/>
                <w:sz w:val="21"/>
                <w:szCs w:val="21"/>
              </w:rPr>
              <w:t>对相关方进行了书面告知，见到相关方告知书。内容符合标准要求</w:t>
            </w:r>
          </w:p>
          <w:p>
            <w:pPr>
              <w:spacing w:line="240" w:lineRule="exact"/>
              <w:rPr>
                <w:rFonts w:ascii="楷体_GB2312" w:eastAsia="楷体_GB2312"/>
                <w:b/>
                <w:bCs w:val="0"/>
                <w:sz w:val="21"/>
                <w:szCs w:val="21"/>
              </w:rPr>
            </w:pPr>
          </w:p>
          <w:p>
            <w:pPr>
              <w:spacing w:line="240" w:lineRule="exact"/>
              <w:rPr>
                <w:b/>
                <w:bCs w:val="0"/>
                <w:sz w:val="21"/>
                <w:szCs w:val="21"/>
              </w:rPr>
            </w:pPr>
            <w:r>
              <w:rPr>
                <w:rFonts w:hint="eastAsia" w:ascii="楷体_GB2312" w:eastAsia="楷体_GB2312"/>
                <w:b/>
                <w:bCs w:val="0"/>
                <w:sz w:val="21"/>
                <w:szCs w:val="21"/>
              </w:rPr>
              <w:t>OHSMS事务代表协商和交流的情况（OHSMS填写）：</w:t>
            </w:r>
            <w:r>
              <w:rPr>
                <w:rFonts w:hint="eastAsia"/>
                <w:b/>
                <w:bCs w:val="0"/>
                <w:sz w:val="21"/>
                <w:szCs w:val="21"/>
              </w:rPr>
              <w:t>，参与了体系文件的制定，每年召开一次员工代表会议。但未保留记录</w:t>
            </w:r>
          </w:p>
          <w:p>
            <w:pPr>
              <w:spacing w:line="240" w:lineRule="exact"/>
              <w:rPr>
                <w:rFonts w:ascii="楷体_GB2312" w:eastAsia="楷体_GB2312"/>
                <w:b/>
                <w:bCs w:val="0"/>
                <w:sz w:val="21"/>
                <w:szCs w:val="21"/>
              </w:rPr>
            </w:pPr>
          </w:p>
          <w:p>
            <w:pPr>
              <w:spacing w:line="240" w:lineRule="exact"/>
              <w:rPr>
                <w:rFonts w:ascii="楷体_GB2312" w:eastAsia="楷体_GB2312"/>
                <w:b/>
                <w:color w:val="000000" w:themeColor="text1"/>
                <w:szCs w:val="21"/>
              </w:rPr>
            </w:pPr>
            <w:r>
              <w:rPr>
                <w:rFonts w:hint="eastAsia" w:ascii="楷体_GB2312" w:eastAsia="楷体_GB2312"/>
                <w:b/>
                <w:bCs w:val="0"/>
                <w:sz w:val="21"/>
                <w:szCs w:val="21"/>
              </w:rPr>
              <w:t>与相关方协商的情况（OHSMS填写）：</w:t>
            </w:r>
            <w:r>
              <w:rPr>
                <w:rFonts w:hint="eastAsia"/>
                <w:b/>
                <w:bCs w:val="0"/>
                <w:sz w:val="21"/>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val="0"/>
                <w:sz w:val="21"/>
                <w:szCs w:val="21"/>
              </w:rPr>
            </w:pPr>
            <w:r>
              <w:rPr>
                <w:rFonts w:hint="eastAsia"/>
                <w:b/>
                <w:bCs w:val="0"/>
                <w:sz w:val="21"/>
                <w:szCs w:val="21"/>
              </w:rPr>
              <w:t>3.  QMS 组织对重要过程实施控制的结果</w:t>
            </w:r>
          </w:p>
          <w:p>
            <w:pPr>
              <w:spacing w:line="240" w:lineRule="exact"/>
              <w:ind w:left="193" w:leftChars="42" w:hanging="105" w:hangingChars="50"/>
              <w:rPr>
                <w:b/>
                <w:bCs w:val="0"/>
                <w:sz w:val="21"/>
                <w:szCs w:val="21"/>
              </w:rPr>
            </w:pPr>
            <w:r>
              <w:rPr>
                <w:rFonts w:hint="eastAsia"/>
                <w:b/>
                <w:bCs w:val="0"/>
                <w:sz w:val="21"/>
                <w:szCs w:val="21"/>
              </w:rPr>
              <w:t>(包括对QMS关键工序(过程)、特殊过程控制;评价组织对过程实施控制情况/)</w:t>
            </w:r>
          </w:p>
          <w:p>
            <w:pPr>
              <w:rPr>
                <w:b/>
                <w:color w:val="000000" w:themeColor="text1"/>
                <w:sz w:val="20"/>
                <w:szCs w:val="20"/>
              </w:rPr>
            </w:pPr>
            <w:r>
              <w:rPr>
                <w:rFonts w:hint="eastAsia"/>
                <w:b/>
                <w:bCs w:val="0"/>
                <w:sz w:val="21"/>
                <w:szCs w:val="21"/>
              </w:rPr>
              <w:t xml:space="preserve">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bCs w:val="0"/>
                <w:sz w:val="21"/>
                <w:szCs w:val="21"/>
              </w:rPr>
            </w:pPr>
            <w:r>
              <w:rPr>
                <w:rFonts w:hint="eastAsia"/>
                <w:b/>
                <w:bCs w:val="0"/>
                <w:sz w:val="21"/>
                <w:szCs w:val="21"/>
              </w:rPr>
              <w:t>4.QMS产品/服务的标准、协议/规范的有效性以及产品/服务质量符合要求，向顾客稳定提供合格产品的情况；</w:t>
            </w:r>
          </w:p>
          <w:p>
            <w:pPr>
              <w:spacing w:line="300" w:lineRule="exact"/>
              <w:rPr>
                <w:b/>
                <w:bCs w:val="0"/>
                <w:sz w:val="21"/>
                <w:szCs w:val="21"/>
              </w:rPr>
            </w:pPr>
          </w:p>
          <w:p>
            <w:pPr>
              <w:spacing w:line="240" w:lineRule="exact"/>
              <w:rPr>
                <w:b/>
                <w:bCs w:val="0"/>
                <w:sz w:val="21"/>
                <w:szCs w:val="21"/>
              </w:rPr>
            </w:pPr>
            <w:r>
              <w:rPr>
                <w:rFonts w:hint="eastAsia"/>
                <w:b/>
                <w:bCs w:val="0"/>
                <w:sz w:val="21"/>
                <w:szCs w:val="21"/>
              </w:rPr>
              <w:t>按照顾客和合同要求进行服务，能够稳定的向顾客提供合格的招投标代理</w:t>
            </w:r>
            <w:r>
              <w:rPr>
                <w:rFonts w:hint="eastAsia" w:ascii="宋体" w:hAnsi="宋体"/>
                <w:b/>
                <w:bCs w:val="0"/>
                <w:sz w:val="21"/>
                <w:szCs w:val="21"/>
              </w:rPr>
              <w:t>服务服务工作</w:t>
            </w:r>
            <w:r>
              <w:rPr>
                <w:rFonts w:hint="eastAsia"/>
                <w:b/>
                <w:bCs w:val="0"/>
                <w:sz w:val="21"/>
                <w:szCs w:val="21"/>
              </w:rPr>
              <w:t>。</w:t>
            </w:r>
          </w:p>
          <w:p>
            <w:pPr>
              <w:spacing w:line="240" w:lineRule="exact"/>
              <w:rPr>
                <w:b/>
                <w:bCs w:val="0"/>
                <w:sz w:val="21"/>
                <w:szCs w:val="21"/>
              </w:rPr>
            </w:pPr>
          </w:p>
          <w:p>
            <w:pPr>
              <w:spacing w:line="240" w:lineRule="exact"/>
              <w:rPr>
                <w:b/>
                <w:color w:val="000000" w:themeColor="text1"/>
                <w:sz w:val="20"/>
                <w:szCs w:val="20"/>
              </w:rPr>
            </w:pPr>
            <w:r>
              <w:rPr>
                <w:rFonts w:hint="eastAsia"/>
                <w:b/>
                <w:bCs w:val="0"/>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val="0"/>
                <w:sz w:val="21"/>
                <w:szCs w:val="21"/>
              </w:rPr>
            </w:pPr>
            <w:r>
              <w:rPr>
                <w:rFonts w:hint="eastAsia"/>
                <w:b/>
                <w:bCs w:val="0"/>
                <w:sz w:val="21"/>
                <w:szCs w:val="21"/>
              </w:rPr>
              <w:t>5 .QMS国家/地方技术监督部门监测（检测、委托检测、定期监测、型式试验等）、抽查结果</w:t>
            </w:r>
          </w:p>
          <w:p>
            <w:pPr>
              <w:spacing w:line="240" w:lineRule="exact"/>
              <w:ind w:firstLine="211" w:firstLineChars="100"/>
              <w:rPr>
                <w:b/>
                <w:bCs w:val="0"/>
                <w:sz w:val="21"/>
                <w:szCs w:val="21"/>
              </w:rPr>
            </w:pPr>
          </w:p>
          <w:p>
            <w:pPr>
              <w:spacing w:line="240" w:lineRule="exact"/>
              <w:ind w:firstLine="211" w:firstLineChars="100"/>
              <w:rPr>
                <w:b/>
                <w:bCs w:val="0"/>
                <w:sz w:val="21"/>
                <w:szCs w:val="21"/>
              </w:rPr>
            </w:pPr>
            <w:r>
              <w:rPr>
                <w:rFonts w:hint="eastAsia"/>
                <w:b/>
                <w:bCs w:val="0"/>
                <w:sz w:val="21"/>
                <w:szCs w:val="21"/>
              </w:rPr>
              <w:t xml:space="preserve"> 无</w:t>
            </w:r>
          </w:p>
          <w:p>
            <w:pPr>
              <w:spacing w:line="240" w:lineRule="exact"/>
              <w:rPr>
                <w:b/>
                <w:bCs w:val="0"/>
                <w:sz w:val="21"/>
                <w:szCs w:val="21"/>
              </w:rPr>
            </w:pPr>
          </w:p>
          <w:p>
            <w:pPr>
              <w:spacing w:line="300" w:lineRule="exact"/>
              <w:ind w:firstLine="207" w:firstLineChars="98"/>
              <w:rPr>
                <w:b/>
                <w:color w:val="000000" w:themeColor="text1"/>
                <w:sz w:val="20"/>
                <w:szCs w:val="20"/>
              </w:rPr>
            </w:pPr>
            <w:r>
              <w:rPr>
                <w:rFonts w:hint="eastAsia"/>
                <w:b/>
                <w:bCs w:val="0"/>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val="0"/>
                <w:sz w:val="21"/>
                <w:szCs w:val="21"/>
              </w:rPr>
            </w:pPr>
            <w:r>
              <w:rPr>
                <w:rFonts w:hint="eastAsia"/>
                <w:b/>
                <w:bCs w:val="0"/>
                <w:sz w:val="21"/>
                <w:szCs w:val="21"/>
              </w:rPr>
              <w:t>6. 不合格品/项的识别、控制;</w:t>
            </w:r>
          </w:p>
          <w:p>
            <w:pPr>
              <w:pStyle w:val="18"/>
              <w:rPr>
                <w:b/>
                <w:color w:val="000000" w:themeColor="text1"/>
                <w:sz w:val="20"/>
                <w:szCs w:val="20"/>
              </w:rPr>
            </w:pPr>
            <w:r>
              <w:rPr>
                <w:rFonts w:hint="eastAsia"/>
                <w:b/>
                <w:bCs w:val="0"/>
                <w:sz w:val="21"/>
                <w:szCs w:val="21"/>
              </w:rPr>
              <w:t>能对发现</w:t>
            </w:r>
            <w:r>
              <w:rPr>
                <w:rFonts w:hint="eastAsia"/>
                <w:b/>
                <w:bCs w:val="0"/>
                <w:sz w:val="21"/>
                <w:szCs w:val="21"/>
                <w:lang w:val="en-US" w:eastAsia="zh-CN"/>
              </w:rPr>
              <w:t>业主反馈保修及反馈的意见等进行</w:t>
            </w:r>
            <w:r>
              <w:rPr>
                <w:rFonts w:hint="eastAsia"/>
                <w:b/>
                <w:bCs w:val="0"/>
                <w:sz w:val="21"/>
                <w:szCs w:val="21"/>
              </w:rPr>
              <w:t>及时进行纠正和控制</w:t>
            </w:r>
            <w:bookmarkStart w:id="22" w:name="_GoBack"/>
            <w:bookmarkEnd w:id="22"/>
            <w:r>
              <w:rPr>
                <w:rFonts w:hint="eastAsia"/>
                <w:b/>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val="0"/>
                <w:sz w:val="21"/>
                <w:szCs w:val="21"/>
              </w:rPr>
            </w:pPr>
            <w:r>
              <w:rPr>
                <w:rFonts w:hint="eastAsia"/>
                <w:b/>
                <w:bCs w:val="0"/>
                <w:sz w:val="21"/>
                <w:szCs w:val="21"/>
              </w:rPr>
              <w:t>7. EMS组织对重要环境因素实施控制的结果</w:t>
            </w:r>
          </w:p>
          <w:p>
            <w:pPr>
              <w:spacing w:line="240" w:lineRule="exact"/>
              <w:rPr>
                <w:b/>
                <w:bCs w:val="0"/>
                <w:sz w:val="21"/>
                <w:szCs w:val="21"/>
              </w:rPr>
            </w:pPr>
            <w:r>
              <w:rPr>
                <w:rFonts w:hint="eastAsia"/>
                <w:b/>
                <w:bCs w:val="0"/>
                <w:sz w:val="21"/>
                <w:szCs w:val="21"/>
              </w:rPr>
              <w:t>（EMS对重要环境因素控制，重大环境因素对周边环境产生的影响及控制;对相关方施加影响）</w:t>
            </w:r>
          </w:p>
          <w:p>
            <w:pPr>
              <w:spacing w:line="240" w:lineRule="exact"/>
              <w:rPr>
                <w:b/>
                <w:bCs w:val="0"/>
                <w:sz w:val="21"/>
                <w:szCs w:val="21"/>
              </w:rPr>
            </w:pPr>
          </w:p>
          <w:p>
            <w:pPr>
              <w:spacing w:line="240" w:lineRule="exact"/>
              <w:rPr>
                <w:b/>
                <w:color w:val="000000" w:themeColor="text1"/>
                <w:sz w:val="20"/>
                <w:szCs w:val="20"/>
              </w:rPr>
            </w:pPr>
            <w:r>
              <w:rPr>
                <w:rFonts w:hint="eastAsia"/>
                <w:b/>
                <w:bCs w:val="0"/>
                <w:sz w:val="21"/>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val="0"/>
                <w:sz w:val="21"/>
                <w:szCs w:val="21"/>
              </w:rPr>
            </w:pPr>
            <w:r>
              <w:rPr>
                <w:rFonts w:hint="eastAsia"/>
                <w:b/>
                <w:bCs w:val="0"/>
                <w:sz w:val="21"/>
                <w:szCs w:val="21"/>
              </w:rPr>
              <w:t>8. OHS 组织对不可接受风险实施控制的结果</w:t>
            </w:r>
          </w:p>
          <w:p>
            <w:pPr>
              <w:spacing w:line="240" w:lineRule="exact"/>
              <w:rPr>
                <w:b/>
                <w:bCs w:val="0"/>
                <w:sz w:val="21"/>
                <w:szCs w:val="21"/>
              </w:rPr>
            </w:pPr>
          </w:p>
          <w:p>
            <w:pPr>
              <w:spacing w:line="240" w:lineRule="exact"/>
              <w:rPr>
                <w:b/>
                <w:color w:val="000000" w:themeColor="text1"/>
                <w:sz w:val="20"/>
                <w:szCs w:val="20"/>
              </w:rPr>
            </w:pPr>
            <w:r>
              <w:rPr>
                <w:rFonts w:hint="eastAsia"/>
                <w:b/>
                <w:bCs w:val="0"/>
                <w:sz w:val="21"/>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11" w:hangingChars="100"/>
              <w:rPr>
                <w:b/>
                <w:bCs w:val="0"/>
                <w:sz w:val="21"/>
                <w:szCs w:val="21"/>
              </w:rPr>
            </w:pPr>
            <w:r>
              <w:rPr>
                <w:rFonts w:hint="eastAsia"/>
                <w:b/>
                <w:bCs w:val="0"/>
                <w:sz w:val="21"/>
                <w:szCs w:val="21"/>
              </w:rPr>
              <w:t xml:space="preserve">9. 应急准备与相应活动的演练及对预案可行性的评价(当有规定时) </w:t>
            </w:r>
          </w:p>
          <w:p>
            <w:pPr>
              <w:widowControl/>
              <w:snapToGrid w:val="0"/>
              <w:spacing w:line="360" w:lineRule="auto"/>
              <w:ind w:firstLine="420"/>
              <w:jc w:val="left"/>
              <w:rPr>
                <w:b/>
                <w:color w:val="000000" w:themeColor="text1"/>
                <w:spacing w:val="-4"/>
                <w:sz w:val="20"/>
                <w:szCs w:val="20"/>
              </w:rPr>
            </w:pPr>
            <w:r>
              <w:rPr>
                <w:rFonts w:hint="eastAsia"/>
                <w:b/>
                <w:bCs w:val="0"/>
                <w:sz w:val="21"/>
                <w:szCs w:val="21"/>
              </w:rPr>
              <w:t>对火灾等制定了应急预案，并按要求进行了演练</w:t>
            </w:r>
            <w:r>
              <w:rPr>
                <w:rFonts w:hint="eastAsia"/>
                <w:b/>
                <w:bCs w:val="0"/>
                <w:sz w:val="21"/>
                <w:szCs w:val="21"/>
                <w:lang w:eastAsia="zh-CN"/>
              </w:rPr>
              <w:t>，</w:t>
            </w:r>
            <w:r>
              <w:rPr>
                <w:rFonts w:hint="eastAsia" w:ascii="宋体" w:hAnsi="宋体" w:cs="宋体"/>
                <w:b/>
                <w:bCs/>
                <w:color w:val="FF0000"/>
                <w:szCs w:val="21"/>
              </w:rPr>
              <w:t>物业公司应当建立并保持“新型冠状肺炎疫情应急预案”，并对应急预案进行预案演练、</w:t>
            </w:r>
            <w:r>
              <w:rPr>
                <w:rFonts w:hint="eastAsia" w:ascii="宋体" w:hAnsi="宋体"/>
                <w:b/>
                <w:bCs/>
                <w:color w:val="FF0000"/>
                <w:kern w:val="0"/>
                <w:szCs w:val="21"/>
              </w:rPr>
              <w:t>效果</w:t>
            </w:r>
            <w:r>
              <w:rPr>
                <w:rFonts w:hint="eastAsia" w:ascii="宋体" w:hAnsi="宋体" w:cs="宋体"/>
                <w:b/>
                <w:bCs/>
                <w:color w:val="FF0000"/>
                <w:szCs w:val="21"/>
              </w:rPr>
              <w:t>评审，但是审核时企业未能提供相关演练和评审的证据，不符合应急管理和疫情防控的要求。</w:t>
            </w:r>
            <w:r>
              <w:rPr>
                <w:rFonts w:hint="eastAsia" w:ascii="宋体" w:hAnsi="宋体" w:cs="宋体"/>
                <w:b/>
                <w:bCs/>
                <w:color w:val="FF0000"/>
                <w:szCs w:val="21"/>
                <w:lang w:val="en-US" w:eastAsia="zh-CN"/>
              </w:rPr>
              <w:t>开具一般不符合1项。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val="0"/>
                <w:sz w:val="21"/>
                <w:szCs w:val="21"/>
              </w:rPr>
            </w:pPr>
            <w:r>
              <w:rPr>
                <w:rFonts w:hint="eastAsia"/>
                <w:b/>
                <w:bCs w:val="0"/>
                <w:sz w:val="21"/>
                <w:szCs w:val="21"/>
              </w:rPr>
              <w:t>10. 对特种设备的维护; （适用时）</w:t>
            </w:r>
          </w:p>
          <w:p>
            <w:pPr>
              <w:spacing w:line="240" w:lineRule="exact"/>
              <w:rPr>
                <w:b/>
                <w:bCs w:val="0"/>
                <w:sz w:val="21"/>
                <w:szCs w:val="21"/>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电梯有提供单位日立电梯提供维保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val="0"/>
                <w:sz w:val="21"/>
                <w:szCs w:val="21"/>
              </w:rPr>
            </w:pPr>
            <w:r>
              <w:rPr>
                <w:rFonts w:hint="eastAsia"/>
                <w:b/>
                <w:bCs w:val="0"/>
                <w:sz w:val="21"/>
                <w:szCs w:val="21"/>
              </w:rPr>
              <w:t>11 .对危险化学品销售、使用、储存、运输处置，规定的执行力度(必要时); （适用时）</w:t>
            </w:r>
          </w:p>
          <w:p>
            <w:pPr>
              <w:pStyle w:val="18"/>
              <w:rPr>
                <w:rFonts w:hint="eastAsia" w:eastAsia="宋体"/>
                <w:b/>
                <w:color w:val="000000" w:themeColor="text1"/>
                <w:sz w:val="20"/>
                <w:szCs w:val="20"/>
                <w:lang w:val="en-US" w:eastAsia="zh-CN"/>
              </w:rPr>
            </w:pPr>
            <w:r>
              <w:rPr>
                <w:rFonts w:hint="eastAsia"/>
                <w:b/>
                <w:color w:val="000000" w:themeColor="text1"/>
                <w:sz w:val="20"/>
                <w:szCs w:val="20"/>
                <w:lang w:val="en-US" w:eastAsia="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5" w:hangingChars="50"/>
              <w:rPr>
                <w:b/>
                <w:bCs w:val="0"/>
                <w:sz w:val="21"/>
                <w:szCs w:val="21"/>
              </w:rPr>
            </w:pPr>
            <w:r>
              <w:rPr>
                <w:rFonts w:hint="eastAsia"/>
                <w:b/>
                <w:bCs w:val="0"/>
                <w:sz w:val="21"/>
                <w:szCs w:val="21"/>
              </w:rPr>
              <w:t>1. .对质量/环境/职业健康安全目标指标进行定期监测/检查情况</w:t>
            </w:r>
          </w:p>
          <w:p>
            <w:pPr>
              <w:spacing w:line="240" w:lineRule="exact"/>
              <w:ind w:firstLine="105" w:firstLineChars="50"/>
              <w:rPr>
                <w:b/>
                <w:bCs w:val="0"/>
                <w:sz w:val="21"/>
                <w:szCs w:val="21"/>
              </w:rPr>
            </w:pPr>
          </w:p>
          <w:p>
            <w:pPr>
              <w:spacing w:line="240" w:lineRule="exact"/>
              <w:ind w:firstLine="105" w:firstLineChars="50"/>
              <w:rPr>
                <w:b/>
                <w:bCs w:val="0"/>
                <w:sz w:val="21"/>
                <w:szCs w:val="21"/>
              </w:rPr>
            </w:pPr>
            <w:r>
              <w:rPr>
                <w:rFonts w:hint="eastAsia"/>
                <w:b/>
                <w:bCs w:val="0"/>
                <w:sz w:val="21"/>
                <w:szCs w:val="21"/>
              </w:rPr>
              <w:t>对质量/环境/安全目标指标进行了考核，各部门基本可以完成质量/环境/安全目标要求。目标具备可测量性</w:t>
            </w:r>
          </w:p>
          <w:p>
            <w:pPr>
              <w:snapToGrid w:val="0"/>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查到了2020.9.4日水质检验报告，经检验生活用水水质检验合格，见附件。</w:t>
            </w:r>
          </w:p>
          <w:p>
            <w:pPr>
              <w:snapToGrid w:val="0"/>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查到了2021.4.11日火灾自动报警系统技术检测报告，经检测火灾自动报警系统合格，见附件。</w:t>
            </w:r>
          </w:p>
          <w:p>
            <w:pPr>
              <w:snapToGrid w:val="0"/>
              <w:spacing w:line="360" w:lineRule="auto"/>
              <w:ind w:firstLine="422" w:firstLineChars="200"/>
              <w:jc w:val="left"/>
              <w:rPr>
                <w:b/>
                <w:color w:val="000000" w:themeColor="text1"/>
                <w:sz w:val="20"/>
                <w:szCs w:val="20"/>
              </w:rPr>
            </w:pPr>
            <w:r>
              <w:rPr>
                <w:rFonts w:hint="eastAsia" w:ascii="宋体" w:hAnsi="宋体" w:eastAsia="宋体" w:cs="宋体"/>
                <w:b/>
                <w:bCs/>
                <w:sz w:val="21"/>
                <w:szCs w:val="21"/>
              </w:rPr>
              <w:t>查到了2021.6.28日建设工程消防验收备案凭证，消防验收合格，见附件。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rPr>
                <w:b/>
                <w:bCs w:val="0"/>
                <w:sz w:val="21"/>
                <w:szCs w:val="21"/>
              </w:rPr>
            </w:pPr>
            <w:r>
              <w:rPr>
                <w:rFonts w:hint="eastAsia"/>
                <w:b/>
                <w:bCs w:val="0"/>
                <w:sz w:val="21"/>
                <w:szCs w:val="21"/>
              </w:rPr>
              <w:t>2.顾客满意</w:t>
            </w:r>
          </w:p>
          <w:p>
            <w:pPr>
              <w:spacing w:line="240" w:lineRule="exact"/>
              <w:ind w:left="100" w:hanging="105" w:hangingChars="50"/>
              <w:rPr>
                <w:b/>
                <w:bCs w:val="0"/>
                <w:sz w:val="21"/>
                <w:szCs w:val="21"/>
              </w:rPr>
            </w:pPr>
          </w:p>
          <w:p>
            <w:pPr>
              <w:spacing w:line="240" w:lineRule="exact"/>
              <w:ind w:left="105" w:leftChars="0" w:hanging="105" w:hangingChars="50"/>
              <w:rPr>
                <w:b/>
                <w:color w:val="000000" w:themeColor="text1"/>
                <w:sz w:val="20"/>
                <w:szCs w:val="20"/>
              </w:rPr>
            </w:pPr>
            <w:r>
              <w:rPr>
                <w:rFonts w:hint="eastAsia"/>
                <w:b/>
                <w:bCs w:val="0"/>
                <w:sz w:val="21"/>
                <w:szCs w:val="21"/>
              </w:rPr>
              <w:t>对顾客进行满意度调查，并进行了分析</w:t>
            </w:r>
            <w:r>
              <w:rPr>
                <w:rFonts w:hint="eastAsia"/>
                <w:b/>
                <w:bCs w:val="0"/>
                <w:sz w:val="21"/>
                <w:szCs w:val="21"/>
                <w:lang w:val="en-US" w:eastAsia="zh-CN"/>
              </w:rPr>
              <w:t>和评价，顾客满意度93%</w:t>
            </w:r>
            <w:r>
              <w:rPr>
                <w:rFonts w:hint="eastAsia"/>
                <w:b/>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bCs w:val="0"/>
                <w:sz w:val="21"/>
                <w:szCs w:val="21"/>
              </w:rPr>
            </w:pPr>
            <w:r>
              <w:rPr>
                <w:rFonts w:hint="eastAsia"/>
                <w:b/>
                <w:bCs w:val="0"/>
                <w:sz w:val="21"/>
                <w:szCs w:val="21"/>
              </w:rPr>
              <w:t>3. 内审（包括内审策划审核方案中考虑拟审核的过程和区域的状况和重要性）</w:t>
            </w:r>
          </w:p>
          <w:p>
            <w:pPr>
              <w:spacing w:line="240" w:lineRule="exact"/>
              <w:rPr>
                <w:b/>
                <w:bCs w:val="0"/>
                <w:spacing w:val="-8"/>
                <w:sz w:val="21"/>
                <w:szCs w:val="21"/>
              </w:rPr>
            </w:pPr>
          </w:p>
          <w:p>
            <w:pPr>
              <w:spacing w:line="240" w:lineRule="exact"/>
              <w:rPr>
                <w:b/>
                <w:color w:val="000000" w:themeColor="text1"/>
                <w:sz w:val="20"/>
                <w:szCs w:val="20"/>
              </w:rPr>
            </w:pPr>
            <w:r>
              <w:rPr>
                <w:rFonts w:hint="eastAsia"/>
                <w:b/>
                <w:bCs w:val="0"/>
                <w:sz w:val="21"/>
                <w:szCs w:val="21"/>
                <w:lang w:val="en-US" w:eastAsia="zh-CN"/>
              </w:rPr>
              <w:t>2021年月8-9日，</w:t>
            </w:r>
            <w:r>
              <w:rPr>
                <w:rFonts w:hint="eastAsia"/>
                <w:b/>
                <w:bCs w:val="0"/>
                <w:sz w:val="21"/>
                <w:szCs w:val="21"/>
              </w:rPr>
              <w:t>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sz w:val="20"/>
                <w:szCs w:val="20"/>
              </w:rPr>
            </w:pPr>
            <w:r>
              <w:rPr>
                <w:rFonts w:hint="eastAsia"/>
                <w:b/>
                <w:sz w:val="20"/>
                <w:szCs w:val="20"/>
              </w:rPr>
              <w:t>4.管理评审（管理评审体系变更需求，纠正和预防措施、体系有效性等）</w:t>
            </w:r>
          </w:p>
          <w:p>
            <w:pPr>
              <w:spacing w:line="240" w:lineRule="exact"/>
              <w:rPr>
                <w:b/>
                <w:bCs w:val="0"/>
                <w:sz w:val="20"/>
                <w:szCs w:val="20"/>
              </w:rPr>
            </w:pPr>
          </w:p>
          <w:p>
            <w:pPr>
              <w:spacing w:line="240" w:lineRule="exact"/>
              <w:rPr>
                <w:b/>
                <w:color w:val="000000" w:themeColor="text1"/>
                <w:sz w:val="20"/>
                <w:szCs w:val="20"/>
              </w:rPr>
            </w:pPr>
            <w:r>
              <w:rPr>
                <w:rFonts w:hint="eastAsia"/>
                <w:b/>
                <w:bCs w:val="0"/>
                <w:szCs w:val="21"/>
                <w:lang w:val="en-US" w:eastAsia="zh-CN"/>
              </w:rPr>
              <w:t>2021年6月24日，</w:t>
            </w:r>
            <w:r>
              <w:rPr>
                <w:rFonts w:hint="eastAsia"/>
                <w:b/>
                <w:bCs w:val="0"/>
                <w:szCs w:val="21"/>
              </w:rPr>
              <w:t>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sz w:val="20"/>
                <w:szCs w:val="20"/>
              </w:rPr>
            </w:pPr>
            <w:r>
              <w:rPr>
                <w:rFonts w:hint="eastAsia"/>
                <w:b/>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sz w:val="20"/>
                <w:szCs w:val="20"/>
              </w:rPr>
            </w:pPr>
            <w:r>
              <w:rPr>
                <w:rFonts w:hint="eastAsia"/>
                <w:b/>
                <w:sz w:val="20"/>
                <w:szCs w:val="20"/>
              </w:rPr>
              <w:t>7. OHSMS是否按规定对职业健康安全项目进行定期测量，结果是否满足相关要求：</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电梯检测、火灾报警装置检测满足要求，提供电梯检测、火灾报警装置检测合格报告。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sz w:val="20"/>
                <w:szCs w:val="20"/>
              </w:rPr>
            </w:pPr>
            <w:r>
              <w:rPr>
                <w:rFonts w:hint="eastAsia"/>
                <w:b/>
                <w:sz w:val="20"/>
                <w:szCs w:val="20"/>
              </w:rPr>
              <w:t>8.OHSMS国家/地方职业健康安全部门监督检查情况及措施</w:t>
            </w:r>
          </w:p>
          <w:p>
            <w:pPr>
              <w:spacing w:line="240" w:lineRule="exact"/>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b/>
                <w:color w:val="000000" w:themeColor="text1"/>
                <w:sz w:val="20"/>
                <w:szCs w:val="20"/>
              </w:rPr>
            </w:pPr>
            <w:r>
              <w:rPr>
                <w:rFonts w:hint="eastAsia"/>
                <w:b/>
                <w:bCs w:val="0"/>
                <w:sz w:val="21"/>
                <w:szCs w:val="21"/>
              </w:rPr>
              <w:t>对发现的不合格产品和服务进行了分析、制定了纠正措施，进行了整改，对整改效果进行了追踪验证，结论合格，对不合格品可以进行有效控制。对内审中发现的不合格已制定纠正措施。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ascii="宋体" w:hAnsi="宋体"/>
                <w:b/>
                <w:sz w:val="21"/>
                <w:szCs w:val="21"/>
                <w:lang w:val="en-US" w:eastAsia="zh-CN"/>
              </w:rPr>
              <w:t>已有效整改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ascii="宋体" w:hAnsi="宋体"/>
                <w:b/>
                <w:sz w:val="21"/>
                <w:szCs w:val="21"/>
                <w:lang w:val="en-US" w:eastAsia="zh-CN"/>
              </w:rPr>
              <w:t>无重大创新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w:t>
      </w:r>
      <w:r>
        <w:rPr>
          <w:rFonts w:hint="eastAsia"/>
          <w:b/>
          <w:color w:val="000000" w:themeColor="text1"/>
          <w:lang w:val="en-US" w:eastAsia="zh-CN"/>
        </w:rPr>
        <w:t>7.1.5</w:t>
      </w:r>
      <w:r>
        <w:rPr>
          <w:rFonts w:hint="eastAsia"/>
          <w:b/>
          <w:color w:val="000000" w:themeColor="text1"/>
        </w:rPr>
        <w:t>J/E</w:t>
      </w:r>
      <w:r>
        <w:rPr>
          <w:rFonts w:hint="eastAsia"/>
          <w:b/>
          <w:color w:val="000000" w:themeColor="text1"/>
          <w:lang w:val="en-US" w:eastAsia="zh-CN"/>
        </w:rPr>
        <w:t>8.2</w:t>
      </w:r>
      <w:r>
        <w:rPr>
          <w:rFonts w:hint="eastAsia"/>
          <w:b/>
          <w:color w:val="000000" w:themeColor="text1"/>
        </w:rPr>
        <w:t>/S</w:t>
      </w:r>
      <w:r>
        <w:rPr>
          <w:rFonts w:hint="eastAsia"/>
          <w:b/>
          <w:color w:val="000000" w:themeColor="text1"/>
          <w:lang w:val="en-US" w:eastAsia="zh-CN"/>
        </w:rPr>
        <w:t>8.2</w:t>
      </w:r>
      <w:r>
        <w:rPr>
          <w:rFonts w:hint="eastAsia"/>
          <w:b/>
          <w:color w:val="000000" w:themeColor="text1"/>
        </w:rPr>
        <w:t>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80" w:lineRule="exact"/>
              <w:ind w:left="290" w:leftChars="88" w:hanging="105" w:hangingChars="50"/>
            </w:pPr>
            <w:r>
              <w:rPr>
                <w:rFonts w:hint="eastAsia" w:ascii="宋体" w:hAnsi="宋体"/>
                <w:b/>
                <w:szCs w:val="21"/>
              </w:rPr>
              <w:t>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b/>
                <w:color w:val="000000" w:themeColor="text1"/>
                <w:sz w:val="28"/>
                <w:szCs w:val="28"/>
              </w:rPr>
            </w:pPr>
            <w:r>
              <w:rPr>
                <w:rFonts w:hint="eastAsia"/>
                <w:b/>
                <w:bCs/>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16"/>
          <w:szCs w:val="16"/>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80" w:lineRule="exact"/>
        <w:ind w:left="0" w:leftChars="-202" w:hanging="424" w:hangingChars="201"/>
        <w:textAlignment w:val="auto"/>
        <w:rPr>
          <w:rFonts w:hint="eastAsia"/>
          <w:b/>
          <w:color w:val="000000" w:themeColor="text1"/>
          <w:szCs w:val="21"/>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80" w:lineRule="exact"/>
        <w:ind w:left="0" w:leftChars="-202" w:hanging="424" w:hangingChars="201"/>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28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280" w:lineRule="exact"/>
        <w:textAlignment w:val="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9F7664"/>
    <w:rsid w:val="15BB6FEF"/>
    <w:rsid w:val="22EA56EE"/>
    <w:rsid w:val="339516AE"/>
    <w:rsid w:val="53B522BD"/>
    <w:rsid w:val="5C122576"/>
    <w:rsid w:val="707379C1"/>
    <w:rsid w:val="717959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480" w:lineRule="exact"/>
      <w:ind w:firstLine="560" w:firstLineChars="200"/>
    </w:pPr>
    <w:rPr>
      <w:kern w:val="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customStyle="1" w:styleId="19">
    <w:name w:val="列出段落1"/>
    <w:basedOn w:val="1"/>
    <w:qFormat/>
    <w:uiPriority w:val="34"/>
    <w:pPr>
      <w:ind w:firstLine="420" w:firstLineChars="200"/>
    </w:pPr>
  </w:style>
  <w:style w:type="character" w:customStyle="1" w:styleId="20">
    <w:name w:val="font21"/>
    <w:basedOn w:val="10"/>
    <w:uiPriority w:val="0"/>
    <w:rPr>
      <w:rFonts w:ascii="Calibri" w:hAnsi="Calibri" w:cs="Calibri"/>
      <w:color w:val="000000"/>
      <w:sz w:val="21"/>
      <w:szCs w:val="21"/>
      <w:u w:val="none"/>
    </w:rPr>
  </w:style>
  <w:style w:type="character" w:customStyle="1" w:styleId="21">
    <w:name w:val="font11"/>
    <w:basedOn w:val="10"/>
    <w:qFormat/>
    <w:uiPriority w:val="0"/>
    <w:rPr>
      <w:rFonts w:hint="eastAsia" w:ascii="宋体" w:hAnsi="宋体" w:eastAsia="宋体" w:cs="宋体"/>
      <w:color w:val="000000"/>
      <w:sz w:val="21"/>
      <w:szCs w:val="21"/>
      <w:u w:val="none"/>
    </w:rPr>
  </w:style>
  <w:style w:type="character" w:customStyle="1" w:styleId="22">
    <w:name w:val="font31"/>
    <w:basedOn w:val="10"/>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2021-08-03T09:59:02Z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5F5074AC5FD147409230E92EE079F86D</vt:lpwstr>
  </property>
</Properties>
</file>