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24"/>
          <w:szCs w:val="24"/>
        </w:rPr>
      </w:pPr>
    </w:p>
    <w:p>
      <w:pPr>
        <w:spacing w:line="480" w:lineRule="exact"/>
        <w:jc w:val="center"/>
        <w:rPr>
          <w:rFonts w:ascii="楷体" w:hAnsi="楷体" w:eastAsia="楷体"/>
          <w:sz w:val="24"/>
          <w:szCs w:val="24"/>
        </w:rPr>
      </w:pPr>
      <w:r>
        <w:rPr>
          <w:rFonts w:hint="eastAsia" w:ascii="楷体" w:hAnsi="楷体" w:eastAsia="楷体"/>
          <w:bCs/>
          <w:color w:val="000000"/>
          <w:sz w:val="24"/>
          <w:szCs w:val="24"/>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164"/>
        <w:gridCol w:w="11012"/>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6" w:type="dxa"/>
            <w:vMerge w:val="restart"/>
            <w:vAlign w:val="center"/>
          </w:tcPr>
          <w:p>
            <w:pPr>
              <w:spacing w:before="120"/>
              <w:jc w:val="center"/>
              <w:rPr>
                <w:rFonts w:ascii="楷体" w:hAnsi="楷体" w:eastAsia="楷体"/>
                <w:color w:val="000000" w:themeColor="text1"/>
                <w:sz w:val="24"/>
                <w:szCs w:val="24"/>
              </w:rPr>
            </w:pPr>
            <w:r>
              <w:rPr>
                <w:rFonts w:hint="eastAsia" w:ascii="楷体" w:hAnsi="楷体" w:eastAsia="楷体"/>
                <w:color w:val="000000" w:themeColor="text1"/>
                <w:sz w:val="24"/>
                <w:szCs w:val="24"/>
              </w:rPr>
              <w:t>过程与活动、</w:t>
            </w:r>
          </w:p>
          <w:p>
            <w:pPr>
              <w:jc w:val="center"/>
              <w:rPr>
                <w:rFonts w:ascii="楷体" w:hAnsi="楷体" w:eastAsia="楷体"/>
                <w:color w:val="000000" w:themeColor="text1"/>
                <w:sz w:val="24"/>
                <w:szCs w:val="24"/>
              </w:rPr>
            </w:pPr>
            <w:r>
              <w:rPr>
                <w:rFonts w:hint="eastAsia" w:ascii="楷体" w:hAnsi="楷体" w:eastAsia="楷体"/>
                <w:color w:val="000000" w:themeColor="text1"/>
                <w:sz w:val="24"/>
                <w:szCs w:val="24"/>
              </w:rPr>
              <w:t>抽样计划</w:t>
            </w:r>
          </w:p>
        </w:tc>
        <w:tc>
          <w:tcPr>
            <w:tcW w:w="1164" w:type="dxa"/>
            <w:vMerge w:val="restart"/>
            <w:vAlign w:val="center"/>
          </w:tcPr>
          <w:p>
            <w:pPr>
              <w:rPr>
                <w:rFonts w:ascii="楷体" w:hAnsi="楷体" w:eastAsia="楷体"/>
                <w:color w:val="000000" w:themeColor="text1"/>
                <w:sz w:val="24"/>
                <w:szCs w:val="24"/>
              </w:rPr>
            </w:pPr>
            <w:r>
              <w:rPr>
                <w:rFonts w:hint="eastAsia" w:ascii="楷体" w:hAnsi="楷体" w:eastAsia="楷体"/>
                <w:color w:val="000000" w:themeColor="text1"/>
                <w:sz w:val="24"/>
                <w:szCs w:val="24"/>
              </w:rPr>
              <w:t>涉及</w:t>
            </w:r>
          </w:p>
          <w:p>
            <w:pPr>
              <w:rPr>
                <w:rFonts w:ascii="楷体" w:hAnsi="楷体" w:eastAsia="楷体"/>
                <w:color w:val="000000" w:themeColor="text1"/>
                <w:sz w:val="24"/>
                <w:szCs w:val="24"/>
              </w:rPr>
            </w:pPr>
            <w:r>
              <w:rPr>
                <w:rFonts w:hint="eastAsia" w:ascii="楷体" w:hAnsi="楷体" w:eastAsia="楷体"/>
                <w:color w:val="000000" w:themeColor="text1"/>
                <w:sz w:val="24"/>
                <w:szCs w:val="24"/>
              </w:rPr>
              <w:t>条款</w:t>
            </w:r>
          </w:p>
        </w:tc>
        <w:tc>
          <w:tcPr>
            <w:tcW w:w="11012" w:type="dxa"/>
            <w:vAlign w:val="center"/>
          </w:tcPr>
          <w:p>
            <w:pPr>
              <w:spacing w:line="360" w:lineRule="auto"/>
              <w:rPr>
                <w:rFonts w:ascii="楷体" w:hAnsi="楷体" w:eastAsia="楷体" w:cs="宋体"/>
                <w:sz w:val="24"/>
                <w:szCs w:val="24"/>
              </w:rPr>
            </w:pPr>
            <w:r>
              <w:rPr>
                <w:rFonts w:ascii="楷体" w:hAnsi="楷体" w:eastAsia="楷体" w:cs="宋体"/>
                <w:sz w:val="24"/>
                <w:szCs w:val="24"/>
              </w:rPr>
              <w:t>受审核部门：</w:t>
            </w:r>
            <w:r>
              <w:rPr>
                <w:rFonts w:hint="eastAsia" w:ascii="楷体" w:hAnsi="楷体" w:eastAsia="楷体" w:cs="宋体"/>
                <w:sz w:val="24"/>
                <w:szCs w:val="24"/>
              </w:rPr>
              <w:t>办公室</w:t>
            </w:r>
            <w:r>
              <w:rPr>
                <w:rFonts w:ascii="楷体" w:hAnsi="楷体" w:eastAsia="楷体" w:cs="宋体"/>
                <w:sz w:val="24"/>
                <w:szCs w:val="24"/>
              </w:rPr>
              <w:t xml:space="preserve">   </w:t>
            </w:r>
            <w:r>
              <w:rPr>
                <w:rFonts w:hint="eastAsia" w:ascii="楷体" w:hAnsi="楷体" w:eastAsia="楷体" w:cs="宋体"/>
                <w:sz w:val="24"/>
                <w:szCs w:val="24"/>
              </w:rPr>
              <w:t xml:space="preserve">   </w:t>
            </w:r>
            <w:r>
              <w:rPr>
                <w:rFonts w:ascii="楷体" w:hAnsi="楷体" w:eastAsia="楷体" w:cs="宋体"/>
                <w:sz w:val="24"/>
                <w:szCs w:val="24"/>
              </w:rPr>
              <w:t xml:space="preserve">  主管领导：</w:t>
            </w:r>
            <w:r>
              <w:rPr>
                <w:rFonts w:hint="eastAsia" w:ascii="楷体" w:hAnsi="楷体" w:eastAsia="楷体"/>
                <w:bCs/>
                <w:sz w:val="24"/>
                <w:szCs w:val="24"/>
              </w:rPr>
              <w:t>宋永平</w:t>
            </w:r>
            <w:r>
              <w:rPr>
                <w:rFonts w:ascii="楷体" w:hAnsi="楷体" w:eastAsia="楷体" w:cs="宋体"/>
                <w:sz w:val="24"/>
                <w:szCs w:val="24"/>
              </w:rPr>
              <w:t xml:space="preserve">  </w:t>
            </w:r>
            <w:r>
              <w:rPr>
                <w:rFonts w:hint="eastAsia" w:ascii="楷体" w:hAnsi="楷体" w:eastAsia="楷体" w:cs="宋体"/>
                <w:sz w:val="24"/>
                <w:szCs w:val="24"/>
              </w:rPr>
              <w:t xml:space="preserve">   </w:t>
            </w:r>
            <w:r>
              <w:rPr>
                <w:rFonts w:ascii="楷体" w:hAnsi="楷体" w:eastAsia="楷体" w:cs="宋体"/>
                <w:sz w:val="24"/>
                <w:szCs w:val="24"/>
              </w:rPr>
              <w:t xml:space="preserve"> 陪同人员：</w:t>
            </w:r>
            <w:r>
              <w:rPr>
                <w:rFonts w:hint="eastAsia" w:ascii="楷体" w:hAnsi="楷体" w:eastAsia="楷体" w:cs="宋体"/>
                <w:sz w:val="24"/>
                <w:szCs w:val="24"/>
              </w:rPr>
              <w:t>葛红利</w:t>
            </w:r>
          </w:p>
        </w:tc>
        <w:tc>
          <w:tcPr>
            <w:tcW w:w="577" w:type="dxa"/>
            <w:vMerge w:val="restart"/>
            <w:vAlign w:val="center"/>
          </w:tcPr>
          <w:p>
            <w:pPr>
              <w:rPr>
                <w:rFonts w:ascii="楷体" w:hAnsi="楷体" w:eastAsia="楷体"/>
                <w:color w:val="000000" w:themeColor="text1"/>
                <w:sz w:val="24"/>
                <w:szCs w:val="24"/>
              </w:rPr>
            </w:pPr>
            <w:r>
              <w:rPr>
                <w:rFonts w:hint="eastAsia" w:ascii="楷体" w:hAnsi="楷体" w:eastAsia="楷体"/>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6" w:type="dxa"/>
            <w:vMerge w:val="continue"/>
            <w:vAlign w:val="center"/>
          </w:tcPr>
          <w:p>
            <w:pPr>
              <w:rPr>
                <w:rFonts w:ascii="楷体" w:hAnsi="楷体" w:eastAsia="楷体"/>
                <w:color w:val="000000" w:themeColor="text1"/>
                <w:sz w:val="24"/>
                <w:szCs w:val="24"/>
              </w:rPr>
            </w:pPr>
          </w:p>
        </w:tc>
        <w:tc>
          <w:tcPr>
            <w:tcW w:w="1164" w:type="dxa"/>
            <w:vMerge w:val="continue"/>
            <w:vAlign w:val="center"/>
          </w:tcPr>
          <w:p>
            <w:pPr>
              <w:rPr>
                <w:rFonts w:ascii="楷体" w:hAnsi="楷体" w:eastAsia="楷体"/>
                <w:color w:val="000000" w:themeColor="text1"/>
                <w:sz w:val="24"/>
                <w:szCs w:val="24"/>
              </w:rPr>
            </w:pPr>
          </w:p>
        </w:tc>
        <w:tc>
          <w:tcPr>
            <w:tcW w:w="11012" w:type="dxa"/>
            <w:vAlign w:val="center"/>
          </w:tcPr>
          <w:p>
            <w:pPr>
              <w:spacing w:line="240" w:lineRule="exact"/>
              <w:rPr>
                <w:rFonts w:ascii="楷体" w:hAnsi="楷体" w:eastAsia="楷体" w:cs="宋体"/>
                <w:sz w:val="24"/>
                <w:szCs w:val="24"/>
              </w:rPr>
            </w:pPr>
            <w:r>
              <w:rPr>
                <w:rFonts w:hint="eastAsia" w:ascii="楷体" w:hAnsi="楷体" w:eastAsia="楷体" w:cs="宋体"/>
                <w:sz w:val="24"/>
                <w:szCs w:val="24"/>
              </w:rPr>
              <w:t>审核员：姜海军            审核时间：2021年7月31日---8月1日</w:t>
            </w:r>
          </w:p>
        </w:tc>
        <w:tc>
          <w:tcPr>
            <w:tcW w:w="577" w:type="dxa"/>
            <w:vMerge w:val="continue"/>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Merge w:val="continue"/>
            <w:vAlign w:val="center"/>
          </w:tcPr>
          <w:p>
            <w:pPr>
              <w:rPr>
                <w:rFonts w:ascii="楷体" w:hAnsi="楷体" w:eastAsia="楷体"/>
                <w:color w:val="000000" w:themeColor="text1"/>
                <w:sz w:val="24"/>
                <w:szCs w:val="24"/>
              </w:rPr>
            </w:pPr>
          </w:p>
        </w:tc>
        <w:tc>
          <w:tcPr>
            <w:tcW w:w="1164" w:type="dxa"/>
            <w:vMerge w:val="continue"/>
            <w:vAlign w:val="center"/>
          </w:tcPr>
          <w:p>
            <w:pPr>
              <w:rPr>
                <w:rFonts w:ascii="楷体" w:hAnsi="楷体" w:eastAsia="楷体"/>
                <w:color w:val="000000" w:themeColor="text1"/>
                <w:sz w:val="24"/>
                <w:szCs w:val="24"/>
              </w:rPr>
            </w:pPr>
          </w:p>
        </w:tc>
        <w:tc>
          <w:tcPr>
            <w:tcW w:w="11012" w:type="dxa"/>
            <w:vAlign w:val="center"/>
          </w:tcPr>
          <w:p>
            <w:pPr>
              <w:snapToGrid w:val="0"/>
              <w:rPr>
                <w:rFonts w:ascii="楷体" w:hAnsi="楷体" w:eastAsia="楷体"/>
                <w:szCs w:val="21"/>
              </w:rPr>
            </w:pPr>
            <w:r>
              <w:rPr>
                <w:rFonts w:hint="eastAsia" w:ascii="楷体" w:hAnsi="楷体" w:eastAsia="楷体"/>
                <w:szCs w:val="21"/>
              </w:rPr>
              <w:t>审核条款：</w:t>
            </w:r>
          </w:p>
          <w:p>
            <w:pPr>
              <w:adjustRightInd w:val="0"/>
              <w:snapToGrid w:val="0"/>
              <w:ind w:right="105" w:rightChars="50"/>
              <w:textAlignment w:val="baseline"/>
              <w:rPr>
                <w:rFonts w:ascii="楷体" w:hAnsi="楷体" w:eastAsia="楷体" w:cs="Arial"/>
                <w:szCs w:val="21"/>
              </w:rPr>
            </w:pPr>
            <w:r>
              <w:rPr>
                <w:rFonts w:hint="eastAsia" w:ascii="楷体" w:hAnsi="楷体" w:eastAsia="楷体" w:cs="Arial"/>
                <w:szCs w:val="21"/>
              </w:rPr>
              <w:t>QMS: 5.3组织的岗位、职责和权限、6.2质量目标、7.1.2人员、7.1.3基础设施、7.1.4过程运行环境、7.1.6组织知识、7.2能力、7.3意识、7.5.1形成文件的信息总则、7.5.2形成文件的信息的创建和更新、7.5.3形成文件的信息的控制</w:t>
            </w:r>
            <w:r>
              <w:rPr>
                <w:rFonts w:hint="eastAsia" w:ascii="楷体" w:hAnsi="楷体" w:eastAsia="楷体" w:cs="Arial"/>
                <w:spacing w:val="-6"/>
                <w:szCs w:val="21"/>
              </w:rPr>
              <w:t>、9.1.1监视、测量、分析和评价总则</w:t>
            </w:r>
            <w:r>
              <w:rPr>
                <w:rFonts w:hint="eastAsia" w:ascii="楷体" w:hAnsi="楷体" w:eastAsia="楷体" w:cs="Arial"/>
                <w:szCs w:val="21"/>
              </w:rPr>
              <w:t xml:space="preserve">、9.1.3分析与评价、9.2 内部审核、10.2不合格和纠正措施， </w:t>
            </w:r>
          </w:p>
          <w:p>
            <w:pPr>
              <w:adjustRightInd w:val="0"/>
              <w:snapToGrid w:val="0"/>
              <w:ind w:right="105" w:rightChars="50"/>
              <w:textAlignment w:val="baseline"/>
              <w:rPr>
                <w:rFonts w:ascii="楷体" w:hAnsi="楷体" w:eastAsia="楷体" w:cs="Arial"/>
                <w:szCs w:val="21"/>
              </w:rPr>
            </w:pPr>
            <w:r>
              <w:rPr>
                <w:rFonts w:hint="eastAsia" w:ascii="楷体" w:hAnsi="楷体" w:eastAsia="楷体" w:cs="Arial"/>
                <w:szCs w:val="21"/>
              </w:rPr>
              <w:t>EOHMS: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p>
          <w:p>
            <w:pPr>
              <w:snapToGrid w:val="0"/>
              <w:rPr>
                <w:rFonts w:ascii="楷体" w:hAnsi="楷体" w:eastAsia="楷体" w:cs="新宋体"/>
                <w:sz w:val="24"/>
                <w:szCs w:val="24"/>
              </w:rPr>
            </w:pPr>
            <w:r>
              <w:rPr>
                <w:rFonts w:hint="eastAsia" w:ascii="楷体" w:hAnsi="楷体" w:eastAsia="楷体" w:cs="Arial"/>
                <w:szCs w:val="21"/>
              </w:rPr>
              <w:t>EOHMS:6.1.2环境因素/危险源的辨识与评价、6.1.3合规义务、6.1.4措施的策划、8.1运行策划和控制、9.1监视、测量、分析和评价（9.1.1总则、9.1.2合规性评价）、8.2应急准备和响应,</w:t>
            </w:r>
          </w:p>
        </w:tc>
        <w:tc>
          <w:tcPr>
            <w:tcW w:w="577" w:type="dxa"/>
            <w:vMerge w:val="continue"/>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Align w:val="center"/>
          </w:tcPr>
          <w:p>
            <w:pPr>
              <w:spacing w:line="360" w:lineRule="auto"/>
              <w:rPr>
                <w:rFonts w:ascii="楷体" w:hAnsi="楷体" w:eastAsia="楷体"/>
                <w:color w:val="000000" w:themeColor="text1"/>
                <w:sz w:val="24"/>
                <w:szCs w:val="24"/>
              </w:rPr>
            </w:pPr>
            <w:r>
              <w:rPr>
                <w:rFonts w:hint="eastAsia" w:ascii="楷体" w:hAnsi="楷体" w:eastAsia="楷体" w:cs="Arial"/>
                <w:sz w:val="24"/>
                <w:szCs w:val="24"/>
              </w:rPr>
              <w:t>组织的岗位、职责和权限</w:t>
            </w:r>
          </w:p>
        </w:tc>
        <w:tc>
          <w:tcPr>
            <w:tcW w:w="1164" w:type="dxa"/>
          </w:tcPr>
          <w:p>
            <w:pPr>
              <w:spacing w:line="360" w:lineRule="auto"/>
              <w:rPr>
                <w:rFonts w:ascii="楷体" w:hAnsi="楷体" w:eastAsia="楷体" w:cs="Arial"/>
                <w:sz w:val="24"/>
                <w:szCs w:val="24"/>
              </w:rPr>
            </w:pPr>
          </w:p>
          <w:p>
            <w:pPr>
              <w:spacing w:line="360" w:lineRule="auto"/>
              <w:rPr>
                <w:rFonts w:ascii="楷体" w:hAnsi="楷体" w:eastAsia="楷体" w:cs="Arial"/>
                <w:sz w:val="24"/>
                <w:szCs w:val="24"/>
              </w:rPr>
            </w:pPr>
          </w:p>
          <w:p>
            <w:pPr>
              <w:pStyle w:val="2"/>
              <w:rPr>
                <w:rFonts w:ascii="楷体" w:hAnsi="楷体" w:eastAsia="楷体"/>
                <w:sz w:val="24"/>
                <w:szCs w:val="24"/>
              </w:rPr>
            </w:pPr>
          </w:p>
          <w:p>
            <w:pPr>
              <w:spacing w:line="360" w:lineRule="auto"/>
              <w:rPr>
                <w:rFonts w:ascii="楷体" w:hAnsi="楷体" w:eastAsia="楷体"/>
                <w:color w:val="000000" w:themeColor="text1"/>
                <w:sz w:val="24"/>
                <w:szCs w:val="24"/>
              </w:rPr>
            </w:pPr>
            <w:r>
              <w:rPr>
                <w:rFonts w:hint="eastAsia" w:ascii="楷体" w:hAnsi="楷体" w:eastAsia="楷体" w:cs="Arial"/>
                <w:sz w:val="24"/>
                <w:szCs w:val="24"/>
              </w:rPr>
              <w:t>QEO：5.3</w:t>
            </w:r>
          </w:p>
        </w:tc>
        <w:tc>
          <w:tcPr>
            <w:tcW w:w="11012" w:type="dxa"/>
            <w:vAlign w:val="center"/>
          </w:tcPr>
          <w:p>
            <w:pPr>
              <w:snapToGrid w:val="0"/>
              <w:spacing w:line="360" w:lineRule="auto"/>
              <w:rPr>
                <w:rFonts w:ascii="楷体" w:hAnsi="楷体" w:eastAsia="楷体" w:cs="新宋体"/>
                <w:sz w:val="24"/>
                <w:szCs w:val="24"/>
              </w:rPr>
            </w:pPr>
            <w:r>
              <w:rPr>
                <w:rFonts w:hint="eastAsia" w:ascii="楷体" w:hAnsi="楷体" w:eastAsia="楷体" w:cs="新宋体"/>
                <w:sz w:val="24"/>
                <w:szCs w:val="24"/>
              </w:rPr>
              <w:t>部门负责人：</w:t>
            </w:r>
            <w:r>
              <w:rPr>
                <w:rFonts w:hint="eastAsia" w:ascii="楷体" w:hAnsi="楷体" w:eastAsia="楷体"/>
                <w:bCs/>
                <w:sz w:val="24"/>
                <w:szCs w:val="24"/>
              </w:rPr>
              <w:t>宋永平，</w:t>
            </w:r>
            <w:r>
              <w:rPr>
                <w:rFonts w:ascii="楷体" w:hAnsi="楷体" w:eastAsia="楷体" w:cs="宋体"/>
                <w:sz w:val="24"/>
                <w:szCs w:val="24"/>
              </w:rPr>
              <w:t xml:space="preserve"> </w:t>
            </w:r>
            <w:r>
              <w:rPr>
                <w:rFonts w:ascii="楷体" w:hAnsi="楷体" w:eastAsia="楷体" w:cs="新宋体"/>
                <w:sz w:val="24"/>
                <w:szCs w:val="24"/>
              </w:rPr>
              <w:t xml:space="preserve">  </w:t>
            </w:r>
          </w:p>
          <w:p>
            <w:pPr>
              <w:snapToGrid w:val="0"/>
              <w:spacing w:line="360" w:lineRule="auto"/>
              <w:rPr>
                <w:rFonts w:ascii="楷体" w:hAnsi="楷体" w:eastAsia="楷体" w:cs="新宋体"/>
                <w:sz w:val="24"/>
                <w:szCs w:val="24"/>
              </w:rPr>
            </w:pPr>
            <w:r>
              <w:rPr>
                <w:rFonts w:hint="eastAsia" w:ascii="楷体" w:hAnsi="楷体" w:eastAsia="楷体" w:cs="新宋体"/>
                <w:sz w:val="24"/>
                <w:szCs w:val="24"/>
              </w:rPr>
              <w:t>询问主要职责：</w:t>
            </w:r>
          </w:p>
          <w:p>
            <w:pPr>
              <w:snapToGrid w:val="0"/>
              <w:spacing w:line="360" w:lineRule="auto"/>
              <w:rPr>
                <w:rFonts w:ascii="楷体" w:hAnsi="楷体" w:eastAsia="楷体" w:cs="新宋体"/>
                <w:sz w:val="24"/>
                <w:szCs w:val="24"/>
              </w:rPr>
            </w:pPr>
            <w:r>
              <w:rPr>
                <w:rFonts w:hint="eastAsia" w:ascii="楷体" w:hAnsi="楷体" w:eastAsia="楷体" w:cs="新宋体"/>
                <w:sz w:val="24"/>
                <w:szCs w:val="24"/>
              </w:rPr>
              <w:t>a. 贯彻落实GB/T19001-2015标准、GB/T24001-2015标准、GB/T45001-2020标准，作好质量、环境、职业安全健康管理体系的具体策划和组织管理工作；负责组织质量、环境和职业健康安全管理体系的内部审核；组织检查质量、环境、职业安全健康管理体系过程的运行情况。</w:t>
            </w:r>
          </w:p>
          <w:p>
            <w:pPr>
              <w:snapToGrid w:val="0"/>
              <w:spacing w:line="360" w:lineRule="auto"/>
              <w:rPr>
                <w:rFonts w:ascii="楷体" w:hAnsi="楷体" w:eastAsia="楷体" w:cs="新宋体"/>
                <w:sz w:val="24"/>
                <w:szCs w:val="24"/>
              </w:rPr>
            </w:pPr>
            <w:r>
              <w:rPr>
                <w:rFonts w:hint="eastAsia" w:ascii="楷体" w:hAnsi="楷体" w:eastAsia="楷体" w:cs="新宋体"/>
                <w:sz w:val="24"/>
                <w:szCs w:val="24"/>
              </w:rPr>
              <w:t>b.文件发放、回收的管理；</w:t>
            </w:r>
          </w:p>
          <w:p>
            <w:pPr>
              <w:snapToGrid w:val="0"/>
              <w:spacing w:line="360" w:lineRule="auto"/>
              <w:rPr>
                <w:rFonts w:ascii="楷体" w:hAnsi="楷体" w:eastAsia="楷体" w:cs="新宋体"/>
                <w:sz w:val="24"/>
                <w:szCs w:val="24"/>
              </w:rPr>
            </w:pPr>
            <w:r>
              <w:rPr>
                <w:rFonts w:hint="eastAsia" w:ascii="楷体" w:hAnsi="楷体" w:eastAsia="楷体" w:cs="新宋体"/>
                <w:sz w:val="24"/>
                <w:szCs w:val="24"/>
              </w:rPr>
              <w:t>c.负责人员的选择，并根据各部门的需求进行安排，编制相应的岗位工作入职要求；</w:t>
            </w:r>
          </w:p>
          <w:p>
            <w:pPr>
              <w:snapToGrid w:val="0"/>
              <w:spacing w:line="360" w:lineRule="auto"/>
              <w:rPr>
                <w:rFonts w:ascii="楷体" w:hAnsi="楷体" w:eastAsia="楷体" w:cs="新宋体"/>
                <w:sz w:val="24"/>
                <w:szCs w:val="24"/>
              </w:rPr>
            </w:pPr>
            <w:r>
              <w:rPr>
                <w:rFonts w:hint="eastAsia" w:ascii="楷体" w:hAnsi="楷体" w:eastAsia="楷体" w:cs="新宋体"/>
                <w:sz w:val="24"/>
                <w:szCs w:val="24"/>
              </w:rPr>
              <w:t>d.组织对各类人员进行有针对性的培训、考核及评价工作，不断提高质量、环境、职业安全健康意识素质和技能；</w:t>
            </w:r>
          </w:p>
          <w:p>
            <w:pPr>
              <w:snapToGrid w:val="0"/>
              <w:spacing w:line="360" w:lineRule="auto"/>
              <w:rPr>
                <w:rFonts w:ascii="楷体" w:hAnsi="楷体" w:eastAsia="楷体" w:cs="新宋体"/>
                <w:sz w:val="24"/>
                <w:szCs w:val="24"/>
              </w:rPr>
            </w:pPr>
            <w:r>
              <w:rPr>
                <w:rFonts w:hint="eastAsia" w:ascii="楷体" w:hAnsi="楷体" w:eastAsia="楷体" w:cs="新宋体"/>
                <w:sz w:val="24"/>
                <w:szCs w:val="24"/>
              </w:rPr>
              <w:t>e.负责法律、法规及其他要求的获取及识别其适用性，并负责法律、法规及其他要求的发放；</w:t>
            </w:r>
          </w:p>
          <w:p>
            <w:pPr>
              <w:snapToGrid w:val="0"/>
              <w:spacing w:line="360" w:lineRule="auto"/>
              <w:rPr>
                <w:rFonts w:ascii="楷体" w:hAnsi="楷体" w:eastAsia="楷体" w:cs="新宋体"/>
                <w:sz w:val="24"/>
                <w:szCs w:val="24"/>
              </w:rPr>
            </w:pPr>
            <w:r>
              <w:rPr>
                <w:rFonts w:hint="eastAsia" w:ascii="楷体" w:hAnsi="楷体" w:eastAsia="楷体" w:cs="新宋体"/>
                <w:sz w:val="24"/>
                <w:szCs w:val="24"/>
              </w:rPr>
              <w:t xml:space="preserve"> f.负责组织公司环境因素、危险源的识别和评价，并确定重要环境因素、危险源，报管理者代表审批。</w:t>
            </w:r>
          </w:p>
          <w:p>
            <w:pPr>
              <w:snapToGrid w:val="0"/>
              <w:spacing w:line="360" w:lineRule="auto"/>
              <w:rPr>
                <w:rFonts w:ascii="楷体" w:hAnsi="楷体" w:eastAsia="楷体" w:cs="新宋体"/>
                <w:sz w:val="24"/>
                <w:szCs w:val="24"/>
              </w:rPr>
            </w:pPr>
            <w:r>
              <w:rPr>
                <w:rFonts w:hint="eastAsia" w:ascii="楷体" w:hAnsi="楷体" w:eastAsia="楷体" w:cs="新宋体"/>
                <w:sz w:val="24"/>
                <w:szCs w:val="24"/>
              </w:rPr>
              <w:t xml:space="preserve"> g.负责监督检查工作场所的工作环境情况；</w:t>
            </w:r>
          </w:p>
          <w:p>
            <w:pPr>
              <w:snapToGrid w:val="0"/>
              <w:spacing w:line="360" w:lineRule="auto"/>
              <w:rPr>
                <w:rFonts w:ascii="楷体" w:hAnsi="楷体" w:eastAsia="楷体" w:cs="新宋体"/>
                <w:sz w:val="24"/>
                <w:szCs w:val="24"/>
              </w:rPr>
            </w:pPr>
            <w:r>
              <w:rPr>
                <w:rFonts w:hint="eastAsia" w:ascii="楷体" w:hAnsi="楷体" w:eastAsia="楷体" w:cs="新宋体"/>
                <w:sz w:val="24"/>
                <w:szCs w:val="24"/>
              </w:rPr>
              <w:t xml:space="preserve"> h.负责公司范围内的应急准备和相应计划的制定及可行性的应急演练。</w:t>
            </w:r>
          </w:p>
          <w:p>
            <w:pPr>
              <w:snapToGrid w:val="0"/>
              <w:spacing w:line="360" w:lineRule="auto"/>
              <w:rPr>
                <w:rFonts w:ascii="楷体" w:hAnsi="楷体" w:eastAsia="楷体" w:cs="新宋体"/>
                <w:sz w:val="24"/>
                <w:szCs w:val="24"/>
              </w:rPr>
            </w:pPr>
            <w:r>
              <w:rPr>
                <w:rFonts w:hint="eastAsia" w:ascii="楷体" w:hAnsi="楷体" w:eastAsia="楷体" w:cs="新宋体"/>
                <w:sz w:val="24"/>
                <w:szCs w:val="24"/>
              </w:rPr>
              <w:t xml:space="preserve"> j.负责监督检查公司各职能部门有关层次上的管理目标的分解、实施及管理方案的制定、检查与实施。</w:t>
            </w:r>
          </w:p>
          <w:p>
            <w:pPr>
              <w:snapToGrid w:val="0"/>
              <w:spacing w:line="360" w:lineRule="auto"/>
              <w:rPr>
                <w:rFonts w:ascii="楷体" w:hAnsi="楷体" w:eastAsia="楷体" w:cs="新宋体"/>
                <w:sz w:val="24"/>
                <w:szCs w:val="24"/>
              </w:rPr>
            </w:pPr>
            <w:r>
              <w:rPr>
                <w:rFonts w:hint="eastAsia" w:ascii="楷体" w:hAnsi="楷体" w:eastAsia="楷体" w:cs="新宋体"/>
                <w:sz w:val="24"/>
                <w:szCs w:val="24"/>
              </w:rPr>
              <w:t xml:space="preserve"> k.负责收集、整理和保管本部门的质量记录以及相关数据收集、传递和交流；</w:t>
            </w:r>
          </w:p>
          <w:p>
            <w:pPr>
              <w:snapToGrid w:val="0"/>
              <w:spacing w:line="360" w:lineRule="auto"/>
              <w:rPr>
                <w:rFonts w:ascii="楷体" w:hAnsi="楷体" w:eastAsia="楷体" w:cs="新宋体"/>
                <w:sz w:val="24"/>
                <w:szCs w:val="24"/>
              </w:rPr>
            </w:pPr>
            <w:r>
              <w:rPr>
                <w:rFonts w:hint="eastAsia" w:ascii="楷体" w:hAnsi="楷体" w:eastAsia="楷体" w:cs="新宋体"/>
                <w:sz w:val="24"/>
                <w:szCs w:val="24"/>
              </w:rPr>
              <w:t xml:space="preserve"> l.负责对环境、安全健康方面的不符合进行纠正和预防措施的跟踪、验证工作；</w:t>
            </w:r>
          </w:p>
          <w:p>
            <w:pPr>
              <w:snapToGrid w:val="0"/>
              <w:spacing w:line="360" w:lineRule="auto"/>
              <w:rPr>
                <w:rFonts w:ascii="楷体" w:hAnsi="楷体" w:eastAsia="楷体" w:cs="新宋体"/>
                <w:sz w:val="24"/>
                <w:szCs w:val="24"/>
              </w:rPr>
            </w:pPr>
            <w:r>
              <w:rPr>
                <w:rFonts w:hint="eastAsia" w:ascii="楷体" w:hAnsi="楷体" w:eastAsia="楷体" w:cs="新宋体"/>
                <w:sz w:val="24"/>
                <w:szCs w:val="24"/>
              </w:rPr>
              <w:t>部门职责清晰、明确。办公室负责人能基本阐述本部门的主要职责。</w:t>
            </w:r>
          </w:p>
        </w:tc>
        <w:tc>
          <w:tcPr>
            <w:tcW w:w="577"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6" w:type="dxa"/>
          </w:tcPr>
          <w:p>
            <w:pPr>
              <w:rPr>
                <w:rFonts w:ascii="楷体" w:hAnsi="楷体" w:eastAsia="楷体" w:cstheme="minorEastAsia"/>
                <w:color w:val="000000" w:themeColor="text1"/>
                <w:sz w:val="24"/>
                <w:szCs w:val="24"/>
              </w:rPr>
            </w:pPr>
          </w:p>
          <w:p>
            <w:pPr>
              <w:rPr>
                <w:rFonts w:ascii="楷体" w:hAnsi="楷体" w:eastAsia="楷体" w:cstheme="minorEastAsia"/>
                <w:color w:val="000000" w:themeColor="text1"/>
                <w:sz w:val="24"/>
                <w:szCs w:val="24"/>
              </w:rPr>
            </w:pPr>
          </w:p>
          <w:p>
            <w:pPr>
              <w:rPr>
                <w:rFonts w:ascii="楷体" w:hAnsi="楷体" w:eastAsia="楷体" w:cstheme="minorEastAsia"/>
                <w:color w:val="000000" w:themeColor="text1"/>
                <w:sz w:val="24"/>
                <w:szCs w:val="24"/>
              </w:rPr>
            </w:pPr>
          </w:p>
          <w:p>
            <w:pPr>
              <w:rPr>
                <w:rFonts w:ascii="楷体" w:hAnsi="楷体" w:eastAsia="楷体" w:cstheme="minorEastAsia"/>
                <w:color w:val="000000" w:themeColor="text1"/>
                <w:sz w:val="24"/>
                <w:szCs w:val="24"/>
              </w:rPr>
            </w:pPr>
          </w:p>
          <w:p>
            <w:pPr>
              <w:rPr>
                <w:rFonts w:ascii="楷体" w:hAnsi="楷体" w:eastAsia="楷体" w:cstheme="minorEastAsia"/>
                <w:color w:val="000000" w:themeColor="text1"/>
                <w:sz w:val="24"/>
                <w:szCs w:val="24"/>
              </w:rPr>
            </w:pPr>
          </w:p>
          <w:p>
            <w:pPr>
              <w:rPr>
                <w:rFonts w:ascii="楷体" w:hAnsi="楷体" w:eastAsia="楷体" w:cstheme="minorEastAsia"/>
                <w:color w:val="000000" w:themeColor="text1"/>
                <w:sz w:val="24"/>
                <w:szCs w:val="24"/>
              </w:rPr>
            </w:pPr>
          </w:p>
          <w:p>
            <w:pPr>
              <w:rPr>
                <w:rFonts w:ascii="楷体" w:hAnsi="楷体" w:eastAsia="楷体" w:cstheme="minorEastAsia"/>
                <w:color w:val="000000" w:themeColor="text1"/>
                <w:sz w:val="24"/>
                <w:szCs w:val="24"/>
              </w:rPr>
            </w:pPr>
          </w:p>
          <w:p>
            <w:pPr>
              <w:rPr>
                <w:rFonts w:ascii="楷体" w:hAnsi="楷体" w:eastAsia="楷体" w:cstheme="minorEastAsia"/>
                <w:color w:val="000000" w:themeColor="text1"/>
                <w:sz w:val="24"/>
                <w:szCs w:val="24"/>
              </w:rPr>
            </w:pPr>
            <w:r>
              <w:rPr>
                <w:rFonts w:hint="eastAsia" w:ascii="楷体" w:hAnsi="楷体" w:eastAsia="楷体" w:cstheme="minorEastAsia"/>
                <w:color w:val="000000" w:themeColor="text1"/>
                <w:sz w:val="24"/>
                <w:szCs w:val="24"/>
              </w:rPr>
              <w:t>目标、指标管理方案</w:t>
            </w:r>
          </w:p>
          <w:p>
            <w:pPr>
              <w:rPr>
                <w:rFonts w:ascii="楷体" w:hAnsi="楷体" w:eastAsia="楷体"/>
                <w:color w:val="000000" w:themeColor="text1"/>
                <w:sz w:val="24"/>
                <w:szCs w:val="24"/>
              </w:rPr>
            </w:pPr>
          </w:p>
        </w:tc>
        <w:tc>
          <w:tcPr>
            <w:tcW w:w="1164" w:type="dxa"/>
          </w:tcPr>
          <w:p>
            <w:pPr>
              <w:pStyle w:val="17"/>
              <w:rPr>
                <w:rFonts w:ascii="楷体" w:hAnsi="楷体" w:eastAsia="楷体" w:cs="Arial"/>
                <w:sz w:val="24"/>
                <w:szCs w:val="24"/>
              </w:rPr>
            </w:pPr>
          </w:p>
          <w:p>
            <w:pPr>
              <w:pStyle w:val="17"/>
              <w:rPr>
                <w:rFonts w:ascii="楷体" w:hAnsi="楷体" w:eastAsia="楷体" w:cs="Arial"/>
                <w:sz w:val="24"/>
                <w:szCs w:val="24"/>
              </w:rPr>
            </w:pPr>
          </w:p>
          <w:p>
            <w:pPr>
              <w:pStyle w:val="17"/>
              <w:rPr>
                <w:rFonts w:ascii="楷体" w:hAnsi="楷体" w:eastAsia="楷体" w:cs="Arial"/>
                <w:sz w:val="24"/>
                <w:szCs w:val="24"/>
              </w:rPr>
            </w:pPr>
          </w:p>
          <w:p>
            <w:pPr>
              <w:pStyle w:val="17"/>
              <w:rPr>
                <w:rFonts w:ascii="楷体" w:hAnsi="楷体" w:eastAsia="楷体" w:cs="Arial"/>
                <w:sz w:val="24"/>
                <w:szCs w:val="24"/>
              </w:rPr>
            </w:pPr>
          </w:p>
          <w:p>
            <w:pPr>
              <w:pStyle w:val="17"/>
              <w:rPr>
                <w:rFonts w:ascii="楷体" w:hAnsi="楷体" w:eastAsia="楷体" w:cs="Arial"/>
                <w:sz w:val="24"/>
                <w:szCs w:val="24"/>
              </w:rPr>
            </w:pPr>
          </w:p>
          <w:p>
            <w:pPr>
              <w:pStyle w:val="17"/>
              <w:rPr>
                <w:rFonts w:ascii="楷体" w:hAnsi="楷体" w:eastAsia="楷体" w:cs="Arial"/>
                <w:sz w:val="24"/>
                <w:szCs w:val="24"/>
              </w:rPr>
            </w:pPr>
          </w:p>
          <w:p>
            <w:pPr>
              <w:pStyle w:val="17"/>
              <w:rPr>
                <w:rFonts w:ascii="楷体" w:hAnsi="楷体" w:eastAsia="楷体"/>
                <w:color w:val="000000" w:themeColor="text1"/>
                <w:sz w:val="24"/>
                <w:szCs w:val="24"/>
              </w:rPr>
            </w:pPr>
            <w:r>
              <w:rPr>
                <w:rFonts w:hint="eastAsia" w:ascii="楷体" w:hAnsi="楷体" w:eastAsia="楷体" w:cs="Arial"/>
                <w:sz w:val="24"/>
                <w:szCs w:val="24"/>
              </w:rPr>
              <w:t>QEO：</w:t>
            </w:r>
            <w:r>
              <w:rPr>
                <w:rFonts w:hint="eastAsia" w:ascii="楷体" w:hAnsi="楷体" w:eastAsia="楷体" w:cs="新宋体"/>
                <w:sz w:val="24"/>
                <w:szCs w:val="24"/>
              </w:rPr>
              <w:t>6.2</w:t>
            </w:r>
          </w:p>
        </w:tc>
        <w:tc>
          <w:tcPr>
            <w:tcW w:w="11012" w:type="dxa"/>
          </w:tcPr>
          <w:p>
            <w:pPr>
              <w:autoSpaceDE w:val="0"/>
              <w:autoSpaceDN w:val="0"/>
              <w:spacing w:line="360" w:lineRule="auto"/>
              <w:ind w:firstLine="240" w:firstLineChars="100"/>
              <w:rPr>
                <w:rFonts w:ascii="楷体" w:hAnsi="楷体" w:eastAsia="楷体"/>
                <w:sz w:val="24"/>
                <w:szCs w:val="24"/>
              </w:rPr>
            </w:pPr>
            <w:r>
              <w:rPr>
                <w:rFonts w:hint="eastAsia" w:ascii="楷体" w:hAnsi="楷体" w:eastAsia="楷体"/>
                <w:sz w:val="24"/>
                <w:szCs w:val="24"/>
              </w:rPr>
              <w:t>公司编制了《目标、指标和方案控制程序</w:t>
            </w:r>
            <w:r>
              <w:rPr>
                <w:rFonts w:hint="eastAsia" w:ascii="楷体" w:hAnsi="楷体" w:eastAsia="楷体"/>
                <w:sz w:val="24"/>
                <w:szCs w:val="24"/>
              </w:rPr>
              <w:tab/>
            </w:r>
            <w:r>
              <w:rPr>
                <w:rFonts w:hint="eastAsia" w:ascii="楷体" w:hAnsi="楷体" w:eastAsia="楷体"/>
                <w:sz w:val="24"/>
                <w:szCs w:val="24"/>
              </w:rPr>
              <w:t>SXHJ-QES/CX-05-2021》，</w:t>
            </w:r>
          </w:p>
          <w:p>
            <w:pPr>
              <w:autoSpaceDE w:val="0"/>
              <w:autoSpaceDN w:val="0"/>
              <w:spacing w:line="360" w:lineRule="auto"/>
              <w:ind w:firstLine="240" w:firstLineChars="100"/>
              <w:rPr>
                <w:rFonts w:ascii="楷体" w:hAnsi="楷体" w:eastAsia="楷体"/>
                <w:sz w:val="24"/>
                <w:szCs w:val="24"/>
              </w:rPr>
            </w:pPr>
            <w:r>
              <w:rPr>
                <w:rFonts w:hint="eastAsia" w:ascii="楷体" w:hAnsi="楷体" w:eastAsia="楷体"/>
                <w:sz w:val="24"/>
                <w:szCs w:val="24"/>
              </w:rPr>
              <w:t>公司有将质量、环境、职业健康安全目标分解到各个部门，</w:t>
            </w:r>
          </w:p>
          <w:p>
            <w:pPr>
              <w:autoSpaceDE w:val="0"/>
              <w:autoSpaceDN w:val="0"/>
              <w:spacing w:line="360" w:lineRule="auto"/>
              <w:rPr>
                <w:rFonts w:ascii="楷体" w:hAnsi="楷体" w:eastAsia="楷体"/>
                <w:sz w:val="24"/>
                <w:szCs w:val="24"/>
              </w:rPr>
            </w:pPr>
            <w:r>
              <w:rPr>
                <w:rFonts w:hint="eastAsia" w:ascii="楷体" w:hAnsi="楷体" w:eastAsia="楷体" w:cs="新宋体"/>
                <w:color w:val="000000" w:themeColor="text1"/>
                <w:sz w:val="24"/>
                <w:szCs w:val="24"/>
              </w:rPr>
              <w:t>办</w:t>
            </w:r>
            <w:r>
              <w:rPr>
                <w:rFonts w:hint="eastAsia" w:ascii="楷体" w:hAnsi="楷体" w:eastAsia="楷体"/>
                <w:sz w:val="24"/>
                <w:szCs w:val="24"/>
              </w:rPr>
              <w:t>公室的目标：</w:t>
            </w:r>
          </w:p>
          <w:p>
            <w:pPr>
              <w:numPr>
                <w:ilvl w:val="0"/>
                <w:numId w:val="2"/>
              </w:numPr>
              <w:spacing w:line="360" w:lineRule="exact"/>
              <w:rPr>
                <w:rFonts w:ascii="楷体" w:hAnsi="楷体" w:eastAsia="楷体"/>
                <w:sz w:val="24"/>
                <w:szCs w:val="24"/>
              </w:rPr>
            </w:pPr>
            <w:r>
              <w:rPr>
                <w:rFonts w:hint="eastAsia" w:ascii="楷体" w:hAnsi="楷体" w:eastAsia="楷体"/>
                <w:sz w:val="24"/>
                <w:szCs w:val="24"/>
              </w:rPr>
              <w:t>文件发放受控率100%</w:t>
            </w:r>
          </w:p>
          <w:p>
            <w:pPr>
              <w:numPr>
                <w:ilvl w:val="0"/>
                <w:numId w:val="2"/>
              </w:numPr>
              <w:spacing w:line="360" w:lineRule="exact"/>
              <w:rPr>
                <w:rFonts w:ascii="楷体" w:hAnsi="楷体" w:eastAsia="楷体"/>
                <w:sz w:val="24"/>
                <w:szCs w:val="24"/>
              </w:rPr>
            </w:pPr>
            <w:r>
              <w:rPr>
                <w:rFonts w:hint="eastAsia" w:ascii="楷体" w:hAnsi="楷体" w:eastAsia="楷体"/>
                <w:sz w:val="24"/>
                <w:szCs w:val="24"/>
              </w:rPr>
              <w:t>采购产品验收合格率≥98%</w:t>
            </w:r>
          </w:p>
          <w:p>
            <w:pPr>
              <w:numPr>
                <w:ilvl w:val="0"/>
                <w:numId w:val="2"/>
              </w:numPr>
              <w:spacing w:line="360" w:lineRule="exact"/>
              <w:rPr>
                <w:rFonts w:ascii="楷体" w:hAnsi="楷体" w:eastAsia="楷体"/>
                <w:sz w:val="24"/>
                <w:szCs w:val="24"/>
              </w:rPr>
            </w:pPr>
            <w:r>
              <w:rPr>
                <w:rFonts w:hint="eastAsia" w:ascii="楷体" w:hAnsi="楷体" w:eastAsia="楷体"/>
                <w:sz w:val="24"/>
                <w:szCs w:val="24"/>
              </w:rPr>
              <w:t>固废分类回收率100%</w:t>
            </w:r>
          </w:p>
          <w:p>
            <w:pPr>
              <w:numPr>
                <w:ilvl w:val="0"/>
                <w:numId w:val="2"/>
              </w:numPr>
              <w:spacing w:line="360" w:lineRule="exact"/>
              <w:rPr>
                <w:rFonts w:ascii="楷体" w:hAnsi="楷体" w:eastAsia="楷体"/>
                <w:sz w:val="24"/>
                <w:szCs w:val="24"/>
              </w:rPr>
            </w:pPr>
            <w:r>
              <w:rPr>
                <w:rFonts w:hint="eastAsia" w:ascii="楷体" w:hAnsi="楷体" w:eastAsia="楷体"/>
                <w:sz w:val="24"/>
                <w:szCs w:val="24"/>
              </w:rPr>
              <w:t>培训计划完成率100%</w:t>
            </w:r>
          </w:p>
          <w:p>
            <w:pPr>
              <w:numPr>
                <w:ilvl w:val="0"/>
                <w:numId w:val="2"/>
              </w:numPr>
              <w:spacing w:line="360" w:lineRule="exact"/>
              <w:rPr>
                <w:rFonts w:ascii="楷体" w:hAnsi="楷体" w:eastAsia="楷体"/>
                <w:sz w:val="24"/>
                <w:szCs w:val="24"/>
              </w:rPr>
            </w:pPr>
            <w:r>
              <w:rPr>
                <w:rFonts w:hint="eastAsia" w:ascii="楷体" w:hAnsi="楷体" w:eastAsia="楷体"/>
                <w:sz w:val="24"/>
                <w:szCs w:val="24"/>
              </w:rPr>
              <w:t>火灾事故为零</w:t>
            </w:r>
          </w:p>
          <w:p>
            <w:pPr>
              <w:tabs>
                <w:tab w:val="center" w:pos="3169"/>
              </w:tabs>
              <w:spacing w:line="360" w:lineRule="auto"/>
              <w:rPr>
                <w:rFonts w:ascii="楷体" w:hAnsi="楷体" w:eastAsia="楷体"/>
                <w:sz w:val="24"/>
                <w:szCs w:val="24"/>
              </w:rPr>
            </w:pPr>
            <w:r>
              <w:rPr>
                <w:rFonts w:hint="eastAsia" w:ascii="楷体" w:hAnsi="楷体" w:eastAsia="楷体"/>
                <w:sz w:val="24"/>
                <w:szCs w:val="24"/>
              </w:rPr>
              <w:t>2021.7.20日检查能达标。</w:t>
            </w:r>
          </w:p>
          <w:p>
            <w:pPr>
              <w:tabs>
                <w:tab w:val="center" w:pos="3169"/>
              </w:tabs>
              <w:spacing w:line="360" w:lineRule="auto"/>
              <w:rPr>
                <w:rFonts w:ascii="楷体" w:hAnsi="楷体" w:eastAsia="楷体"/>
                <w:sz w:val="24"/>
                <w:szCs w:val="24"/>
              </w:rPr>
            </w:pPr>
            <w:r>
              <w:rPr>
                <w:rFonts w:hint="eastAsia" w:ascii="楷体" w:hAnsi="楷体" w:eastAsia="楷体"/>
                <w:sz w:val="24"/>
                <w:szCs w:val="24"/>
              </w:rPr>
              <w:t>提供“环境、职业健康目标管理方案”，</w:t>
            </w:r>
          </w:p>
          <w:p>
            <w:pPr>
              <w:pStyle w:val="3"/>
              <w:rPr>
                <w:rFonts w:ascii="楷体" w:hAnsi="楷体" w:eastAsia="楷体"/>
                <w:sz w:val="24"/>
                <w:szCs w:val="24"/>
              </w:rPr>
            </w:pPr>
          </w:p>
          <w:p>
            <w:pPr>
              <w:pStyle w:val="3"/>
              <w:ind w:left="0"/>
              <w:rPr>
                <w:rFonts w:ascii="楷体" w:hAnsi="楷体" w:eastAsia="楷体"/>
                <w:sz w:val="24"/>
                <w:szCs w:val="24"/>
              </w:rPr>
            </w:pPr>
          </w:p>
          <w:p>
            <w:pPr>
              <w:pStyle w:val="3"/>
              <w:ind w:left="0"/>
              <w:rPr>
                <w:rFonts w:ascii="楷体" w:hAnsi="楷体" w:eastAsia="楷体"/>
                <w:sz w:val="24"/>
                <w:szCs w:val="24"/>
              </w:rPr>
            </w:pPr>
          </w:p>
          <w:p>
            <w:pPr>
              <w:pStyle w:val="3"/>
              <w:ind w:left="0"/>
              <w:rPr>
                <w:rFonts w:ascii="楷体" w:hAnsi="楷体" w:eastAsia="楷体"/>
                <w:sz w:val="24"/>
                <w:szCs w:val="24"/>
              </w:rPr>
            </w:pPr>
            <w:r>
              <w:drawing>
                <wp:anchor distT="0" distB="0" distL="114300" distR="114300" simplePos="0" relativeHeight="251663360" behindDoc="0" locked="0" layoutInCell="1" allowOverlap="1">
                  <wp:simplePos x="0" y="0"/>
                  <wp:positionH relativeFrom="column">
                    <wp:posOffset>190500</wp:posOffset>
                  </wp:positionH>
                  <wp:positionV relativeFrom="paragraph">
                    <wp:posOffset>156210</wp:posOffset>
                  </wp:positionV>
                  <wp:extent cx="5772150" cy="362775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biLevel thresh="75000"/>
                          </a:blip>
                          <a:stretch>
                            <a:fillRect/>
                          </a:stretch>
                        </pic:blipFill>
                        <pic:spPr>
                          <a:xfrm>
                            <a:off x="0" y="0"/>
                            <a:ext cx="5772150" cy="3627755"/>
                          </a:xfrm>
                          <a:prstGeom prst="rect">
                            <a:avLst/>
                          </a:prstGeom>
                        </pic:spPr>
                      </pic:pic>
                    </a:graphicData>
                  </a:graphic>
                </wp:anchor>
              </w:drawing>
            </w:r>
          </w:p>
          <w:p>
            <w:pPr>
              <w:pStyle w:val="3"/>
              <w:ind w:left="0"/>
              <w:rPr>
                <w:rFonts w:ascii="楷体" w:hAnsi="楷体" w:eastAsia="楷体"/>
                <w:sz w:val="24"/>
                <w:szCs w:val="24"/>
              </w:rPr>
            </w:pPr>
          </w:p>
          <w:p>
            <w:pPr>
              <w:pStyle w:val="3"/>
              <w:ind w:left="0"/>
              <w:rPr>
                <w:rFonts w:ascii="楷体" w:hAnsi="楷体" w:eastAsia="楷体"/>
                <w:sz w:val="24"/>
                <w:szCs w:val="24"/>
              </w:rPr>
            </w:pPr>
          </w:p>
          <w:p>
            <w:pPr>
              <w:pStyle w:val="3"/>
              <w:ind w:left="0"/>
              <w:rPr>
                <w:rFonts w:ascii="楷体" w:hAnsi="楷体" w:eastAsia="楷体"/>
                <w:sz w:val="24"/>
                <w:szCs w:val="24"/>
              </w:rPr>
            </w:pPr>
          </w:p>
          <w:p>
            <w:pPr>
              <w:pStyle w:val="3"/>
              <w:ind w:left="0"/>
              <w:rPr>
                <w:rFonts w:ascii="楷体" w:hAnsi="楷体" w:eastAsia="楷体"/>
                <w:sz w:val="24"/>
                <w:szCs w:val="24"/>
              </w:rPr>
            </w:pPr>
          </w:p>
          <w:p>
            <w:pPr>
              <w:pStyle w:val="3"/>
              <w:ind w:left="0"/>
              <w:rPr>
                <w:rFonts w:ascii="楷体" w:hAnsi="楷体" w:eastAsia="楷体"/>
                <w:sz w:val="24"/>
                <w:szCs w:val="24"/>
              </w:rPr>
            </w:pPr>
          </w:p>
          <w:p>
            <w:pPr>
              <w:pStyle w:val="3"/>
              <w:ind w:left="0"/>
              <w:rPr>
                <w:rFonts w:ascii="楷体" w:hAnsi="楷体" w:eastAsia="楷体"/>
                <w:sz w:val="24"/>
                <w:szCs w:val="24"/>
              </w:rPr>
            </w:pPr>
          </w:p>
          <w:p>
            <w:pPr>
              <w:pStyle w:val="3"/>
              <w:ind w:left="0"/>
              <w:rPr>
                <w:rFonts w:ascii="楷体" w:hAnsi="楷体" w:eastAsia="楷体"/>
                <w:sz w:val="24"/>
                <w:szCs w:val="24"/>
              </w:rPr>
            </w:pPr>
          </w:p>
          <w:p>
            <w:pPr>
              <w:pStyle w:val="3"/>
              <w:ind w:left="0"/>
              <w:rPr>
                <w:rFonts w:ascii="楷体" w:hAnsi="楷体" w:eastAsia="楷体"/>
                <w:sz w:val="24"/>
                <w:szCs w:val="24"/>
              </w:rPr>
            </w:pPr>
          </w:p>
          <w:p>
            <w:pPr>
              <w:pStyle w:val="3"/>
              <w:ind w:left="0"/>
              <w:rPr>
                <w:rFonts w:ascii="楷体" w:hAnsi="楷体" w:eastAsia="楷体"/>
                <w:sz w:val="24"/>
                <w:szCs w:val="24"/>
              </w:rPr>
            </w:pPr>
          </w:p>
          <w:p>
            <w:pPr>
              <w:pStyle w:val="3"/>
              <w:ind w:left="0"/>
              <w:rPr>
                <w:rFonts w:ascii="楷体" w:hAnsi="楷体" w:eastAsia="楷体"/>
                <w:sz w:val="24"/>
                <w:szCs w:val="24"/>
              </w:rPr>
            </w:pPr>
          </w:p>
          <w:p>
            <w:pPr>
              <w:pStyle w:val="3"/>
              <w:ind w:left="0"/>
              <w:rPr>
                <w:rFonts w:ascii="楷体" w:hAnsi="楷体" w:eastAsia="楷体"/>
                <w:sz w:val="24"/>
                <w:szCs w:val="24"/>
              </w:rPr>
            </w:pPr>
          </w:p>
          <w:p>
            <w:pPr>
              <w:pStyle w:val="3"/>
              <w:ind w:left="0"/>
              <w:rPr>
                <w:rFonts w:hint="eastAsia" w:ascii="楷体" w:hAnsi="楷体" w:eastAsia="楷体"/>
                <w:sz w:val="24"/>
                <w:szCs w:val="24"/>
              </w:rPr>
            </w:pPr>
          </w:p>
          <w:p>
            <w:pPr>
              <w:pStyle w:val="3"/>
              <w:ind w:left="0"/>
              <w:rPr>
                <w:rFonts w:hint="eastAsia" w:ascii="楷体" w:hAnsi="楷体" w:eastAsia="楷体"/>
                <w:sz w:val="24"/>
                <w:szCs w:val="24"/>
              </w:rPr>
            </w:pPr>
          </w:p>
          <w:p>
            <w:pPr>
              <w:pStyle w:val="3"/>
              <w:ind w:left="0"/>
              <w:rPr>
                <w:rFonts w:hint="eastAsia" w:ascii="楷体" w:hAnsi="楷体" w:eastAsia="楷体"/>
                <w:sz w:val="24"/>
                <w:szCs w:val="24"/>
              </w:rPr>
            </w:pPr>
          </w:p>
          <w:p>
            <w:pPr>
              <w:pStyle w:val="3"/>
              <w:ind w:left="0"/>
              <w:rPr>
                <w:rFonts w:hint="eastAsia" w:ascii="楷体" w:hAnsi="楷体" w:eastAsia="楷体"/>
                <w:sz w:val="24"/>
                <w:szCs w:val="24"/>
              </w:rPr>
            </w:pPr>
          </w:p>
          <w:p>
            <w:pPr>
              <w:pStyle w:val="3"/>
              <w:ind w:left="0"/>
              <w:rPr>
                <w:rFonts w:ascii="楷体" w:hAnsi="楷体" w:eastAsia="楷体"/>
                <w:sz w:val="24"/>
                <w:szCs w:val="24"/>
              </w:rPr>
            </w:pPr>
          </w:p>
          <w:p>
            <w:pPr>
              <w:pStyle w:val="3"/>
              <w:ind w:left="0"/>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cs="宋体"/>
                <w:sz w:val="24"/>
                <w:szCs w:val="24"/>
              </w:rPr>
              <w:t>管理方案由责任部门组织实施，能完成。</w:t>
            </w:r>
          </w:p>
        </w:tc>
        <w:tc>
          <w:tcPr>
            <w:tcW w:w="577"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tcPr>
          <w:p>
            <w:pPr>
              <w:rPr>
                <w:rFonts w:ascii="楷体" w:hAnsi="楷体" w:eastAsia="楷体"/>
                <w:color w:val="000000" w:themeColor="text1"/>
                <w:sz w:val="24"/>
                <w:szCs w:val="24"/>
              </w:rPr>
            </w:pPr>
          </w:p>
          <w:p>
            <w:pPr>
              <w:rPr>
                <w:rFonts w:ascii="楷体" w:hAnsi="楷体" w:eastAsia="楷体"/>
                <w:color w:val="000000" w:themeColor="text1"/>
                <w:sz w:val="24"/>
                <w:szCs w:val="24"/>
              </w:rPr>
            </w:pPr>
          </w:p>
          <w:p>
            <w:pPr>
              <w:pStyle w:val="2"/>
              <w:rPr>
                <w:rFonts w:ascii="楷体" w:hAnsi="楷体" w:eastAsia="楷体"/>
                <w:color w:val="000000" w:themeColor="text1"/>
                <w:sz w:val="24"/>
                <w:szCs w:val="24"/>
              </w:rPr>
            </w:pPr>
          </w:p>
          <w:p>
            <w:pPr>
              <w:pStyle w:val="3"/>
              <w:rPr>
                <w:rFonts w:ascii="楷体" w:hAnsi="楷体" w:eastAsia="楷体"/>
                <w:color w:val="000000" w:themeColor="text1"/>
                <w:sz w:val="24"/>
                <w:szCs w:val="24"/>
              </w:rPr>
            </w:pPr>
          </w:p>
          <w:p>
            <w:pPr>
              <w:pStyle w:val="3"/>
              <w:rPr>
                <w:rFonts w:ascii="楷体" w:hAnsi="楷体" w:eastAsia="楷体"/>
                <w:color w:val="000000" w:themeColor="text1"/>
                <w:sz w:val="24"/>
                <w:szCs w:val="24"/>
              </w:rPr>
            </w:pPr>
          </w:p>
          <w:p>
            <w:pPr>
              <w:pStyle w:val="3"/>
              <w:rPr>
                <w:rFonts w:ascii="楷体" w:hAnsi="楷体" w:eastAsia="楷体"/>
                <w:color w:val="000000" w:themeColor="text1"/>
                <w:sz w:val="24"/>
                <w:szCs w:val="24"/>
              </w:rPr>
            </w:pPr>
          </w:p>
          <w:p>
            <w:pPr>
              <w:rPr>
                <w:rFonts w:ascii="楷体" w:hAnsi="楷体" w:eastAsia="楷体"/>
                <w:color w:val="000000" w:themeColor="text1"/>
                <w:sz w:val="24"/>
                <w:szCs w:val="24"/>
              </w:rPr>
            </w:pPr>
            <w:r>
              <w:rPr>
                <w:rFonts w:hint="eastAsia" w:ascii="楷体" w:hAnsi="楷体" w:eastAsia="楷体"/>
                <w:color w:val="000000" w:themeColor="text1"/>
                <w:sz w:val="24"/>
                <w:szCs w:val="24"/>
              </w:rPr>
              <w:t>人员、能力、培训</w:t>
            </w:r>
          </w:p>
        </w:tc>
        <w:tc>
          <w:tcPr>
            <w:tcW w:w="1164" w:type="dxa"/>
          </w:tcPr>
          <w:p>
            <w:pPr>
              <w:pStyle w:val="17"/>
              <w:rPr>
                <w:rFonts w:hint="eastAsia" w:ascii="楷体" w:hAnsi="楷体" w:eastAsia="楷体" w:cs="新宋体"/>
                <w:color w:val="FF0000"/>
                <w:sz w:val="24"/>
                <w:szCs w:val="24"/>
              </w:rPr>
            </w:pPr>
          </w:p>
          <w:p>
            <w:pPr>
              <w:pStyle w:val="17"/>
              <w:rPr>
                <w:rFonts w:hint="eastAsia" w:ascii="楷体" w:hAnsi="楷体" w:eastAsia="楷体" w:cs="新宋体"/>
                <w:color w:val="FF0000"/>
                <w:sz w:val="24"/>
                <w:szCs w:val="24"/>
              </w:rPr>
            </w:pPr>
          </w:p>
          <w:p>
            <w:pPr>
              <w:pStyle w:val="17"/>
              <w:rPr>
                <w:rFonts w:ascii="楷体" w:hAnsi="楷体" w:eastAsia="楷体" w:cs="新宋体"/>
                <w:color w:val="FF0000"/>
                <w:sz w:val="24"/>
                <w:szCs w:val="24"/>
              </w:rPr>
            </w:pPr>
          </w:p>
          <w:p>
            <w:pPr>
              <w:pStyle w:val="17"/>
              <w:rPr>
                <w:rFonts w:ascii="楷体" w:hAnsi="楷体" w:eastAsia="楷体" w:cs="新宋体"/>
                <w:color w:val="FF0000"/>
                <w:sz w:val="24"/>
                <w:szCs w:val="24"/>
              </w:rPr>
            </w:pPr>
          </w:p>
          <w:p>
            <w:pPr>
              <w:pStyle w:val="17"/>
              <w:rPr>
                <w:rFonts w:ascii="楷体" w:hAnsi="楷体" w:eastAsia="楷体" w:cs="新宋体"/>
                <w:color w:val="FF0000"/>
                <w:sz w:val="24"/>
                <w:szCs w:val="24"/>
              </w:rPr>
            </w:pPr>
          </w:p>
          <w:p>
            <w:pPr>
              <w:rPr>
                <w:rFonts w:ascii="楷体" w:hAnsi="楷体" w:eastAsia="楷体" w:cs="宋体"/>
                <w:kern w:val="0"/>
                <w:sz w:val="24"/>
                <w:szCs w:val="24"/>
              </w:rPr>
            </w:pPr>
            <w:r>
              <w:rPr>
                <w:rFonts w:hint="eastAsia" w:ascii="楷体" w:hAnsi="楷体" w:eastAsia="楷体" w:cs="宋体"/>
                <w:kern w:val="0"/>
                <w:sz w:val="24"/>
                <w:szCs w:val="24"/>
              </w:rPr>
              <w:t>Q：7.1.2</w:t>
            </w:r>
          </w:p>
          <w:p>
            <w:pPr>
              <w:rPr>
                <w:rFonts w:ascii="楷体" w:hAnsi="楷体" w:eastAsia="楷体" w:cs="宋体"/>
                <w:kern w:val="0"/>
                <w:sz w:val="24"/>
                <w:szCs w:val="24"/>
              </w:rPr>
            </w:pPr>
            <w:r>
              <w:rPr>
                <w:rFonts w:hint="eastAsia" w:ascii="楷体" w:hAnsi="楷体" w:eastAsia="楷体" w:cs="宋体"/>
                <w:kern w:val="0"/>
                <w:sz w:val="24"/>
                <w:szCs w:val="24"/>
              </w:rPr>
              <w:t>EO：7.2，7.3</w:t>
            </w:r>
          </w:p>
          <w:p>
            <w:pPr>
              <w:pStyle w:val="17"/>
              <w:rPr>
                <w:rFonts w:ascii="楷体" w:hAnsi="楷体" w:eastAsia="楷体" w:cs="新宋体"/>
                <w:color w:val="FF0000"/>
                <w:sz w:val="24"/>
                <w:szCs w:val="24"/>
              </w:rPr>
            </w:pPr>
          </w:p>
        </w:tc>
        <w:tc>
          <w:tcPr>
            <w:tcW w:w="11012" w:type="dxa"/>
          </w:tcPr>
          <w:p>
            <w:pPr>
              <w:spacing w:line="360" w:lineRule="auto"/>
              <w:ind w:firstLine="480" w:firstLineChars="200"/>
              <w:jc w:val="left"/>
              <w:rPr>
                <w:rFonts w:ascii="楷体" w:hAnsi="楷体" w:eastAsia="楷体"/>
                <w:color w:val="000000" w:themeColor="text1"/>
                <w:sz w:val="24"/>
                <w:szCs w:val="24"/>
              </w:rPr>
            </w:pPr>
            <w:r>
              <w:rPr>
                <w:rFonts w:hint="eastAsia" w:ascii="楷体" w:hAnsi="楷体" w:eastAsia="楷体"/>
                <w:color w:val="000000" w:themeColor="text1"/>
                <w:sz w:val="24"/>
                <w:szCs w:val="24"/>
              </w:rPr>
              <w:t>公司制定了《人力资源控制程序SXHJ-QES/CX-13-2021》，通过培训和其他措施提高员工的能力，增强员工的质量、环境与职业健康安全管理的意识，并胜任其工作岗位。使员工满足所从事的质量、环境、职业健康安全工作对能力的要求。</w:t>
            </w:r>
          </w:p>
          <w:p>
            <w:pPr>
              <w:pStyle w:val="6"/>
              <w:widowControl/>
              <w:spacing w:line="360" w:lineRule="auto"/>
              <w:ind w:firstLine="480" w:firstLineChars="200"/>
              <w:jc w:val="left"/>
              <w:rPr>
                <w:rFonts w:hint="eastAsia" w:ascii="楷体" w:hAnsi="楷体" w:eastAsia="楷体"/>
                <w:color w:val="000000" w:themeColor="text1"/>
                <w:sz w:val="24"/>
                <w:szCs w:val="24"/>
              </w:rPr>
            </w:pPr>
            <w:r>
              <w:rPr>
                <w:rFonts w:hint="eastAsia" w:ascii="楷体" w:hAnsi="楷体" w:eastAsia="楷体"/>
                <w:color w:val="000000" w:themeColor="text1"/>
                <w:sz w:val="24"/>
                <w:szCs w:val="24"/>
              </w:rPr>
              <w:t>提供《岗位任职要求》，对各部门人员岗位任职等作出了规定。</w:t>
            </w:r>
          </w:p>
          <w:p>
            <w:pPr>
              <w:pStyle w:val="6"/>
              <w:widowControl/>
              <w:spacing w:line="360" w:lineRule="auto"/>
              <w:ind w:firstLine="480" w:firstLineChars="200"/>
              <w:jc w:val="left"/>
              <w:rPr>
                <w:rFonts w:ascii="楷体" w:hAnsi="楷体" w:eastAsia="楷体"/>
                <w:color w:val="000000" w:themeColor="text1"/>
                <w:sz w:val="24"/>
                <w:szCs w:val="24"/>
              </w:rPr>
            </w:pPr>
            <w:r>
              <w:rPr>
                <w:rFonts w:hint="eastAsia" w:ascii="楷体" w:hAnsi="楷体" w:eastAsia="楷体"/>
                <w:color w:val="000000" w:themeColor="text1"/>
                <w:sz w:val="24"/>
                <w:szCs w:val="24"/>
              </w:rPr>
              <w:t>提供2021.4.30日人员能力评价确认记录，对各部门人员能力进行了评价，能满足要求，批准人：杨爱梅。</w:t>
            </w:r>
          </w:p>
          <w:p>
            <w:pPr>
              <w:pStyle w:val="6"/>
              <w:widowControl/>
              <w:spacing w:line="360" w:lineRule="auto"/>
              <w:jc w:val="left"/>
              <w:rPr>
                <w:rFonts w:ascii="楷体" w:hAnsi="楷体" w:eastAsia="楷体"/>
                <w:color w:val="000000" w:themeColor="text1"/>
                <w:sz w:val="24"/>
                <w:szCs w:val="24"/>
              </w:rPr>
            </w:pPr>
            <w:r>
              <w:rPr>
                <w:rFonts w:hint="eastAsia" w:ascii="楷体" w:hAnsi="楷体" w:eastAsia="楷体"/>
                <w:color w:val="000000" w:themeColor="text1"/>
                <w:sz w:val="24"/>
                <w:szCs w:val="24"/>
              </w:rPr>
              <w:t xml:space="preserve">    查《2021年度培训计划》及《培训记录表》，内容包括：GB/T19001/ GB/T24001/ ISO45001基础培训，质量、环境、健康安全方针和目标培训，质量、健康安全和环保法规培训，内审员培训，质量、健康安全和环保法规培训，环境保护基础知识和法律法规要求，企业文化，车辆道路安全驾驶，防疫知识培训，物业服务过程注意事项，健康安全和环保知识培训等培训，编写：刘亚娟2021.1.14日，批准：宋永平2021.1.14日。 </w:t>
            </w:r>
          </w:p>
          <w:p>
            <w:pPr>
              <w:pStyle w:val="6"/>
              <w:widowControl/>
              <w:spacing w:line="360" w:lineRule="auto"/>
              <w:jc w:val="left"/>
              <w:rPr>
                <w:rFonts w:ascii="楷体" w:hAnsi="楷体" w:eastAsia="楷体"/>
                <w:color w:val="000000" w:themeColor="text1"/>
                <w:sz w:val="24"/>
                <w:szCs w:val="24"/>
              </w:rPr>
            </w:pPr>
            <w:r>
              <w:rPr>
                <w:rFonts w:hint="eastAsia" w:ascii="楷体" w:hAnsi="楷体" w:eastAsia="楷体"/>
                <w:color w:val="000000" w:themeColor="text1"/>
                <w:sz w:val="24"/>
                <w:szCs w:val="24"/>
              </w:rPr>
              <w:t>查培训记录、参加培训人员、培训方式、内容、考核方式等内容。</w:t>
            </w:r>
          </w:p>
          <w:p>
            <w:pPr>
              <w:pStyle w:val="6"/>
              <w:widowControl/>
              <w:spacing w:line="360" w:lineRule="auto"/>
              <w:jc w:val="left"/>
              <w:rPr>
                <w:rFonts w:ascii="楷体" w:hAnsi="楷体" w:eastAsia="楷体"/>
                <w:color w:val="000000" w:themeColor="text1"/>
                <w:sz w:val="24"/>
                <w:szCs w:val="24"/>
              </w:rPr>
            </w:pPr>
            <w:r>
              <w:rPr>
                <w:rFonts w:hint="eastAsia" w:ascii="楷体" w:hAnsi="楷体" w:eastAsia="楷体"/>
                <w:color w:val="000000" w:themeColor="text1"/>
                <w:sz w:val="24"/>
                <w:szCs w:val="24"/>
              </w:rPr>
              <w:t>抽1：2021年2月2日，进行了质量、环境、健康安全方针和目标的培训，参加人员14人，培训效果评价，通过此次培训，人员掌握了质量、环境、健康安全方针和目标培训及文件的要求，并考核合格，培训有效，评价人：杨爱梅。</w:t>
            </w:r>
          </w:p>
          <w:p>
            <w:pPr>
              <w:pStyle w:val="6"/>
              <w:widowControl/>
              <w:spacing w:line="360" w:lineRule="auto"/>
              <w:jc w:val="left"/>
              <w:rPr>
                <w:rFonts w:ascii="楷体" w:hAnsi="楷体" w:eastAsia="楷体"/>
                <w:color w:val="000000" w:themeColor="text1"/>
                <w:sz w:val="24"/>
                <w:szCs w:val="24"/>
              </w:rPr>
            </w:pPr>
            <w:r>
              <w:rPr>
                <w:rFonts w:hint="eastAsia" w:ascii="楷体" w:hAnsi="楷体" w:eastAsia="楷体"/>
                <w:color w:val="000000" w:themeColor="text1"/>
                <w:sz w:val="24"/>
                <w:szCs w:val="24"/>
              </w:rPr>
              <w:t>抽2：2021年4月12日，进行质量、健康安全和环保法规的培训，培训效果评价，达到预期效果，评价人：杨爱梅。</w:t>
            </w:r>
          </w:p>
          <w:p>
            <w:pPr>
              <w:pStyle w:val="6"/>
              <w:widowControl/>
              <w:spacing w:line="360" w:lineRule="auto"/>
              <w:jc w:val="left"/>
              <w:rPr>
                <w:rFonts w:ascii="楷体" w:hAnsi="楷体" w:eastAsia="楷体"/>
                <w:color w:val="000000" w:themeColor="text1"/>
                <w:sz w:val="24"/>
                <w:szCs w:val="24"/>
              </w:rPr>
            </w:pPr>
            <w:r>
              <w:rPr>
                <w:rFonts w:hint="eastAsia" w:ascii="楷体" w:hAnsi="楷体" w:eastAsia="楷体"/>
                <w:color w:val="000000" w:themeColor="text1"/>
                <w:sz w:val="24"/>
                <w:szCs w:val="24"/>
              </w:rPr>
              <w:t>抽3：2021年7月2日，进行了车辆道路安全驾驶的培训，培训效果评价，达到预期效果，评价人：夏红平。</w:t>
            </w:r>
          </w:p>
          <w:p>
            <w:pPr>
              <w:pStyle w:val="6"/>
              <w:widowControl/>
              <w:spacing w:line="360" w:lineRule="auto"/>
              <w:jc w:val="left"/>
              <w:rPr>
                <w:rFonts w:ascii="楷体" w:hAnsi="楷体" w:eastAsia="楷体"/>
                <w:color w:val="000000" w:themeColor="text1"/>
                <w:sz w:val="24"/>
                <w:szCs w:val="24"/>
              </w:rPr>
            </w:pPr>
            <w:r>
              <w:rPr>
                <w:rFonts w:hint="eastAsia" w:ascii="楷体" w:hAnsi="楷体" w:eastAsia="楷体"/>
                <w:color w:val="000000" w:themeColor="text1"/>
                <w:sz w:val="24"/>
                <w:szCs w:val="24"/>
              </w:rPr>
              <w:t>抽4：2021年4月5日，进行了内审员培训；培训效果评价，达到预期效果，评价人：李老师。</w:t>
            </w:r>
          </w:p>
          <w:p>
            <w:pPr>
              <w:pStyle w:val="6"/>
              <w:widowControl/>
              <w:spacing w:line="360" w:lineRule="auto"/>
              <w:jc w:val="left"/>
              <w:rPr>
                <w:rFonts w:ascii="楷体" w:hAnsi="楷体" w:eastAsia="楷体"/>
                <w:color w:val="000000" w:themeColor="text1"/>
                <w:sz w:val="24"/>
                <w:szCs w:val="24"/>
              </w:rPr>
            </w:pPr>
            <w:r>
              <w:rPr>
                <w:rFonts w:ascii="楷体" w:hAnsi="楷体" w:eastAsia="楷体"/>
                <w:color w:val="000000" w:themeColor="text1"/>
                <w:sz w:val="24"/>
                <w:szCs w:val="24"/>
              </w:rPr>
              <w:t>查到</w:t>
            </w:r>
            <w:r>
              <w:rPr>
                <w:rFonts w:hint="eastAsia" w:ascii="楷体" w:hAnsi="楷体" w:eastAsia="楷体"/>
                <w:color w:val="000000" w:themeColor="text1"/>
                <w:sz w:val="24"/>
                <w:szCs w:val="24"/>
              </w:rPr>
              <w:t>“员工消防知识培训记录”，2021.6.8日委托陕西远安防火中心教官对公司人员及部分业主进行了消防知识培训，培训后进行了总结，有签到和照片。</w:t>
            </w:r>
          </w:p>
          <w:p>
            <w:pPr>
              <w:pStyle w:val="6"/>
              <w:widowControl/>
              <w:spacing w:line="360" w:lineRule="auto"/>
              <w:jc w:val="left"/>
              <w:rPr>
                <w:rFonts w:ascii="楷体" w:hAnsi="楷体" w:eastAsia="楷体"/>
                <w:color w:val="000000" w:themeColor="text1"/>
                <w:sz w:val="24"/>
                <w:szCs w:val="24"/>
              </w:rPr>
            </w:pPr>
            <w:r>
              <w:rPr>
                <w:rFonts w:ascii="楷体" w:hAnsi="楷体" w:eastAsia="楷体"/>
                <w:color w:val="000000" w:themeColor="text1"/>
                <w:sz w:val="24"/>
                <w:szCs w:val="24"/>
              </w:rPr>
              <w:t>查特种作业</w:t>
            </w:r>
            <w:r>
              <w:rPr>
                <w:rFonts w:hint="eastAsia" w:ascii="楷体" w:hAnsi="楷体" w:eastAsia="楷体"/>
                <w:color w:val="000000" w:themeColor="text1"/>
                <w:sz w:val="24"/>
                <w:szCs w:val="24"/>
              </w:rPr>
              <w:t>：</w:t>
            </w:r>
          </w:p>
          <w:p>
            <w:pPr>
              <w:pStyle w:val="6"/>
              <w:widowControl/>
              <w:spacing w:line="360" w:lineRule="auto"/>
              <w:jc w:val="left"/>
              <w:rPr>
                <w:rFonts w:ascii="楷体" w:hAnsi="楷体" w:eastAsia="楷体"/>
                <w:color w:val="000000" w:themeColor="text1"/>
                <w:sz w:val="24"/>
                <w:szCs w:val="24"/>
              </w:rPr>
            </w:pPr>
            <w:r>
              <w:rPr>
                <w:rFonts w:hint="eastAsia" w:ascii="楷体" w:hAnsi="楷体" w:eastAsia="楷体"/>
                <w:color w:val="000000" w:themeColor="text1"/>
                <w:sz w:val="24"/>
                <w:szCs w:val="24"/>
              </w:rPr>
              <w:t>公司有2名电工，提供电工证：</w:t>
            </w:r>
          </w:p>
          <w:p>
            <w:pPr>
              <w:pStyle w:val="6"/>
              <w:widowControl/>
              <w:spacing w:line="360" w:lineRule="auto"/>
              <w:jc w:val="left"/>
              <w:rPr>
                <w:rFonts w:ascii="楷体" w:hAnsi="楷体" w:eastAsia="楷体"/>
                <w:color w:val="000000" w:themeColor="text1"/>
                <w:sz w:val="24"/>
                <w:szCs w:val="24"/>
              </w:rPr>
            </w:pPr>
            <w:r>
              <w:rPr>
                <w:rFonts w:hint="eastAsia" w:ascii="楷体" w:hAnsi="楷体" w:eastAsia="楷体"/>
                <w:color w:val="000000" w:themeColor="text1"/>
                <w:sz w:val="24"/>
                <w:szCs w:val="24"/>
              </w:rPr>
              <w:t>姓名张党文，证书编号：</w:t>
            </w:r>
            <w:r>
              <w:rPr>
                <w:rFonts w:ascii="楷体" w:hAnsi="楷体" w:eastAsia="楷体"/>
                <w:color w:val="000000" w:themeColor="text1"/>
                <w:sz w:val="24"/>
                <w:szCs w:val="24"/>
              </w:rPr>
              <w:t>T610431196903174931</w:t>
            </w:r>
            <w:r>
              <w:rPr>
                <w:rFonts w:hint="eastAsia" w:ascii="楷体" w:hAnsi="楷体" w:eastAsia="楷体"/>
                <w:color w:val="000000" w:themeColor="text1"/>
                <w:sz w:val="24"/>
                <w:szCs w:val="24"/>
              </w:rPr>
              <w:t>，有效期至2025.04.15日。</w:t>
            </w:r>
          </w:p>
          <w:p>
            <w:pPr>
              <w:pStyle w:val="6"/>
              <w:widowControl/>
              <w:spacing w:line="360" w:lineRule="auto"/>
              <w:jc w:val="left"/>
              <w:rPr>
                <w:rFonts w:ascii="楷体" w:hAnsi="楷体" w:eastAsia="楷体"/>
                <w:color w:val="000000" w:themeColor="text1"/>
                <w:sz w:val="24"/>
                <w:szCs w:val="24"/>
              </w:rPr>
            </w:pPr>
            <w:r>
              <w:rPr>
                <w:rFonts w:hint="eastAsia" w:ascii="楷体" w:hAnsi="楷体" w:eastAsia="楷体"/>
                <w:color w:val="000000" w:themeColor="text1"/>
                <w:sz w:val="24"/>
                <w:szCs w:val="24"/>
              </w:rPr>
              <w:t>姓名卓会军，证书编号：</w:t>
            </w:r>
            <w:r>
              <w:rPr>
                <w:rFonts w:ascii="楷体" w:hAnsi="楷体" w:eastAsia="楷体"/>
                <w:color w:val="000000" w:themeColor="text1"/>
                <w:sz w:val="24"/>
                <w:szCs w:val="24"/>
              </w:rPr>
              <w:t>1526031904500013</w:t>
            </w:r>
            <w:r>
              <w:rPr>
                <w:rFonts w:hint="eastAsia" w:ascii="楷体" w:hAnsi="楷体" w:eastAsia="楷体"/>
                <w:color w:val="000000" w:themeColor="text1"/>
                <w:sz w:val="24"/>
                <w:szCs w:val="24"/>
              </w:rPr>
              <w:t>，发证日期2015.02.03日。</w:t>
            </w:r>
          </w:p>
          <w:p>
            <w:pPr>
              <w:pStyle w:val="6"/>
              <w:widowControl/>
              <w:spacing w:line="360" w:lineRule="auto"/>
              <w:jc w:val="left"/>
              <w:rPr>
                <w:rFonts w:hint="eastAsia" w:ascii="楷体" w:hAnsi="楷体" w:eastAsia="楷体"/>
                <w:color w:val="000000" w:themeColor="text1"/>
                <w:sz w:val="24"/>
                <w:szCs w:val="24"/>
              </w:rPr>
            </w:pPr>
            <w:r>
              <w:rPr>
                <w:rFonts w:hint="eastAsia" w:ascii="楷体" w:hAnsi="楷体" w:eastAsia="楷体"/>
                <w:color w:val="000000" w:themeColor="text1"/>
                <w:sz w:val="24"/>
                <w:szCs w:val="24"/>
              </w:rPr>
              <w:t>另外查：</w:t>
            </w:r>
          </w:p>
          <w:p>
            <w:pPr>
              <w:pStyle w:val="6"/>
              <w:widowControl/>
              <w:spacing w:line="360" w:lineRule="auto"/>
              <w:jc w:val="left"/>
              <w:rPr>
                <w:rFonts w:ascii="楷体" w:hAnsi="楷体" w:eastAsia="楷体"/>
                <w:color w:val="000000" w:themeColor="text1"/>
                <w:sz w:val="24"/>
                <w:szCs w:val="24"/>
              </w:rPr>
            </w:pPr>
            <w:r>
              <w:rPr>
                <w:rFonts w:hint="eastAsia" w:ascii="楷体" w:hAnsi="楷体" w:eastAsia="楷体"/>
                <w:color w:val="000000" w:themeColor="text1"/>
                <w:sz w:val="24"/>
                <w:szCs w:val="24"/>
              </w:rPr>
              <w:t>电梯管理员证：杨爱美，证书编号XY14A0030，有效期至2022.03.24日。</w:t>
            </w:r>
          </w:p>
          <w:p>
            <w:pPr>
              <w:pStyle w:val="6"/>
              <w:widowControl/>
              <w:spacing w:line="360" w:lineRule="auto"/>
              <w:jc w:val="left"/>
              <w:rPr>
                <w:rFonts w:hint="eastAsia" w:ascii="楷体" w:hAnsi="楷体" w:eastAsia="楷体"/>
                <w:color w:val="000000" w:themeColor="text1"/>
                <w:sz w:val="24"/>
                <w:szCs w:val="24"/>
              </w:rPr>
            </w:pPr>
            <w:r>
              <w:rPr>
                <w:rFonts w:hint="eastAsia" w:ascii="楷体" w:hAnsi="楷体" w:eastAsia="楷体"/>
                <w:color w:val="000000" w:themeColor="text1"/>
                <w:sz w:val="24"/>
                <w:szCs w:val="24"/>
              </w:rPr>
              <w:t>会计（中级）证：李雪明，证书编号11937155100013，发证日期2019.09.09日。</w:t>
            </w:r>
          </w:p>
          <w:p>
            <w:pPr>
              <w:pStyle w:val="6"/>
              <w:widowControl/>
              <w:spacing w:line="360" w:lineRule="auto"/>
              <w:jc w:val="left"/>
              <w:rPr>
                <w:rFonts w:hint="eastAsia" w:ascii="楷体" w:hAnsi="楷体" w:eastAsia="楷体"/>
                <w:color w:val="000000" w:themeColor="text1"/>
                <w:sz w:val="24"/>
                <w:szCs w:val="24"/>
              </w:rPr>
            </w:pPr>
            <w:r>
              <w:rPr>
                <w:rFonts w:hint="eastAsia" w:ascii="楷体" w:hAnsi="楷体" w:eastAsia="楷体"/>
                <w:color w:val="000000" w:themeColor="text1"/>
                <w:sz w:val="24"/>
                <w:szCs w:val="24"/>
              </w:rPr>
              <w:t>会计（初级）证：雷粉艳，证书编号22037126400060，发证日期2020.09.10日。</w:t>
            </w:r>
          </w:p>
          <w:p>
            <w:pPr>
              <w:pStyle w:val="6"/>
              <w:widowControl/>
              <w:spacing w:line="360" w:lineRule="auto"/>
              <w:jc w:val="left"/>
              <w:rPr>
                <w:rFonts w:ascii="楷体" w:hAnsi="楷体" w:eastAsia="楷体"/>
                <w:color w:val="000000" w:themeColor="text1"/>
                <w:sz w:val="24"/>
                <w:szCs w:val="24"/>
              </w:rPr>
            </w:pPr>
            <w:r>
              <w:rPr>
                <w:rFonts w:hint="eastAsia" w:ascii="楷体" w:hAnsi="楷体" w:eastAsia="楷体"/>
                <w:color w:val="000000" w:themeColor="text1"/>
                <w:sz w:val="24"/>
                <w:szCs w:val="24"/>
              </w:rPr>
              <w:t>消防设施操作员证：刘亚兰，证书编号1936003020500947，发证日期2019.02.13日。</w:t>
            </w:r>
          </w:p>
          <w:p>
            <w:pPr>
              <w:pStyle w:val="6"/>
              <w:widowControl/>
              <w:spacing w:line="360" w:lineRule="auto"/>
              <w:jc w:val="left"/>
              <w:rPr>
                <w:rFonts w:ascii="楷体" w:hAnsi="楷体" w:eastAsia="楷体"/>
                <w:color w:val="000000" w:themeColor="text1"/>
                <w:sz w:val="24"/>
                <w:szCs w:val="24"/>
              </w:rPr>
            </w:pPr>
            <w:r>
              <w:rPr>
                <w:rFonts w:hint="eastAsia" w:ascii="楷体" w:hAnsi="楷体" w:eastAsia="楷体"/>
                <w:color w:val="000000" w:themeColor="text1"/>
                <w:sz w:val="24"/>
                <w:szCs w:val="24"/>
              </w:rPr>
              <w:t>消防设施操作员证：卓会军，证书编号1936003020500948，发证日期2019.02.13日。</w:t>
            </w:r>
          </w:p>
          <w:p>
            <w:pPr>
              <w:pStyle w:val="6"/>
              <w:widowControl/>
              <w:spacing w:line="360" w:lineRule="auto"/>
              <w:jc w:val="left"/>
              <w:rPr>
                <w:rFonts w:ascii="楷体" w:hAnsi="楷体" w:eastAsia="楷体"/>
                <w:color w:val="000000" w:themeColor="text1"/>
                <w:sz w:val="24"/>
                <w:szCs w:val="24"/>
              </w:rPr>
            </w:pPr>
            <w:r>
              <w:rPr>
                <w:rFonts w:hint="eastAsia" w:ascii="楷体" w:hAnsi="楷体" w:eastAsia="楷体"/>
                <w:color w:val="000000" w:themeColor="text1"/>
                <w:sz w:val="24"/>
                <w:szCs w:val="24"/>
              </w:rPr>
              <w:t>消防设施操作员证：李坤，证书编号1936003020511346，发证日期2019.11.11日。</w:t>
            </w:r>
          </w:p>
          <w:p>
            <w:pPr>
              <w:pStyle w:val="6"/>
              <w:widowControl/>
              <w:spacing w:line="360" w:lineRule="auto"/>
              <w:jc w:val="left"/>
              <w:rPr>
                <w:rFonts w:ascii="楷体" w:hAnsi="楷体" w:eastAsia="楷体"/>
                <w:color w:val="000000" w:themeColor="text1"/>
                <w:sz w:val="24"/>
                <w:szCs w:val="24"/>
              </w:rPr>
            </w:pPr>
            <w:r>
              <w:rPr>
                <w:rFonts w:hint="eastAsia" w:ascii="楷体" w:hAnsi="楷体" w:eastAsia="楷体"/>
                <w:color w:val="000000" w:themeColor="text1"/>
                <w:sz w:val="24"/>
                <w:szCs w:val="24"/>
              </w:rPr>
              <w:t>建筑物消防员证：成旭红，证书编号1836003020504166，发证日期2018.8.8日。</w:t>
            </w:r>
          </w:p>
          <w:p>
            <w:pPr>
              <w:pStyle w:val="6"/>
              <w:widowControl/>
              <w:spacing w:line="360" w:lineRule="auto"/>
              <w:jc w:val="left"/>
              <w:rPr>
                <w:rFonts w:ascii="楷体" w:hAnsi="楷体" w:eastAsia="楷体"/>
                <w:color w:val="000000" w:themeColor="text1"/>
                <w:sz w:val="24"/>
                <w:szCs w:val="24"/>
              </w:rPr>
            </w:pPr>
            <w:r>
              <w:rPr>
                <w:rFonts w:hint="eastAsia" w:ascii="楷体" w:hAnsi="楷体" w:eastAsia="楷体"/>
                <w:color w:val="000000" w:themeColor="text1"/>
                <w:sz w:val="24"/>
                <w:szCs w:val="24"/>
              </w:rPr>
              <w:t>建筑物消防员证：张党科，证书编号1736003020500256，发证日期2017.7.27日。</w:t>
            </w:r>
          </w:p>
          <w:p>
            <w:pPr>
              <w:pStyle w:val="6"/>
              <w:widowControl/>
              <w:spacing w:line="360" w:lineRule="auto"/>
              <w:jc w:val="left"/>
              <w:rPr>
                <w:rFonts w:ascii="楷体" w:hAnsi="楷体" w:eastAsia="楷体"/>
                <w:color w:val="000000" w:themeColor="text1"/>
                <w:sz w:val="24"/>
                <w:szCs w:val="24"/>
              </w:rPr>
            </w:pPr>
            <w:r>
              <w:rPr>
                <w:rFonts w:hint="eastAsia" w:ascii="楷体" w:hAnsi="楷体" w:eastAsia="楷体"/>
                <w:color w:val="000000" w:themeColor="text1"/>
                <w:sz w:val="24"/>
                <w:szCs w:val="24"/>
              </w:rPr>
              <w:t>物业职业经理人(高级)证：杨爱梅，证书编号</w:t>
            </w:r>
            <w:r>
              <w:rPr>
                <w:rFonts w:ascii="楷体" w:hAnsi="楷体" w:eastAsia="楷体"/>
                <w:color w:val="000000" w:themeColor="text1"/>
                <w:sz w:val="24"/>
                <w:szCs w:val="24"/>
              </w:rPr>
              <w:t>QGW0101055</w:t>
            </w:r>
            <w:r>
              <w:rPr>
                <w:rFonts w:hint="eastAsia" w:ascii="楷体" w:hAnsi="楷体" w:eastAsia="楷体"/>
                <w:color w:val="000000" w:themeColor="text1"/>
                <w:sz w:val="24"/>
                <w:szCs w:val="24"/>
              </w:rPr>
              <w:t>，发证日期2020.9.30日。</w:t>
            </w:r>
          </w:p>
          <w:p>
            <w:pPr>
              <w:pStyle w:val="6"/>
              <w:widowControl/>
              <w:spacing w:line="360" w:lineRule="auto"/>
              <w:jc w:val="left"/>
              <w:rPr>
                <w:rFonts w:hint="eastAsia" w:ascii="楷体" w:hAnsi="楷体" w:eastAsia="楷体"/>
                <w:color w:val="000000" w:themeColor="text1"/>
                <w:sz w:val="24"/>
                <w:szCs w:val="24"/>
              </w:rPr>
            </w:pPr>
            <w:r>
              <w:rPr>
                <w:rFonts w:hint="eastAsia" w:ascii="楷体" w:hAnsi="楷体" w:eastAsia="楷体"/>
                <w:color w:val="000000" w:themeColor="text1"/>
                <w:sz w:val="24"/>
                <w:szCs w:val="24"/>
              </w:rPr>
              <w:t>物业项目经理证：丁小静，证书编号CJ202020830，发证日期2020.10月。</w:t>
            </w:r>
          </w:p>
          <w:p>
            <w:pPr>
              <w:pStyle w:val="6"/>
              <w:widowControl/>
              <w:spacing w:line="360" w:lineRule="auto"/>
              <w:jc w:val="left"/>
              <w:rPr>
                <w:rFonts w:hint="eastAsia" w:ascii="楷体" w:hAnsi="楷体" w:eastAsia="楷体"/>
                <w:color w:val="000000" w:themeColor="text1"/>
                <w:sz w:val="24"/>
                <w:szCs w:val="24"/>
              </w:rPr>
            </w:pPr>
            <w:r>
              <w:rPr>
                <w:rFonts w:hint="eastAsia" w:ascii="楷体" w:hAnsi="楷体" w:eastAsia="楷体"/>
                <w:color w:val="000000" w:themeColor="text1"/>
                <w:sz w:val="24"/>
                <w:szCs w:val="24"/>
              </w:rPr>
              <w:t>物业项目经理证：葛飞利，证书编号CJ202020831，发证日期2020.10月。</w:t>
            </w:r>
          </w:p>
          <w:p>
            <w:pPr>
              <w:pStyle w:val="6"/>
              <w:widowControl/>
              <w:spacing w:line="360" w:lineRule="auto"/>
              <w:jc w:val="left"/>
              <w:rPr>
                <w:rFonts w:ascii="楷体" w:hAnsi="楷体" w:eastAsia="楷体"/>
                <w:color w:val="000000" w:themeColor="text1"/>
                <w:sz w:val="24"/>
                <w:szCs w:val="24"/>
              </w:rPr>
            </w:pPr>
            <w:r>
              <w:rPr>
                <w:rFonts w:hint="eastAsia" w:ascii="楷体" w:hAnsi="楷体" w:eastAsia="楷体"/>
                <w:color w:val="000000" w:themeColor="text1"/>
                <w:sz w:val="24"/>
                <w:szCs w:val="24"/>
              </w:rPr>
              <w:t>物业项目经理证：李小娟，证书编号CJ202020834，发证日期2020.10月。</w:t>
            </w:r>
          </w:p>
          <w:p>
            <w:pPr>
              <w:pStyle w:val="6"/>
              <w:widowControl/>
              <w:spacing w:line="360" w:lineRule="auto"/>
              <w:jc w:val="left"/>
              <w:rPr>
                <w:rFonts w:hint="eastAsia" w:ascii="楷体" w:hAnsi="楷体" w:eastAsia="楷体"/>
                <w:color w:val="000000" w:themeColor="text1"/>
                <w:sz w:val="24"/>
                <w:szCs w:val="24"/>
              </w:rPr>
            </w:pPr>
            <w:r>
              <w:rPr>
                <w:rFonts w:hint="eastAsia" w:ascii="楷体" w:hAnsi="楷体" w:eastAsia="楷体"/>
                <w:color w:val="000000" w:themeColor="text1"/>
                <w:sz w:val="24"/>
                <w:szCs w:val="24"/>
              </w:rPr>
              <w:t>物业项目经理证：李晓宁，证书编号CJ202020835，发证日期2020.10月。</w:t>
            </w:r>
          </w:p>
          <w:p>
            <w:pPr>
              <w:pStyle w:val="6"/>
              <w:widowControl/>
              <w:spacing w:line="360" w:lineRule="auto"/>
              <w:jc w:val="left"/>
              <w:rPr>
                <w:rFonts w:hint="eastAsia" w:ascii="楷体" w:hAnsi="楷体" w:eastAsia="楷体"/>
                <w:color w:val="000000" w:themeColor="text1"/>
                <w:sz w:val="24"/>
                <w:szCs w:val="24"/>
              </w:rPr>
            </w:pPr>
            <w:r>
              <w:rPr>
                <w:rFonts w:hint="eastAsia" w:ascii="楷体" w:hAnsi="楷体" w:eastAsia="楷体"/>
                <w:color w:val="000000" w:themeColor="text1"/>
                <w:sz w:val="24"/>
                <w:szCs w:val="24"/>
              </w:rPr>
              <w:t>物业项目经理证：刘萌萌，证书编号CJ202020836，发证日期2020.10月。</w:t>
            </w:r>
          </w:p>
          <w:p>
            <w:pPr>
              <w:pStyle w:val="6"/>
              <w:widowControl/>
              <w:spacing w:line="360" w:lineRule="auto"/>
              <w:jc w:val="left"/>
              <w:rPr>
                <w:rFonts w:hint="eastAsia" w:ascii="楷体" w:hAnsi="楷体" w:eastAsia="楷体"/>
                <w:color w:val="000000" w:themeColor="text1"/>
                <w:sz w:val="24"/>
                <w:szCs w:val="24"/>
              </w:rPr>
            </w:pPr>
            <w:r>
              <w:rPr>
                <w:rFonts w:hint="eastAsia" w:ascii="楷体" w:hAnsi="楷体" w:eastAsia="楷体"/>
                <w:color w:val="000000" w:themeColor="text1"/>
                <w:sz w:val="24"/>
                <w:szCs w:val="24"/>
              </w:rPr>
              <w:t>物业项目经理证：刘亚兰，证书编号CJ202022126，发证日期2020.11月。</w:t>
            </w:r>
          </w:p>
          <w:p>
            <w:pPr>
              <w:pStyle w:val="6"/>
              <w:widowControl/>
              <w:spacing w:line="360" w:lineRule="auto"/>
              <w:jc w:val="left"/>
              <w:rPr>
                <w:rFonts w:hint="eastAsia" w:ascii="楷体" w:hAnsi="楷体" w:eastAsia="楷体"/>
                <w:color w:val="000000" w:themeColor="text1"/>
                <w:sz w:val="24"/>
                <w:szCs w:val="24"/>
              </w:rPr>
            </w:pPr>
            <w:r>
              <w:rPr>
                <w:rFonts w:hint="eastAsia" w:ascii="楷体" w:hAnsi="楷体" w:eastAsia="楷体"/>
                <w:color w:val="000000" w:themeColor="text1"/>
                <w:sz w:val="24"/>
                <w:szCs w:val="24"/>
              </w:rPr>
              <w:t>物业项目经理证：宋永平，证书编号CJ202022127，发证日期2020.11月。</w:t>
            </w:r>
          </w:p>
          <w:p>
            <w:pPr>
              <w:pStyle w:val="6"/>
              <w:widowControl/>
              <w:spacing w:line="360" w:lineRule="auto"/>
              <w:jc w:val="left"/>
              <w:rPr>
                <w:rFonts w:hint="eastAsia" w:ascii="楷体" w:hAnsi="楷体" w:eastAsia="楷体"/>
                <w:color w:val="000000" w:themeColor="text1"/>
                <w:sz w:val="24"/>
                <w:szCs w:val="24"/>
              </w:rPr>
            </w:pPr>
            <w:r>
              <w:rPr>
                <w:rFonts w:hint="eastAsia" w:ascii="楷体" w:hAnsi="楷体" w:eastAsia="楷体"/>
                <w:color w:val="000000" w:themeColor="text1"/>
                <w:sz w:val="24"/>
                <w:szCs w:val="24"/>
              </w:rPr>
              <w:t>物业项目经理证：夏红平，证书编号CJ202022128，发证日期2020.11月。</w:t>
            </w:r>
          </w:p>
          <w:p>
            <w:pPr>
              <w:pStyle w:val="6"/>
              <w:widowControl/>
              <w:spacing w:line="360" w:lineRule="auto"/>
              <w:ind w:firstLine="480" w:firstLineChars="200"/>
              <w:jc w:val="left"/>
              <w:rPr>
                <w:rFonts w:ascii="楷体" w:hAnsi="楷体" w:eastAsia="楷体"/>
                <w:color w:val="000000" w:themeColor="text1"/>
                <w:sz w:val="24"/>
                <w:szCs w:val="24"/>
              </w:rPr>
            </w:pPr>
            <w:r>
              <w:rPr>
                <w:rFonts w:hint="eastAsia" w:ascii="楷体" w:hAnsi="楷体" w:eastAsia="楷体"/>
                <w:color w:val="000000" w:themeColor="text1"/>
                <w:sz w:val="24"/>
                <w:szCs w:val="24"/>
              </w:rPr>
              <w:t>目前公司人员比较稳定，人员没有变化，人力资源控制基本满足要求。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主要通过培训提高岗位作业水平及质量和环境、安全意识，明确各岗位要求，自身工作对质量、环境、安全目标的影响，以及如何通过培训和互相交流提高环境绩效，不符合管理体系要求的后果等。</w:t>
            </w:r>
          </w:p>
          <w:p>
            <w:pPr>
              <w:pStyle w:val="6"/>
              <w:widowControl/>
              <w:spacing w:line="360" w:lineRule="auto"/>
              <w:ind w:firstLine="480" w:firstLineChars="200"/>
              <w:jc w:val="left"/>
              <w:rPr>
                <w:rFonts w:ascii="楷体" w:hAnsi="楷体" w:eastAsia="楷体"/>
                <w:color w:val="FF0000"/>
                <w:sz w:val="24"/>
                <w:szCs w:val="24"/>
              </w:rPr>
            </w:pPr>
            <w:r>
              <w:rPr>
                <w:rFonts w:hint="eastAsia" w:ascii="楷体" w:hAnsi="楷体" w:eastAsia="楷体" w:cs="宋体"/>
                <w:sz w:val="24"/>
                <w:szCs w:val="24"/>
              </w:rPr>
              <w:t>现场询问办公室人员，清楚与其相关的重要环境因素及职业健康安全风险。</w:t>
            </w:r>
          </w:p>
        </w:tc>
        <w:tc>
          <w:tcPr>
            <w:tcW w:w="577"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956" w:type="dxa"/>
          </w:tcPr>
          <w:p>
            <w:pPr>
              <w:spacing w:line="360" w:lineRule="auto"/>
              <w:rPr>
                <w:rFonts w:ascii="楷体" w:hAnsi="楷体" w:eastAsia="楷体" w:cs="楷体"/>
                <w:sz w:val="24"/>
                <w:szCs w:val="24"/>
              </w:rPr>
            </w:pPr>
            <w:r>
              <w:rPr>
                <w:rFonts w:hint="eastAsia" w:ascii="楷体" w:hAnsi="楷体" w:eastAsia="楷体" w:cs="楷体"/>
                <w:sz w:val="24"/>
                <w:szCs w:val="24"/>
              </w:rPr>
              <w:t>基础设施</w:t>
            </w:r>
          </w:p>
          <w:p>
            <w:pPr>
              <w:spacing w:line="360" w:lineRule="auto"/>
              <w:rPr>
                <w:rFonts w:ascii="楷体" w:hAnsi="楷体" w:eastAsia="楷体" w:cs="楷体"/>
                <w:sz w:val="24"/>
                <w:szCs w:val="24"/>
              </w:rPr>
            </w:pPr>
            <w:r>
              <w:rPr>
                <w:rFonts w:hint="eastAsia" w:ascii="楷体" w:hAnsi="楷体" w:eastAsia="楷体" w:cs="楷体"/>
                <w:sz w:val="24"/>
                <w:szCs w:val="24"/>
              </w:rPr>
              <w:t>过程运行环境</w:t>
            </w:r>
          </w:p>
        </w:tc>
        <w:tc>
          <w:tcPr>
            <w:tcW w:w="1164" w:type="dxa"/>
          </w:tcPr>
          <w:p>
            <w:pPr>
              <w:spacing w:line="360" w:lineRule="auto"/>
              <w:rPr>
                <w:rFonts w:ascii="楷体" w:hAnsi="楷体" w:eastAsia="楷体" w:cs="楷体"/>
                <w:sz w:val="24"/>
                <w:szCs w:val="24"/>
              </w:rPr>
            </w:pPr>
            <w:r>
              <w:rPr>
                <w:rFonts w:hint="eastAsia" w:ascii="楷体" w:hAnsi="楷体" w:eastAsia="楷体" w:cs="楷体"/>
                <w:sz w:val="24"/>
                <w:szCs w:val="24"/>
              </w:rPr>
              <w:t>7.1.3</w:t>
            </w:r>
          </w:p>
          <w:p>
            <w:pPr>
              <w:spacing w:line="360" w:lineRule="auto"/>
              <w:rPr>
                <w:rFonts w:ascii="楷体" w:hAnsi="楷体" w:eastAsia="楷体" w:cs="楷体"/>
                <w:sz w:val="24"/>
                <w:szCs w:val="24"/>
              </w:rPr>
            </w:pPr>
            <w:r>
              <w:rPr>
                <w:rFonts w:hint="eastAsia" w:ascii="楷体" w:hAnsi="楷体" w:eastAsia="楷体" w:cs="楷体"/>
                <w:sz w:val="24"/>
                <w:szCs w:val="24"/>
              </w:rPr>
              <w:t>7.1.4</w:t>
            </w:r>
          </w:p>
        </w:tc>
        <w:tc>
          <w:tcPr>
            <w:tcW w:w="11012" w:type="dxa"/>
          </w:tcPr>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基础设施：</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为确保本公司所从事物业管理合格，本公司确定、配置和维护过程运行所需的基础设施。包括： 建筑物和相关设施；经营、办公设备，包括硬件和软件；电脑、打印机、办公车辆、信息和通迅技术。</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特种设备：电梯，有检验合格报告，见项目管理部审核记录。</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 xml:space="preserve">过程运行环境： </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 xml:space="preserve">本公司根据产品和服务特点，确定、提供并维护过程运行所需要的环境，包括社会因素如无歧视、和谐稳定、无对抗；心理因素如舒缓心理压力、预防过度疲劳、保护个人情感；物理因素如温度、热量、湿度、照明、空气流通、卫生、噪声等，以获得合格产品和服务。 </w:t>
            </w:r>
          </w:p>
          <w:p>
            <w:pPr>
              <w:pStyle w:val="4"/>
              <w:spacing w:line="360" w:lineRule="auto"/>
              <w:rPr>
                <w:rFonts w:ascii="楷体" w:hAnsi="楷体" w:eastAsia="楷体" w:cs="楷体"/>
                <w:szCs w:val="24"/>
              </w:rPr>
            </w:pPr>
            <w:r>
              <w:rPr>
                <w:rFonts w:hint="eastAsia" w:ascii="楷体" w:hAnsi="楷体" w:eastAsia="楷体" w:cs="楷体"/>
                <w:szCs w:val="24"/>
              </w:rPr>
              <w:t>——查上述内容基本符合标准要求。</w:t>
            </w:r>
          </w:p>
        </w:tc>
        <w:tc>
          <w:tcPr>
            <w:tcW w:w="577"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trPr>
        <w:tc>
          <w:tcPr>
            <w:tcW w:w="1956" w:type="dxa"/>
          </w:tcPr>
          <w:p>
            <w:pPr>
              <w:tabs>
                <w:tab w:val="center" w:pos="3169"/>
              </w:tabs>
              <w:spacing w:line="400" w:lineRule="exact"/>
              <w:jc w:val="left"/>
              <w:rPr>
                <w:rFonts w:ascii="楷体" w:hAnsi="楷体" w:eastAsia="楷体" w:cs="宋体"/>
                <w:sz w:val="24"/>
                <w:szCs w:val="24"/>
                <w:lang w:bidi="ar"/>
              </w:rPr>
            </w:pPr>
          </w:p>
          <w:p>
            <w:pPr>
              <w:tabs>
                <w:tab w:val="center" w:pos="3169"/>
              </w:tabs>
              <w:spacing w:line="400" w:lineRule="exact"/>
              <w:jc w:val="left"/>
              <w:rPr>
                <w:rFonts w:ascii="楷体" w:hAnsi="楷体" w:eastAsia="楷体" w:cs="宋体"/>
                <w:sz w:val="24"/>
                <w:szCs w:val="24"/>
                <w:lang w:bidi="ar"/>
              </w:rPr>
            </w:pPr>
          </w:p>
          <w:p>
            <w:pPr>
              <w:tabs>
                <w:tab w:val="center" w:pos="3169"/>
              </w:tabs>
              <w:spacing w:line="400" w:lineRule="exact"/>
              <w:jc w:val="left"/>
              <w:rPr>
                <w:rFonts w:ascii="楷体" w:hAnsi="楷体" w:eastAsia="楷体" w:cs="宋体"/>
                <w:sz w:val="24"/>
                <w:szCs w:val="24"/>
                <w:lang w:bidi="ar"/>
              </w:rPr>
            </w:pPr>
          </w:p>
          <w:p>
            <w:pPr>
              <w:tabs>
                <w:tab w:val="center" w:pos="3169"/>
              </w:tabs>
              <w:spacing w:line="400" w:lineRule="exact"/>
              <w:ind w:firstLine="240" w:firstLineChars="100"/>
              <w:jc w:val="left"/>
              <w:rPr>
                <w:rFonts w:ascii="楷体" w:hAnsi="楷体" w:eastAsia="楷体" w:cs="宋体"/>
                <w:sz w:val="24"/>
                <w:szCs w:val="24"/>
                <w:lang w:bidi="ar"/>
              </w:rPr>
            </w:pPr>
            <w:r>
              <w:rPr>
                <w:rFonts w:hint="eastAsia" w:ascii="楷体" w:hAnsi="楷体" w:eastAsia="楷体" w:cs="宋体"/>
                <w:sz w:val="24"/>
                <w:szCs w:val="24"/>
                <w:lang w:bidi="ar"/>
              </w:rPr>
              <w:t>组织的知识</w:t>
            </w:r>
          </w:p>
        </w:tc>
        <w:tc>
          <w:tcPr>
            <w:tcW w:w="1164" w:type="dxa"/>
          </w:tcPr>
          <w:p>
            <w:pPr>
              <w:tabs>
                <w:tab w:val="center" w:pos="3169"/>
              </w:tabs>
              <w:spacing w:line="400" w:lineRule="exact"/>
              <w:jc w:val="left"/>
              <w:rPr>
                <w:rFonts w:ascii="楷体" w:hAnsi="楷体" w:eastAsia="楷体" w:cs="宋体"/>
                <w:sz w:val="24"/>
                <w:szCs w:val="24"/>
                <w:lang w:bidi="ar"/>
              </w:rPr>
            </w:pPr>
          </w:p>
          <w:p>
            <w:pPr>
              <w:tabs>
                <w:tab w:val="center" w:pos="3169"/>
              </w:tabs>
              <w:spacing w:line="400" w:lineRule="exact"/>
              <w:jc w:val="left"/>
              <w:rPr>
                <w:rFonts w:ascii="楷体" w:hAnsi="楷体" w:eastAsia="楷体" w:cs="宋体"/>
                <w:sz w:val="24"/>
                <w:szCs w:val="24"/>
                <w:lang w:bidi="ar"/>
              </w:rPr>
            </w:pPr>
          </w:p>
          <w:p>
            <w:pPr>
              <w:tabs>
                <w:tab w:val="center" w:pos="3169"/>
              </w:tabs>
              <w:spacing w:line="400" w:lineRule="exact"/>
              <w:jc w:val="left"/>
              <w:rPr>
                <w:rFonts w:ascii="楷体" w:hAnsi="楷体" w:eastAsia="楷体" w:cs="宋体"/>
                <w:sz w:val="24"/>
                <w:szCs w:val="24"/>
                <w:lang w:bidi="ar"/>
              </w:rPr>
            </w:pPr>
          </w:p>
          <w:p>
            <w:pPr>
              <w:tabs>
                <w:tab w:val="center" w:pos="3169"/>
              </w:tabs>
              <w:spacing w:line="400" w:lineRule="exact"/>
              <w:jc w:val="left"/>
              <w:rPr>
                <w:rFonts w:ascii="楷体" w:hAnsi="楷体" w:eastAsia="楷体" w:cs="宋体"/>
                <w:sz w:val="24"/>
                <w:szCs w:val="24"/>
                <w:lang w:bidi="ar"/>
              </w:rPr>
            </w:pPr>
            <w:r>
              <w:rPr>
                <w:rFonts w:hint="eastAsia" w:ascii="楷体" w:hAnsi="楷体" w:eastAsia="楷体" w:cs="宋体"/>
                <w:sz w:val="24"/>
                <w:szCs w:val="24"/>
                <w:lang w:bidi="ar"/>
              </w:rPr>
              <w:t>Q：7.1.6</w:t>
            </w:r>
          </w:p>
        </w:tc>
        <w:tc>
          <w:tcPr>
            <w:tcW w:w="11012" w:type="dxa"/>
          </w:tcPr>
          <w:p>
            <w:pPr>
              <w:autoSpaceDE w:val="0"/>
              <w:autoSpaceDN w:val="0"/>
              <w:spacing w:line="360" w:lineRule="auto"/>
              <w:ind w:firstLine="480" w:firstLineChars="200"/>
              <w:rPr>
                <w:rFonts w:ascii="楷体" w:hAnsi="楷体" w:eastAsia="楷体"/>
                <w:sz w:val="24"/>
                <w:szCs w:val="24"/>
              </w:rPr>
            </w:pPr>
            <w:r>
              <w:rPr>
                <w:rFonts w:hint="eastAsia" w:ascii="楷体" w:hAnsi="楷体" w:eastAsia="楷体"/>
                <w:sz w:val="24"/>
                <w:szCs w:val="24"/>
              </w:rPr>
              <w:t>企业确定运行过程所需要的知识，包括专业知识、外部知识。提供了“组织知识清单”，有获取方法、更新方式、责任目标等。</w:t>
            </w:r>
          </w:p>
          <w:p>
            <w:pPr>
              <w:autoSpaceDE w:val="0"/>
              <w:autoSpaceDN w:val="0"/>
              <w:spacing w:line="360" w:lineRule="auto"/>
              <w:ind w:firstLine="480" w:firstLineChars="200"/>
              <w:rPr>
                <w:rFonts w:ascii="楷体" w:hAnsi="楷体" w:eastAsia="楷体"/>
                <w:sz w:val="24"/>
                <w:szCs w:val="24"/>
              </w:rPr>
            </w:pPr>
            <w:r>
              <w:rPr>
                <w:rFonts w:hint="eastAsia" w:ascii="楷体" w:hAnsi="楷体" w:eastAsia="楷体"/>
                <w:sz w:val="24"/>
                <w:szCs w:val="24"/>
              </w:rPr>
              <w:t>经组织识别，组织内外部知识包括：管理经验交流等，设备设施维保知识，服务要求，服务改进创新知识，管理创新知识，无形资产，管理体系知识、流程管理知识等，通过会议，文件传达或制定有关作业指导书并进行培训。</w:t>
            </w:r>
          </w:p>
          <w:p>
            <w:pPr>
              <w:autoSpaceDE w:val="0"/>
              <w:autoSpaceDN w:val="0"/>
              <w:spacing w:line="360" w:lineRule="auto"/>
              <w:ind w:firstLine="480" w:firstLineChars="200"/>
              <w:rPr>
                <w:rFonts w:ascii="楷体" w:hAnsi="楷体" w:eastAsia="楷体"/>
                <w:sz w:val="24"/>
                <w:szCs w:val="24"/>
              </w:rPr>
            </w:pPr>
            <w:r>
              <w:rPr>
                <w:rFonts w:hint="eastAsia" w:ascii="楷体" w:hAnsi="楷体" w:eastAsia="楷体"/>
                <w:sz w:val="24"/>
                <w:szCs w:val="24"/>
              </w:rPr>
              <w:t>现场看到组织各部门层次基本有相应的管理制度、岗位职责、工作要求等组织内部知识。此外还通过文件发放、会议传达、专题培训等方式进行内部知识的获得、交流和更新等。</w:t>
            </w:r>
          </w:p>
          <w:p>
            <w:pPr>
              <w:tabs>
                <w:tab w:val="center" w:pos="3169"/>
              </w:tabs>
              <w:spacing w:line="400" w:lineRule="exact"/>
              <w:ind w:firstLine="480" w:firstLineChars="200"/>
              <w:jc w:val="left"/>
              <w:rPr>
                <w:rFonts w:ascii="楷体" w:hAnsi="楷体" w:eastAsia="楷体"/>
                <w:sz w:val="24"/>
                <w:szCs w:val="24"/>
              </w:rPr>
            </w:pPr>
            <w:r>
              <w:rPr>
                <w:rFonts w:hint="eastAsia" w:ascii="楷体" w:hAnsi="楷体" w:eastAsia="楷体"/>
                <w:sz w:val="24"/>
                <w:szCs w:val="24"/>
              </w:rPr>
              <w:t>办公室负责整理收集组织相关的知识，定期更新。</w:t>
            </w:r>
          </w:p>
        </w:tc>
        <w:tc>
          <w:tcPr>
            <w:tcW w:w="577"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tcPr>
          <w:p>
            <w:pPr>
              <w:tabs>
                <w:tab w:val="center" w:pos="3169"/>
              </w:tabs>
              <w:spacing w:line="400" w:lineRule="exact"/>
              <w:ind w:firstLine="480" w:firstLineChars="200"/>
              <w:jc w:val="left"/>
              <w:rPr>
                <w:rFonts w:ascii="楷体" w:hAnsi="楷体" w:eastAsia="楷体"/>
                <w:sz w:val="24"/>
                <w:szCs w:val="24"/>
              </w:rPr>
            </w:pPr>
          </w:p>
          <w:p>
            <w:pPr>
              <w:pStyle w:val="2"/>
              <w:ind w:firstLine="480" w:firstLineChars="200"/>
              <w:rPr>
                <w:rFonts w:ascii="楷体" w:hAnsi="楷体" w:eastAsia="楷体" w:cs="宋体"/>
                <w:b w:val="0"/>
                <w:bCs w:val="0"/>
                <w:sz w:val="24"/>
                <w:szCs w:val="24"/>
                <w:lang w:bidi="ar"/>
              </w:rPr>
            </w:pPr>
          </w:p>
          <w:p>
            <w:pPr>
              <w:pStyle w:val="3"/>
              <w:rPr>
                <w:rFonts w:ascii="楷体" w:hAnsi="楷体" w:eastAsia="楷体" w:cs="宋体"/>
                <w:kern w:val="2"/>
                <w:sz w:val="24"/>
                <w:szCs w:val="24"/>
                <w:lang w:bidi="ar"/>
              </w:rPr>
            </w:pPr>
          </w:p>
          <w:p>
            <w:pPr>
              <w:pStyle w:val="3"/>
              <w:rPr>
                <w:rFonts w:ascii="楷体" w:hAnsi="楷体" w:eastAsia="楷体" w:cs="宋体"/>
                <w:kern w:val="2"/>
                <w:sz w:val="24"/>
                <w:szCs w:val="24"/>
                <w:lang w:bidi="ar"/>
              </w:rPr>
            </w:pPr>
          </w:p>
          <w:p>
            <w:pPr>
              <w:pStyle w:val="3"/>
              <w:rPr>
                <w:rFonts w:ascii="楷体" w:hAnsi="楷体" w:eastAsia="楷体" w:cs="宋体"/>
                <w:kern w:val="2"/>
                <w:sz w:val="24"/>
                <w:szCs w:val="24"/>
                <w:lang w:bidi="ar"/>
              </w:rPr>
            </w:pPr>
          </w:p>
          <w:p>
            <w:pPr>
              <w:pStyle w:val="3"/>
              <w:rPr>
                <w:rFonts w:ascii="楷体" w:hAnsi="楷体" w:eastAsia="楷体" w:cs="宋体"/>
                <w:kern w:val="2"/>
                <w:sz w:val="24"/>
                <w:szCs w:val="24"/>
                <w:lang w:bidi="ar"/>
              </w:rPr>
            </w:pPr>
          </w:p>
          <w:p>
            <w:pPr>
              <w:pStyle w:val="3"/>
              <w:rPr>
                <w:rFonts w:ascii="楷体" w:hAnsi="楷体" w:eastAsia="楷体" w:cs="宋体"/>
                <w:kern w:val="2"/>
                <w:sz w:val="24"/>
                <w:szCs w:val="24"/>
                <w:lang w:bidi="ar"/>
              </w:rPr>
            </w:pPr>
          </w:p>
          <w:p>
            <w:pPr>
              <w:pStyle w:val="2"/>
              <w:ind w:firstLine="480" w:firstLineChars="200"/>
              <w:rPr>
                <w:rFonts w:ascii="楷体" w:hAnsi="楷体" w:eastAsia="楷体"/>
                <w:sz w:val="24"/>
                <w:szCs w:val="24"/>
              </w:rPr>
            </w:pPr>
            <w:r>
              <w:rPr>
                <w:rFonts w:hint="eastAsia" w:ascii="楷体" w:hAnsi="楷体" w:eastAsia="楷体" w:cs="宋体"/>
                <w:b w:val="0"/>
                <w:bCs w:val="0"/>
                <w:sz w:val="24"/>
                <w:szCs w:val="24"/>
                <w:lang w:bidi="ar"/>
              </w:rPr>
              <w:t>成文信息</w:t>
            </w:r>
          </w:p>
        </w:tc>
        <w:tc>
          <w:tcPr>
            <w:tcW w:w="1164" w:type="dxa"/>
          </w:tcPr>
          <w:p>
            <w:pPr>
              <w:tabs>
                <w:tab w:val="center" w:pos="3169"/>
              </w:tabs>
              <w:spacing w:line="360" w:lineRule="auto"/>
              <w:jc w:val="left"/>
              <w:rPr>
                <w:rFonts w:ascii="楷体" w:hAnsi="楷体" w:eastAsia="楷体"/>
                <w:sz w:val="24"/>
                <w:szCs w:val="24"/>
              </w:rPr>
            </w:pPr>
          </w:p>
          <w:p>
            <w:pPr>
              <w:pStyle w:val="2"/>
              <w:spacing w:line="360" w:lineRule="auto"/>
              <w:rPr>
                <w:rFonts w:ascii="楷体" w:hAnsi="楷体" w:eastAsia="楷体"/>
                <w:sz w:val="24"/>
                <w:szCs w:val="24"/>
              </w:rPr>
            </w:pPr>
          </w:p>
          <w:p>
            <w:pPr>
              <w:pStyle w:val="3"/>
              <w:spacing w:line="360" w:lineRule="auto"/>
              <w:rPr>
                <w:rFonts w:ascii="楷体" w:hAnsi="楷体" w:eastAsia="楷体"/>
                <w:sz w:val="24"/>
                <w:szCs w:val="24"/>
              </w:rPr>
            </w:pPr>
          </w:p>
          <w:p>
            <w:pPr>
              <w:pStyle w:val="3"/>
              <w:spacing w:line="360" w:lineRule="auto"/>
              <w:rPr>
                <w:rFonts w:ascii="楷体" w:hAnsi="楷体" w:eastAsia="楷体"/>
                <w:sz w:val="24"/>
                <w:szCs w:val="24"/>
              </w:rPr>
            </w:pPr>
          </w:p>
          <w:p>
            <w:pPr>
              <w:pStyle w:val="3"/>
              <w:spacing w:line="360" w:lineRule="auto"/>
              <w:rPr>
                <w:rFonts w:ascii="楷体" w:hAnsi="楷体" w:eastAsia="楷体"/>
                <w:sz w:val="24"/>
                <w:szCs w:val="24"/>
              </w:rPr>
            </w:pPr>
          </w:p>
          <w:p>
            <w:pPr>
              <w:pStyle w:val="3"/>
              <w:spacing w:line="360" w:lineRule="auto"/>
              <w:rPr>
                <w:rFonts w:ascii="楷体" w:hAnsi="楷体" w:eastAsia="楷体"/>
                <w:sz w:val="24"/>
                <w:szCs w:val="24"/>
              </w:rPr>
            </w:pPr>
          </w:p>
          <w:p>
            <w:pPr>
              <w:tabs>
                <w:tab w:val="center" w:pos="3169"/>
              </w:tabs>
              <w:spacing w:line="360" w:lineRule="auto"/>
              <w:jc w:val="left"/>
              <w:rPr>
                <w:rFonts w:ascii="楷体" w:hAnsi="楷体" w:eastAsia="楷体" w:cs="宋体"/>
                <w:sz w:val="24"/>
                <w:szCs w:val="24"/>
                <w:lang w:bidi="ar"/>
              </w:rPr>
            </w:pPr>
            <w:r>
              <w:rPr>
                <w:rFonts w:hint="eastAsia" w:ascii="楷体" w:hAnsi="楷体" w:eastAsia="楷体" w:cs="宋体"/>
                <w:sz w:val="24"/>
                <w:szCs w:val="24"/>
                <w:lang w:bidi="ar"/>
              </w:rPr>
              <w:t xml:space="preserve">QEO：7.5 </w:t>
            </w:r>
          </w:p>
          <w:p>
            <w:pPr>
              <w:pStyle w:val="3"/>
              <w:spacing w:line="360" w:lineRule="auto"/>
              <w:ind w:left="0"/>
              <w:rPr>
                <w:rFonts w:ascii="楷体" w:hAnsi="楷体" w:eastAsia="楷体"/>
                <w:sz w:val="24"/>
                <w:szCs w:val="24"/>
              </w:rPr>
            </w:pPr>
          </w:p>
        </w:tc>
        <w:tc>
          <w:tcPr>
            <w:tcW w:w="11012" w:type="dxa"/>
          </w:tcPr>
          <w:p>
            <w:pPr>
              <w:tabs>
                <w:tab w:val="center" w:pos="3169"/>
              </w:tabs>
              <w:spacing w:line="360" w:lineRule="auto"/>
              <w:ind w:firstLine="480" w:firstLineChars="200"/>
              <w:jc w:val="left"/>
              <w:rPr>
                <w:rFonts w:ascii="楷体" w:hAnsi="楷体" w:eastAsia="楷体" w:cs="宋体"/>
                <w:sz w:val="24"/>
                <w:szCs w:val="24"/>
                <w:lang w:bidi="ar"/>
              </w:rPr>
            </w:pPr>
            <w:r>
              <w:rPr>
                <w:rFonts w:hint="eastAsia" w:ascii="楷体" w:hAnsi="楷体" w:eastAsia="楷体" w:cs="宋体"/>
                <w:sz w:val="24"/>
                <w:szCs w:val="24"/>
              </w:rPr>
              <w:t>编制了</w:t>
            </w:r>
            <w:r>
              <w:rPr>
                <w:rFonts w:hint="eastAsia" w:ascii="楷体" w:hAnsi="楷体" w:eastAsia="楷体" w:cs="宋体"/>
                <w:sz w:val="24"/>
                <w:szCs w:val="24"/>
                <w:lang w:bidi="ar"/>
              </w:rPr>
              <w:t>《保持形成文件的信息控制程序</w:t>
            </w:r>
            <w:r>
              <w:rPr>
                <w:rFonts w:hint="eastAsia" w:ascii="楷体" w:hAnsi="楷体" w:eastAsia="楷体" w:cs="宋体"/>
                <w:sz w:val="24"/>
                <w:szCs w:val="24"/>
                <w:lang w:bidi="ar"/>
              </w:rPr>
              <w:tab/>
            </w:r>
            <w:r>
              <w:rPr>
                <w:rFonts w:hint="eastAsia" w:ascii="楷体" w:hAnsi="楷体" w:eastAsia="楷体" w:cs="宋体"/>
                <w:sz w:val="24"/>
                <w:szCs w:val="24"/>
                <w:lang w:bidi="ar"/>
              </w:rPr>
              <w:t>SXHJ-QES/CX-01-2021》，体系文件生效实施日期为2021年1月10日，文件规定了质量、环境和安全职业健康文件的编制、审批、评审、编号、回收、发放、更改、换版、作废等的管理和控制。</w:t>
            </w:r>
          </w:p>
          <w:p>
            <w:pPr>
              <w:tabs>
                <w:tab w:val="center" w:pos="3169"/>
              </w:tabs>
              <w:spacing w:line="360" w:lineRule="auto"/>
              <w:ind w:firstLine="240" w:firstLineChars="100"/>
              <w:jc w:val="left"/>
              <w:rPr>
                <w:rFonts w:ascii="楷体" w:hAnsi="楷体" w:eastAsia="楷体" w:cs="宋体"/>
                <w:sz w:val="24"/>
                <w:szCs w:val="24"/>
                <w:lang w:bidi="ar"/>
              </w:rPr>
            </w:pPr>
            <w:r>
              <w:rPr>
                <w:rFonts w:hint="eastAsia" w:ascii="楷体" w:hAnsi="楷体" w:eastAsia="楷体" w:cs="宋体"/>
                <w:sz w:val="24"/>
                <w:szCs w:val="24"/>
                <w:lang w:bidi="ar"/>
              </w:rPr>
              <w:t>查《受控文件清单 》，包括管理手册、程序文件及公司制定的管理制度等作业文件。</w:t>
            </w:r>
          </w:p>
          <w:p>
            <w:pPr>
              <w:tabs>
                <w:tab w:val="center" w:pos="3169"/>
              </w:tabs>
              <w:spacing w:line="360" w:lineRule="auto"/>
              <w:ind w:firstLine="240" w:firstLineChars="100"/>
              <w:jc w:val="left"/>
              <w:rPr>
                <w:rFonts w:ascii="楷体" w:hAnsi="楷体" w:eastAsia="楷体" w:cs="宋体"/>
                <w:sz w:val="24"/>
                <w:szCs w:val="24"/>
                <w:lang w:bidi="ar"/>
              </w:rPr>
            </w:pPr>
            <w:r>
              <w:rPr>
                <w:rFonts w:hint="eastAsia" w:ascii="楷体" w:hAnsi="楷体" w:eastAsia="楷体" w:cs="宋体"/>
                <w:sz w:val="24"/>
                <w:szCs w:val="24"/>
                <w:lang w:bidi="ar"/>
              </w:rPr>
              <w:t>查：《文件发放/回收记录》，抽查文件发放情况，有收文、发文的确认签字，符合文件发放规定。</w:t>
            </w:r>
          </w:p>
          <w:p>
            <w:pPr>
              <w:tabs>
                <w:tab w:val="center" w:pos="3169"/>
              </w:tabs>
              <w:spacing w:line="360" w:lineRule="auto"/>
              <w:ind w:firstLine="240" w:firstLineChars="100"/>
              <w:jc w:val="left"/>
              <w:rPr>
                <w:rFonts w:ascii="楷体" w:hAnsi="楷体" w:eastAsia="楷体" w:cs="宋体"/>
                <w:sz w:val="24"/>
                <w:szCs w:val="24"/>
                <w:lang w:bidi="ar"/>
              </w:rPr>
            </w:pPr>
            <w:r>
              <w:rPr>
                <w:rFonts w:hint="eastAsia" w:ascii="楷体" w:hAnsi="楷体" w:eastAsia="楷体" w:cs="宋体"/>
                <w:sz w:val="24"/>
                <w:szCs w:val="24"/>
                <w:lang w:bidi="ar"/>
              </w:rPr>
              <w:t>查：《外来文件清单》，内容有物业管理条例等法规和标准。</w:t>
            </w:r>
          </w:p>
          <w:p>
            <w:pPr>
              <w:tabs>
                <w:tab w:val="center" w:pos="3169"/>
              </w:tabs>
              <w:spacing w:line="360" w:lineRule="auto"/>
              <w:ind w:firstLine="240" w:firstLineChars="100"/>
              <w:jc w:val="left"/>
              <w:rPr>
                <w:rFonts w:ascii="楷体" w:hAnsi="楷体" w:eastAsia="楷体" w:cs="宋体"/>
                <w:sz w:val="24"/>
                <w:szCs w:val="24"/>
                <w:lang w:bidi="ar"/>
              </w:rPr>
            </w:pPr>
            <w:r>
              <w:rPr>
                <w:rFonts w:hint="eastAsia" w:ascii="楷体" w:hAnsi="楷体" w:eastAsia="楷体" w:cs="宋体"/>
                <w:sz w:val="24"/>
                <w:szCs w:val="24"/>
                <w:lang w:bidi="ar"/>
              </w:rPr>
              <w:t>文件资料基本满足岗位工作需要，并为现行有效版本。</w:t>
            </w:r>
          </w:p>
          <w:p>
            <w:pPr>
              <w:tabs>
                <w:tab w:val="center" w:pos="3169"/>
              </w:tabs>
              <w:spacing w:line="360" w:lineRule="auto"/>
              <w:ind w:firstLine="240" w:firstLineChars="100"/>
              <w:jc w:val="left"/>
              <w:rPr>
                <w:rFonts w:ascii="楷体" w:hAnsi="楷体" w:eastAsia="楷体" w:cs="宋体"/>
                <w:sz w:val="24"/>
                <w:szCs w:val="24"/>
                <w:lang w:bidi="ar"/>
              </w:rPr>
            </w:pPr>
            <w:r>
              <w:rPr>
                <w:rFonts w:hint="eastAsia" w:ascii="楷体" w:hAnsi="楷体" w:eastAsia="楷体" w:cs="宋体"/>
                <w:sz w:val="24"/>
                <w:szCs w:val="24"/>
                <w:lang w:bidi="ar"/>
              </w:rPr>
              <w:t>查文件的评审及更新：管理评审时对文件的适宜性及可操作性进行评审：适宜、可操作。</w:t>
            </w:r>
          </w:p>
          <w:p>
            <w:pPr>
              <w:tabs>
                <w:tab w:val="center" w:pos="3169"/>
              </w:tabs>
              <w:spacing w:line="360" w:lineRule="auto"/>
              <w:jc w:val="left"/>
              <w:rPr>
                <w:rFonts w:ascii="楷体" w:hAnsi="楷体" w:eastAsia="楷体" w:cs="宋体"/>
                <w:sz w:val="24"/>
                <w:szCs w:val="24"/>
                <w:lang w:bidi="ar"/>
              </w:rPr>
            </w:pPr>
            <w:r>
              <w:rPr>
                <w:rFonts w:hint="eastAsia" w:ascii="楷体" w:hAnsi="楷体" w:eastAsia="楷体" w:cs="宋体"/>
                <w:sz w:val="24"/>
                <w:szCs w:val="24"/>
                <w:lang w:bidi="ar"/>
              </w:rPr>
              <w:t xml:space="preserve">   查文件的修改和作废：根据文审要求修订了管理手册，审批后替换了修改页，原页面销毁。</w:t>
            </w:r>
          </w:p>
          <w:p>
            <w:pPr>
              <w:tabs>
                <w:tab w:val="center" w:pos="3169"/>
              </w:tabs>
              <w:spacing w:line="360" w:lineRule="auto"/>
              <w:jc w:val="left"/>
              <w:rPr>
                <w:rFonts w:ascii="楷体" w:hAnsi="楷体" w:eastAsia="楷体" w:cs="宋体"/>
                <w:sz w:val="24"/>
                <w:szCs w:val="24"/>
                <w:lang w:bidi="ar"/>
              </w:rPr>
            </w:pPr>
            <w:r>
              <w:rPr>
                <w:rFonts w:hint="eastAsia" w:ascii="楷体" w:hAnsi="楷体" w:eastAsia="楷体" w:cs="宋体"/>
                <w:sz w:val="24"/>
                <w:szCs w:val="24"/>
                <w:lang w:bidi="ar"/>
              </w:rPr>
              <w:t xml:space="preserve">   口头提出待改进项目：</w:t>
            </w:r>
          </w:p>
          <w:p>
            <w:pPr>
              <w:tabs>
                <w:tab w:val="center" w:pos="3169"/>
              </w:tabs>
              <w:spacing w:line="360" w:lineRule="auto"/>
              <w:ind w:firstLine="480" w:firstLineChars="200"/>
              <w:jc w:val="left"/>
              <w:rPr>
                <w:rFonts w:ascii="楷体" w:hAnsi="楷体" w:eastAsia="楷体" w:cs="宋体"/>
                <w:sz w:val="24"/>
                <w:szCs w:val="24"/>
                <w:lang w:bidi="ar"/>
              </w:rPr>
            </w:pPr>
            <w:r>
              <w:rPr>
                <w:rFonts w:hint="eastAsia" w:ascii="楷体" w:hAnsi="楷体" w:eastAsia="楷体" w:cs="宋体"/>
                <w:sz w:val="24"/>
                <w:szCs w:val="24"/>
                <w:lang w:bidi="ar"/>
              </w:rPr>
              <w:t>未对电子文档的安全性管理做出明确规定。</w:t>
            </w:r>
          </w:p>
          <w:p>
            <w:pPr>
              <w:tabs>
                <w:tab w:val="center" w:pos="3169"/>
              </w:tabs>
              <w:spacing w:line="360" w:lineRule="auto"/>
              <w:ind w:firstLine="480" w:firstLineChars="200"/>
              <w:jc w:val="left"/>
              <w:rPr>
                <w:rFonts w:ascii="楷体" w:hAnsi="楷体" w:eastAsia="楷体" w:cs="宋体"/>
                <w:sz w:val="24"/>
                <w:szCs w:val="24"/>
                <w:lang w:bidi="ar"/>
              </w:rPr>
            </w:pPr>
            <w:r>
              <w:rPr>
                <w:rFonts w:hint="eastAsia" w:ascii="楷体" w:hAnsi="楷体" w:eastAsia="楷体" w:cs="宋体"/>
                <w:sz w:val="24"/>
                <w:szCs w:val="24"/>
                <w:lang w:bidi="ar"/>
              </w:rPr>
              <w:t>提供“记录汇总表”，规定了记录的名称、编号、责任部门、保存期限等内容。</w:t>
            </w:r>
          </w:p>
          <w:p>
            <w:pPr>
              <w:tabs>
                <w:tab w:val="center" w:pos="3169"/>
              </w:tabs>
              <w:spacing w:line="360" w:lineRule="auto"/>
              <w:ind w:firstLine="480" w:firstLineChars="200"/>
              <w:jc w:val="left"/>
              <w:rPr>
                <w:rFonts w:ascii="楷体" w:hAnsi="楷体" w:eastAsia="楷体" w:cs="宋体"/>
                <w:sz w:val="24"/>
                <w:szCs w:val="24"/>
                <w:lang w:bidi="ar"/>
              </w:rPr>
            </w:pPr>
            <w:r>
              <w:rPr>
                <w:rFonts w:hint="eastAsia" w:ascii="楷体" w:hAnsi="楷体" w:eastAsia="楷体" w:cs="宋体"/>
                <w:sz w:val="24"/>
                <w:szCs w:val="24"/>
                <w:lang w:bidi="ar"/>
              </w:rPr>
              <w:t>核对标准规定的应保留的记录和保存期限，标准所规定的记录均涵盖，保存期限规定的合理。</w:t>
            </w:r>
          </w:p>
          <w:p>
            <w:pPr>
              <w:tabs>
                <w:tab w:val="center" w:pos="3169"/>
              </w:tabs>
              <w:spacing w:line="360" w:lineRule="auto"/>
              <w:ind w:firstLine="480" w:firstLineChars="200"/>
              <w:jc w:val="left"/>
              <w:rPr>
                <w:rFonts w:hint="eastAsia" w:ascii="楷体" w:hAnsi="楷体" w:eastAsia="楷体" w:cs="宋体"/>
                <w:sz w:val="24"/>
                <w:szCs w:val="24"/>
                <w:lang w:bidi="ar"/>
              </w:rPr>
            </w:pPr>
            <w:r>
              <w:rPr>
                <w:rFonts w:hint="eastAsia" w:ascii="楷体" w:hAnsi="楷体" w:eastAsia="楷体" w:cs="宋体"/>
                <w:sz w:val="24"/>
                <w:szCs w:val="24"/>
                <w:lang w:bidi="ar"/>
              </w:rPr>
              <w:t>办公室主要负责归档公司质量、环境及职业健康安全记录的标识、编目、保管、贮存，负责本程序的归口管理。</w:t>
            </w:r>
          </w:p>
          <w:p>
            <w:pPr>
              <w:tabs>
                <w:tab w:val="center" w:pos="3169"/>
              </w:tabs>
              <w:spacing w:line="360" w:lineRule="auto"/>
              <w:ind w:firstLine="480" w:firstLineChars="200"/>
              <w:jc w:val="left"/>
              <w:rPr>
                <w:rFonts w:ascii="楷体" w:hAnsi="楷体" w:eastAsia="楷体" w:cs="宋体"/>
                <w:sz w:val="24"/>
                <w:szCs w:val="24"/>
                <w:lang w:bidi="ar"/>
              </w:rPr>
            </w:pPr>
            <w:r>
              <w:rPr>
                <w:rFonts w:hint="eastAsia" w:ascii="楷体" w:hAnsi="楷体" w:eastAsia="楷体" w:cs="宋体"/>
                <w:sz w:val="24"/>
                <w:szCs w:val="24"/>
                <w:lang w:bidi="ar"/>
              </w:rPr>
              <w:t>查保管的记录：</w:t>
            </w:r>
            <w:r>
              <w:rPr>
                <w:rFonts w:ascii="楷体" w:hAnsi="楷体" w:eastAsia="楷体" w:cs="宋体"/>
                <w:sz w:val="24"/>
                <w:szCs w:val="24"/>
                <w:lang w:bidi="ar"/>
              </w:rPr>
              <w:t>物业管理执行标准</w:t>
            </w:r>
            <w:r>
              <w:rPr>
                <w:rFonts w:hint="eastAsia" w:ascii="楷体" w:hAnsi="楷体" w:eastAsia="楷体" w:cs="宋体"/>
                <w:sz w:val="24"/>
                <w:szCs w:val="24"/>
                <w:lang w:bidi="ar"/>
              </w:rPr>
              <w:t>、环境因素清单、管理目标分解及考核表、合规性评价报告、管理评审计划等记录。</w:t>
            </w:r>
          </w:p>
          <w:p>
            <w:pPr>
              <w:tabs>
                <w:tab w:val="center" w:pos="3169"/>
              </w:tabs>
              <w:spacing w:line="360" w:lineRule="auto"/>
              <w:ind w:firstLine="480" w:firstLineChars="200"/>
              <w:jc w:val="left"/>
              <w:rPr>
                <w:rFonts w:ascii="楷体" w:hAnsi="楷体" w:eastAsia="楷体" w:cs="宋体"/>
                <w:sz w:val="24"/>
                <w:szCs w:val="24"/>
                <w:lang w:bidi="ar"/>
              </w:rPr>
            </w:pPr>
            <w:r>
              <w:rPr>
                <w:rFonts w:hint="eastAsia" w:ascii="楷体" w:hAnsi="楷体" w:eastAsia="楷体" w:cs="宋体"/>
                <w:sz w:val="24"/>
                <w:szCs w:val="24"/>
                <w:lang w:bidi="ar"/>
              </w:rPr>
              <w:t>所见记录反映办公室能够按照记录控制要求进行管理，记录保存完整，填写清晰、工整。记录控制符合要求。</w:t>
            </w:r>
          </w:p>
        </w:tc>
        <w:tc>
          <w:tcPr>
            <w:tcW w:w="577"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center"/>
          </w:tcPr>
          <w:p>
            <w:pPr>
              <w:spacing w:line="360" w:lineRule="auto"/>
              <w:rPr>
                <w:rFonts w:ascii="楷体" w:hAnsi="楷体" w:eastAsia="楷体"/>
                <w:sz w:val="24"/>
                <w:szCs w:val="24"/>
              </w:rPr>
            </w:pPr>
            <w:r>
              <w:rPr>
                <w:rFonts w:hint="eastAsia" w:ascii="楷体" w:hAnsi="楷体" w:eastAsia="楷体"/>
                <w:sz w:val="24"/>
                <w:szCs w:val="24"/>
              </w:rPr>
              <w:t>环境因素识别、危险源辨识、风险评价和控制措施的确定</w:t>
            </w:r>
          </w:p>
        </w:tc>
        <w:tc>
          <w:tcPr>
            <w:tcW w:w="1164" w:type="dxa"/>
            <w:vAlign w:val="center"/>
          </w:tcPr>
          <w:p>
            <w:pPr>
              <w:spacing w:line="360" w:lineRule="auto"/>
              <w:rPr>
                <w:rFonts w:ascii="楷体" w:hAnsi="楷体" w:eastAsia="楷体"/>
                <w:sz w:val="24"/>
                <w:szCs w:val="24"/>
              </w:rPr>
            </w:pPr>
            <w:r>
              <w:rPr>
                <w:rFonts w:hint="eastAsia" w:ascii="楷体" w:hAnsi="楷体" w:eastAsia="楷体"/>
                <w:sz w:val="24"/>
                <w:szCs w:val="24"/>
              </w:rPr>
              <w:t>EO6.1.2</w:t>
            </w:r>
          </w:p>
        </w:tc>
        <w:tc>
          <w:tcPr>
            <w:tcW w:w="11012" w:type="dxa"/>
            <w:vAlign w:val="center"/>
          </w:tcPr>
          <w:p>
            <w:pPr>
              <w:spacing w:line="360" w:lineRule="auto"/>
              <w:ind w:firstLine="480" w:firstLineChars="200"/>
              <w:rPr>
                <w:rFonts w:ascii="楷体" w:hAnsi="楷体" w:eastAsia="楷体" w:cs="Arial"/>
                <w:sz w:val="24"/>
                <w:szCs w:val="24"/>
              </w:rPr>
            </w:pPr>
            <w:r>
              <w:rPr>
                <w:rFonts w:hint="eastAsia" w:ascii="楷体" w:hAnsi="楷体" w:eastAsia="楷体" w:cs="楷体"/>
                <w:bCs/>
                <w:sz w:val="24"/>
                <w:szCs w:val="24"/>
              </w:rPr>
              <w:t>办公室作为公司环境和</w:t>
            </w:r>
            <w:r>
              <w:rPr>
                <w:rFonts w:hint="eastAsia" w:ascii="楷体" w:hAnsi="楷体" w:eastAsia="楷体"/>
                <w:sz w:val="24"/>
                <w:szCs w:val="24"/>
              </w:rPr>
              <w:t>职业健康安全管理</w:t>
            </w:r>
            <w:r>
              <w:rPr>
                <w:rFonts w:hint="eastAsia" w:ascii="楷体" w:hAnsi="楷体" w:eastAsia="楷体" w:cs="楷体"/>
                <w:bCs/>
                <w:sz w:val="24"/>
                <w:szCs w:val="24"/>
              </w:rPr>
              <w:t>体系的主控部门，主要负责识别</w:t>
            </w:r>
            <w:r>
              <w:rPr>
                <w:rFonts w:hint="eastAsia" w:ascii="楷体" w:hAnsi="楷体" w:eastAsia="楷体" w:cs="Arial"/>
                <w:sz w:val="24"/>
                <w:szCs w:val="24"/>
              </w:rPr>
              <w:t>评价相关的环境因素和危险源，查有：《环境因素识别与评价控制程序</w:t>
            </w:r>
            <w:r>
              <w:rPr>
                <w:rFonts w:hint="eastAsia" w:ascii="楷体" w:hAnsi="楷体" w:eastAsia="楷体" w:cs="Arial"/>
                <w:sz w:val="24"/>
                <w:szCs w:val="24"/>
              </w:rPr>
              <w:tab/>
            </w:r>
            <w:r>
              <w:rPr>
                <w:rFonts w:hint="eastAsia" w:ascii="楷体" w:hAnsi="楷体" w:eastAsia="楷体" w:cs="Arial"/>
                <w:sz w:val="24"/>
                <w:szCs w:val="24"/>
              </w:rPr>
              <w:t>SXHJ-QES/CX-02-2021》、《危险源辨识、风险评价控制程序</w:t>
            </w:r>
            <w:r>
              <w:rPr>
                <w:rFonts w:hint="eastAsia" w:ascii="楷体" w:hAnsi="楷体" w:eastAsia="楷体" w:cs="Arial"/>
                <w:sz w:val="24"/>
                <w:szCs w:val="24"/>
              </w:rPr>
              <w:tab/>
            </w:r>
            <w:r>
              <w:rPr>
                <w:rFonts w:hint="eastAsia" w:ascii="楷体" w:hAnsi="楷体" w:eastAsia="楷体" w:cs="Arial"/>
                <w:sz w:val="24"/>
                <w:szCs w:val="24"/>
              </w:rPr>
              <w:t>SXHJ-QES/CX-03-2021》。</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询问识别：根据各部门识别及各物业管理服务、办公、销售等过程环节识别，由办公室汇总。</w:t>
            </w:r>
          </w:p>
          <w:p>
            <w:pPr>
              <w:spacing w:line="360" w:lineRule="auto"/>
              <w:ind w:firstLine="480" w:firstLineChars="200"/>
              <w:rPr>
                <w:rFonts w:ascii="楷体" w:hAnsi="楷体" w:eastAsia="楷体" w:cs="楷体"/>
                <w:bCs/>
                <w:sz w:val="24"/>
                <w:szCs w:val="24"/>
              </w:rPr>
            </w:pPr>
            <w:r>
              <w:rPr>
                <w:rFonts w:hint="eastAsia" w:ascii="楷体" w:hAnsi="楷体" w:eastAsia="楷体" w:cs="楷体"/>
                <w:bCs/>
                <w:sz w:val="24"/>
                <w:szCs w:val="24"/>
              </w:rPr>
              <w:t>查到《环境因素清单》，识别考虑了正常、异常、紧急，过去、现在、未来三种时态，考虑了供方、客户等可施加影响的环境因素，能考虑到产品生命周期观点。</w:t>
            </w:r>
          </w:p>
          <w:p>
            <w:pPr>
              <w:tabs>
                <w:tab w:val="left" w:pos="6597"/>
              </w:tabs>
              <w:spacing w:line="360" w:lineRule="auto"/>
              <w:rPr>
                <w:rFonts w:ascii="楷体" w:hAnsi="楷体" w:eastAsia="楷体"/>
                <w:color w:val="000000"/>
                <w:sz w:val="24"/>
                <w:szCs w:val="24"/>
              </w:rPr>
            </w:pPr>
            <w:r>
              <w:rPr>
                <w:rFonts w:hint="eastAsia" w:ascii="楷体" w:hAnsi="楷体" w:eastAsia="楷体"/>
                <w:color w:val="000000"/>
                <w:sz w:val="24"/>
                <w:szCs w:val="24"/>
              </w:rPr>
              <w:t xml:space="preserve">识别情况如下： </w:t>
            </w:r>
          </w:p>
          <w:p>
            <w:pPr>
              <w:tabs>
                <w:tab w:val="left" w:pos="6597"/>
              </w:tabs>
              <w:spacing w:line="360" w:lineRule="auto"/>
              <w:rPr>
                <w:rFonts w:ascii="楷体" w:hAnsi="楷体" w:eastAsia="楷体"/>
                <w:color w:val="000000"/>
                <w:sz w:val="24"/>
                <w:szCs w:val="24"/>
              </w:rPr>
            </w:pPr>
            <w:r>
              <w:rPr>
                <w:rFonts w:hint="eastAsia" w:ascii="楷体" w:hAnsi="楷体" w:eastAsia="楷体"/>
                <w:color w:val="000000"/>
                <w:sz w:val="24"/>
                <w:szCs w:val="24"/>
              </w:rPr>
              <w:t xml:space="preserve">  抽 1）水：</w:t>
            </w:r>
          </w:p>
          <w:p>
            <w:pPr>
              <w:tabs>
                <w:tab w:val="left" w:pos="6597"/>
              </w:tabs>
              <w:spacing w:line="360" w:lineRule="auto"/>
              <w:rPr>
                <w:rFonts w:ascii="楷体" w:hAnsi="楷体" w:eastAsia="楷体"/>
                <w:color w:val="000000"/>
                <w:sz w:val="24"/>
                <w:szCs w:val="24"/>
              </w:rPr>
            </w:pPr>
            <w:r>
              <w:rPr>
                <w:rFonts w:hint="eastAsia" w:ascii="楷体" w:hAnsi="楷体" w:eastAsia="楷体"/>
                <w:color w:val="000000"/>
                <w:sz w:val="24"/>
                <w:szCs w:val="24"/>
              </w:rPr>
              <w:t xml:space="preserve">      公司无生产废水外排，生活污水经化粪池处理后外排市政污水管道，化粪池定期清掏；</w:t>
            </w:r>
          </w:p>
          <w:p>
            <w:pPr>
              <w:tabs>
                <w:tab w:val="left" w:pos="6597"/>
              </w:tabs>
              <w:spacing w:line="360" w:lineRule="auto"/>
              <w:rPr>
                <w:rFonts w:ascii="楷体" w:hAnsi="楷体" w:eastAsia="楷体"/>
                <w:color w:val="000000"/>
                <w:sz w:val="24"/>
                <w:szCs w:val="24"/>
              </w:rPr>
            </w:pPr>
            <w:r>
              <w:rPr>
                <w:rFonts w:hint="eastAsia" w:ascii="楷体" w:hAnsi="楷体" w:eastAsia="楷体"/>
                <w:color w:val="000000"/>
                <w:sz w:val="24"/>
                <w:szCs w:val="24"/>
              </w:rPr>
              <w:t xml:space="preserve">   2）噪声：</w:t>
            </w:r>
          </w:p>
          <w:p>
            <w:pPr>
              <w:tabs>
                <w:tab w:val="left" w:pos="6597"/>
              </w:tabs>
              <w:spacing w:line="360" w:lineRule="auto"/>
              <w:rPr>
                <w:rFonts w:ascii="楷体" w:hAnsi="楷体" w:eastAsia="楷体"/>
                <w:color w:val="000000"/>
                <w:sz w:val="24"/>
                <w:szCs w:val="24"/>
              </w:rPr>
            </w:pPr>
            <w:r>
              <w:rPr>
                <w:rFonts w:hint="eastAsia" w:ascii="楷体" w:hAnsi="楷体" w:eastAsia="楷体"/>
                <w:color w:val="000000"/>
                <w:sz w:val="24"/>
                <w:szCs w:val="24"/>
              </w:rPr>
              <w:t xml:space="preserve">      办公设备运行的噪声排放等； </w:t>
            </w:r>
          </w:p>
          <w:p>
            <w:pPr>
              <w:tabs>
                <w:tab w:val="left" w:pos="6597"/>
              </w:tabs>
              <w:spacing w:line="360" w:lineRule="auto"/>
              <w:rPr>
                <w:rFonts w:ascii="楷体" w:hAnsi="楷体" w:eastAsia="楷体"/>
                <w:color w:val="000000"/>
                <w:sz w:val="24"/>
                <w:szCs w:val="24"/>
              </w:rPr>
            </w:pPr>
            <w:r>
              <w:rPr>
                <w:rFonts w:hint="eastAsia" w:ascii="楷体" w:hAnsi="楷体" w:eastAsia="楷体"/>
                <w:color w:val="000000"/>
                <w:sz w:val="24"/>
                <w:szCs w:val="24"/>
              </w:rPr>
              <w:t xml:space="preserve">     3）气：</w:t>
            </w:r>
          </w:p>
          <w:p>
            <w:pPr>
              <w:tabs>
                <w:tab w:val="left" w:pos="6597"/>
              </w:tabs>
              <w:spacing w:line="360" w:lineRule="auto"/>
              <w:rPr>
                <w:rFonts w:ascii="楷体" w:hAnsi="楷体" w:eastAsia="楷体"/>
                <w:color w:val="000000"/>
                <w:sz w:val="24"/>
                <w:szCs w:val="24"/>
              </w:rPr>
            </w:pPr>
            <w:r>
              <w:rPr>
                <w:rFonts w:hint="eastAsia" w:ascii="楷体" w:hAnsi="楷体" w:eastAsia="楷体"/>
                <w:color w:val="000000"/>
                <w:sz w:val="24"/>
                <w:szCs w:val="24"/>
              </w:rPr>
              <w:t xml:space="preserve">    复印机废气的排放、汽车尾气排放等；</w:t>
            </w:r>
          </w:p>
          <w:p>
            <w:pPr>
              <w:tabs>
                <w:tab w:val="left" w:pos="6597"/>
              </w:tabs>
              <w:spacing w:line="360" w:lineRule="auto"/>
              <w:rPr>
                <w:rFonts w:ascii="楷体" w:hAnsi="楷体" w:eastAsia="楷体"/>
                <w:color w:val="000000"/>
                <w:sz w:val="24"/>
                <w:szCs w:val="24"/>
              </w:rPr>
            </w:pPr>
            <w:r>
              <w:rPr>
                <w:rFonts w:hint="eastAsia" w:ascii="楷体" w:hAnsi="楷体" w:eastAsia="楷体"/>
                <w:color w:val="000000"/>
                <w:sz w:val="24"/>
                <w:szCs w:val="24"/>
              </w:rPr>
              <w:t xml:space="preserve">  4）废渣：</w:t>
            </w:r>
          </w:p>
          <w:p>
            <w:pPr>
              <w:tabs>
                <w:tab w:val="left" w:pos="6597"/>
              </w:tabs>
              <w:spacing w:line="360" w:lineRule="auto"/>
              <w:ind w:firstLine="405"/>
              <w:rPr>
                <w:rFonts w:ascii="楷体" w:hAnsi="楷体" w:eastAsia="楷体"/>
                <w:color w:val="000000"/>
                <w:sz w:val="24"/>
                <w:szCs w:val="24"/>
              </w:rPr>
            </w:pPr>
            <w:r>
              <w:rPr>
                <w:rFonts w:hint="eastAsia" w:ascii="楷体" w:hAnsi="楷体" w:eastAsia="楷体"/>
                <w:color w:val="000000"/>
                <w:sz w:val="24"/>
                <w:szCs w:val="24"/>
              </w:rPr>
              <w:t>生活垃圾弃置、制作废弃、办公碳粉盒废弃等；</w:t>
            </w:r>
          </w:p>
          <w:p>
            <w:pPr>
              <w:tabs>
                <w:tab w:val="left" w:pos="6597"/>
              </w:tabs>
              <w:spacing w:line="360" w:lineRule="auto"/>
              <w:ind w:firstLine="405"/>
              <w:rPr>
                <w:rFonts w:ascii="楷体" w:hAnsi="楷体" w:eastAsia="楷体"/>
                <w:color w:val="000000"/>
                <w:sz w:val="24"/>
                <w:szCs w:val="24"/>
              </w:rPr>
            </w:pPr>
            <w:r>
              <w:rPr>
                <w:rFonts w:hint="eastAsia" w:ascii="楷体" w:hAnsi="楷体" w:eastAsia="楷体"/>
                <w:color w:val="000000"/>
                <w:sz w:val="24"/>
                <w:szCs w:val="24"/>
              </w:rPr>
              <w:t>5）（紧急、意外、异常）情况：</w:t>
            </w:r>
          </w:p>
          <w:p>
            <w:pPr>
              <w:tabs>
                <w:tab w:val="left" w:pos="6597"/>
              </w:tabs>
              <w:spacing w:line="360" w:lineRule="auto"/>
              <w:ind w:firstLine="405"/>
              <w:rPr>
                <w:rFonts w:ascii="楷体" w:hAnsi="楷体" w:eastAsia="楷体"/>
                <w:color w:val="000000"/>
                <w:sz w:val="24"/>
                <w:szCs w:val="24"/>
              </w:rPr>
            </w:pPr>
            <w:r>
              <w:rPr>
                <w:rFonts w:hint="eastAsia" w:ascii="楷体" w:hAnsi="楷体" w:eastAsia="楷体"/>
                <w:color w:val="000000"/>
                <w:sz w:val="24"/>
                <w:szCs w:val="24"/>
              </w:rPr>
              <w:t>潜在火灾发生等。</w:t>
            </w:r>
          </w:p>
          <w:p>
            <w:pPr>
              <w:tabs>
                <w:tab w:val="left" w:pos="6597"/>
              </w:tabs>
              <w:spacing w:line="360" w:lineRule="auto"/>
              <w:rPr>
                <w:rFonts w:ascii="楷体" w:hAnsi="楷体" w:eastAsia="楷体"/>
                <w:color w:val="000000"/>
                <w:sz w:val="24"/>
                <w:szCs w:val="24"/>
              </w:rPr>
            </w:pPr>
            <w:r>
              <w:rPr>
                <w:rFonts w:hint="eastAsia" w:ascii="楷体" w:hAnsi="楷体" w:eastAsia="楷体"/>
                <w:color w:val="000000"/>
                <w:sz w:val="24"/>
                <w:szCs w:val="24"/>
              </w:rPr>
              <w:t xml:space="preserve">    以上环境因素的识别按照过去、现在和将来三种时态，正常、异常和紧急三种状态进行了识别；并按照多因子评价法对环境因素进行了评价。</w:t>
            </w:r>
          </w:p>
          <w:p>
            <w:pPr>
              <w:snapToGrid w:val="0"/>
              <w:spacing w:line="360" w:lineRule="auto"/>
              <w:rPr>
                <w:rFonts w:ascii="楷体" w:hAnsi="楷体" w:eastAsia="楷体"/>
                <w:color w:val="000000"/>
                <w:sz w:val="24"/>
                <w:szCs w:val="24"/>
              </w:rPr>
            </w:pPr>
            <w:r>
              <w:rPr>
                <w:rFonts w:hint="eastAsia" w:ascii="楷体" w:hAnsi="楷体" w:eastAsia="楷体"/>
                <w:color w:val="000000"/>
                <w:sz w:val="24"/>
                <w:szCs w:val="24"/>
              </w:rPr>
              <w:t xml:space="preserve">      提供了《重要环境因素清单》，</w:t>
            </w:r>
          </w:p>
          <w:p>
            <w:pPr>
              <w:snapToGrid w:val="0"/>
              <w:spacing w:line="360" w:lineRule="auto"/>
              <w:rPr>
                <w:rFonts w:ascii="楷体" w:hAnsi="楷体" w:eastAsia="楷体"/>
                <w:color w:val="000000"/>
                <w:sz w:val="24"/>
                <w:szCs w:val="24"/>
              </w:rPr>
            </w:pPr>
            <w:r>
              <w:drawing>
                <wp:anchor distT="0" distB="0" distL="114300" distR="114300" simplePos="0" relativeHeight="251661312" behindDoc="0" locked="0" layoutInCell="1" allowOverlap="1">
                  <wp:simplePos x="0" y="0"/>
                  <wp:positionH relativeFrom="column">
                    <wp:posOffset>203200</wp:posOffset>
                  </wp:positionH>
                  <wp:positionV relativeFrom="paragraph">
                    <wp:posOffset>93345</wp:posOffset>
                  </wp:positionV>
                  <wp:extent cx="6429375" cy="108775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biLevel thresh="75000"/>
                          </a:blip>
                          <a:stretch>
                            <a:fillRect/>
                          </a:stretch>
                        </pic:blipFill>
                        <pic:spPr>
                          <a:xfrm>
                            <a:off x="0" y="0"/>
                            <a:ext cx="6429375" cy="1087755"/>
                          </a:xfrm>
                          <a:prstGeom prst="rect">
                            <a:avLst/>
                          </a:prstGeom>
                        </pic:spPr>
                      </pic:pic>
                    </a:graphicData>
                  </a:graphic>
                </wp:anchor>
              </w:drawing>
            </w:r>
          </w:p>
          <w:p>
            <w:pPr>
              <w:snapToGrid w:val="0"/>
              <w:spacing w:line="360" w:lineRule="auto"/>
              <w:rPr>
                <w:rFonts w:ascii="楷体" w:hAnsi="楷体" w:eastAsia="楷体"/>
                <w:color w:val="000000"/>
                <w:sz w:val="24"/>
                <w:szCs w:val="24"/>
              </w:rPr>
            </w:pPr>
          </w:p>
          <w:p>
            <w:pPr>
              <w:snapToGrid w:val="0"/>
              <w:spacing w:line="360" w:lineRule="auto"/>
              <w:rPr>
                <w:rFonts w:ascii="楷体" w:hAnsi="楷体" w:eastAsia="楷体"/>
                <w:color w:val="000000"/>
                <w:sz w:val="24"/>
                <w:szCs w:val="24"/>
              </w:rPr>
            </w:pPr>
          </w:p>
          <w:p>
            <w:pPr>
              <w:snapToGrid w:val="0"/>
              <w:spacing w:line="360" w:lineRule="auto"/>
              <w:rPr>
                <w:rFonts w:ascii="楷体" w:hAnsi="楷体" w:eastAsia="楷体"/>
                <w:color w:val="000000"/>
                <w:sz w:val="24"/>
                <w:szCs w:val="24"/>
              </w:rPr>
            </w:pPr>
          </w:p>
          <w:p>
            <w:pPr>
              <w:snapToGrid w:val="0"/>
              <w:spacing w:line="360" w:lineRule="auto"/>
              <w:rPr>
                <w:rFonts w:ascii="楷体" w:hAnsi="楷体" w:eastAsia="楷体"/>
                <w:color w:val="000000"/>
                <w:sz w:val="24"/>
                <w:szCs w:val="24"/>
              </w:rPr>
            </w:pP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涉及本部门的环境因素有复印机废粉的排放，复印机光的辐射，复印机墨盒的废弃，打印机废硒鼓的废弃，生活污水的排放，办公车辆尾气的排放，纸的使用，水的使用，电的使用，生活垃圾的排放，纸口杯的废弃等。</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办公室的重要环境因素为日常办公过程中固废的排放、火灾事故的发生等。</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控制措施主要有：固废分类存放、办公危废交耗材供应单位、定期监测、日常培训、消防配备消防器材等措施。</w:t>
            </w:r>
          </w:p>
          <w:p>
            <w:pPr>
              <w:spacing w:line="360" w:lineRule="auto"/>
              <w:ind w:firstLine="480" w:firstLineChars="200"/>
              <w:rPr>
                <w:rFonts w:ascii="楷体" w:hAnsi="楷体" w:eastAsia="楷体" w:cs="楷体"/>
                <w:sz w:val="24"/>
                <w:szCs w:val="24"/>
              </w:rPr>
            </w:pP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查《危险源识别评价表》，识别办公活动、物业管理过程中的危险源。如员工下班后不关电源，</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有人感染传染病传染其他人，文件柜放置倾斜，未熄的烟头扔进废纸篓，外部人员随意使用公司电脑，司机无证驾驶，食物变质生熟食物未分开存放，培训室空气质量不好人员感染传染病，培训结束后不关电源，空调温度调节不当，各种电源线未固定绊倒人，复印机复印时废气排放，地面潮湿路滑，办公室植物搭配不合理产生毒素或花粉过敏，办公车辆未定期保养等。</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查到《不可接受风险清单》，</w:t>
            </w:r>
          </w:p>
          <w:p>
            <w:pPr>
              <w:spacing w:line="360" w:lineRule="auto"/>
              <w:ind w:firstLine="420" w:firstLineChars="200"/>
              <w:rPr>
                <w:rFonts w:ascii="楷体" w:hAnsi="楷体" w:eastAsia="楷体" w:cs="楷体"/>
                <w:sz w:val="24"/>
                <w:szCs w:val="24"/>
              </w:rPr>
            </w:pPr>
            <w:r>
              <w:drawing>
                <wp:anchor distT="0" distB="0" distL="114300" distR="114300" simplePos="0" relativeHeight="251662336" behindDoc="0" locked="0" layoutInCell="1" allowOverlap="1">
                  <wp:simplePos x="0" y="0"/>
                  <wp:positionH relativeFrom="column">
                    <wp:posOffset>82550</wp:posOffset>
                  </wp:positionH>
                  <wp:positionV relativeFrom="paragraph">
                    <wp:posOffset>61595</wp:posOffset>
                  </wp:positionV>
                  <wp:extent cx="6591300" cy="141160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biLevel thresh="75000"/>
                          </a:blip>
                          <a:stretch>
                            <a:fillRect/>
                          </a:stretch>
                        </pic:blipFill>
                        <pic:spPr>
                          <a:xfrm>
                            <a:off x="0" y="0"/>
                            <a:ext cx="6591300" cy="1411605"/>
                          </a:xfrm>
                          <a:prstGeom prst="rect">
                            <a:avLst/>
                          </a:prstGeom>
                        </pic:spPr>
                      </pic:pic>
                    </a:graphicData>
                  </a:graphic>
                </wp:anchor>
              </w:drawing>
            </w:r>
          </w:p>
          <w:p>
            <w:pPr>
              <w:spacing w:line="360" w:lineRule="auto"/>
              <w:ind w:firstLine="480" w:firstLineChars="200"/>
              <w:rPr>
                <w:rFonts w:ascii="楷体" w:hAnsi="楷体" w:eastAsia="楷体" w:cs="楷体"/>
                <w:sz w:val="24"/>
                <w:szCs w:val="24"/>
              </w:rPr>
            </w:pPr>
          </w:p>
          <w:p>
            <w:pPr>
              <w:spacing w:line="360" w:lineRule="auto"/>
              <w:ind w:firstLine="480" w:firstLineChars="200"/>
              <w:rPr>
                <w:rFonts w:ascii="楷体" w:hAnsi="楷体" w:eastAsia="楷体" w:cs="楷体"/>
                <w:sz w:val="24"/>
                <w:szCs w:val="24"/>
              </w:rPr>
            </w:pPr>
          </w:p>
          <w:p>
            <w:pPr>
              <w:spacing w:line="360" w:lineRule="auto"/>
              <w:ind w:firstLine="480" w:firstLineChars="200"/>
              <w:rPr>
                <w:rFonts w:ascii="楷体" w:hAnsi="楷体" w:eastAsia="楷体" w:cs="楷体"/>
                <w:sz w:val="24"/>
                <w:szCs w:val="24"/>
              </w:rPr>
            </w:pPr>
          </w:p>
          <w:p>
            <w:pPr>
              <w:spacing w:line="360" w:lineRule="auto"/>
              <w:ind w:firstLine="480" w:firstLineChars="200"/>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涉及办公室的重大危险源主要是火灾和触电等。</w:t>
            </w:r>
          </w:p>
          <w:p>
            <w:pPr>
              <w:spacing w:line="360" w:lineRule="auto"/>
              <w:ind w:firstLine="480" w:firstLineChars="200"/>
              <w:rPr>
                <w:rFonts w:ascii="楷体" w:hAnsi="楷体" w:eastAsia="楷体"/>
                <w:sz w:val="24"/>
                <w:szCs w:val="24"/>
              </w:rPr>
            </w:pPr>
            <w:r>
              <w:rPr>
                <w:rFonts w:hint="eastAsia" w:ascii="楷体" w:hAnsi="楷体" w:eastAsia="楷体" w:cs="楷体"/>
                <w:sz w:val="24"/>
                <w:szCs w:val="24"/>
              </w:rPr>
              <w:t>危险源控制执行管理方案、配备消防器材、个体防护、日常检查、日常培训教育等运行控制措施等。</w:t>
            </w:r>
          </w:p>
        </w:tc>
        <w:tc>
          <w:tcPr>
            <w:tcW w:w="577"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center"/>
          </w:tcPr>
          <w:p>
            <w:pPr>
              <w:spacing w:line="360" w:lineRule="auto"/>
              <w:rPr>
                <w:rFonts w:ascii="楷体" w:hAnsi="楷体" w:eastAsia="楷体"/>
                <w:sz w:val="24"/>
                <w:szCs w:val="24"/>
              </w:rPr>
            </w:pPr>
            <w:r>
              <w:rPr>
                <w:rFonts w:hint="eastAsia" w:ascii="楷体" w:hAnsi="楷体" w:eastAsia="楷体"/>
                <w:sz w:val="24"/>
                <w:szCs w:val="24"/>
              </w:rPr>
              <w:t>应对风险和机遇措施的策划</w:t>
            </w:r>
          </w:p>
        </w:tc>
        <w:tc>
          <w:tcPr>
            <w:tcW w:w="1164" w:type="dxa"/>
            <w:vAlign w:val="center"/>
          </w:tcPr>
          <w:p>
            <w:pPr>
              <w:spacing w:line="360" w:lineRule="auto"/>
              <w:rPr>
                <w:rFonts w:ascii="楷体" w:hAnsi="楷体" w:eastAsia="楷体"/>
                <w:sz w:val="24"/>
                <w:szCs w:val="24"/>
              </w:rPr>
            </w:pPr>
            <w:r>
              <w:rPr>
                <w:rFonts w:hint="eastAsia" w:ascii="楷体" w:hAnsi="楷体" w:eastAsia="楷体"/>
                <w:sz w:val="24"/>
                <w:szCs w:val="24"/>
              </w:rPr>
              <w:t>EO6.1.4</w:t>
            </w:r>
          </w:p>
        </w:tc>
        <w:tc>
          <w:tcPr>
            <w:tcW w:w="11012"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公司根据环境因素和危险源的风险辨识结果，分别制定出《重要环境因素清单》、《不可接受风险清单》，通过具体的措施进行有效控制：目标、管理方案、管理制度运行控制、应急预案、检查、培训。</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制定了《环境与职业健康安全绩效监测控制程序SXHJ-QES/CX-08-2021》、《合规性评价程序</w:t>
            </w:r>
            <w:r>
              <w:rPr>
                <w:rFonts w:hint="eastAsia" w:ascii="楷体" w:hAnsi="楷体" w:eastAsia="楷体"/>
                <w:sz w:val="24"/>
                <w:szCs w:val="24"/>
              </w:rPr>
              <w:tab/>
            </w:r>
            <w:r>
              <w:rPr>
                <w:rFonts w:hint="eastAsia" w:ascii="楷体" w:hAnsi="楷体" w:eastAsia="楷体"/>
                <w:sz w:val="24"/>
                <w:szCs w:val="24"/>
              </w:rPr>
              <w:t>SXHJ-QES/CX-09-2021》，每年对公司适用的合规义务进行识别更新并定期评价、检查。</w:t>
            </w:r>
          </w:p>
          <w:p>
            <w:pPr>
              <w:spacing w:line="360" w:lineRule="auto"/>
              <w:ind w:firstLine="480" w:firstLineChars="200"/>
              <w:rPr>
                <w:rFonts w:ascii="楷体" w:hAnsi="楷体" w:eastAsia="楷体" w:cs="楷体"/>
                <w:bCs/>
                <w:sz w:val="24"/>
                <w:szCs w:val="24"/>
              </w:rPr>
            </w:pPr>
            <w:r>
              <w:rPr>
                <w:rFonts w:hint="eastAsia" w:ascii="楷体" w:hAnsi="楷体" w:eastAsia="楷体"/>
                <w:sz w:val="24"/>
                <w:szCs w:val="24"/>
              </w:rPr>
              <w:t>经组织评价，组织策划的措施基本能够满足风险和机遇应对需要，能够与识别的风险和机遇对产品符合性的潜在影响相适应，基本满足标准要求。</w:t>
            </w:r>
          </w:p>
        </w:tc>
        <w:tc>
          <w:tcPr>
            <w:tcW w:w="577"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center"/>
          </w:tcPr>
          <w:p>
            <w:pPr>
              <w:spacing w:line="360" w:lineRule="auto"/>
              <w:rPr>
                <w:rFonts w:ascii="楷体" w:hAnsi="楷体" w:eastAsia="楷体"/>
                <w:sz w:val="24"/>
                <w:szCs w:val="24"/>
              </w:rPr>
            </w:pPr>
            <w:r>
              <w:rPr>
                <w:rFonts w:hint="eastAsia" w:ascii="楷体" w:hAnsi="楷体" w:eastAsia="楷体"/>
                <w:sz w:val="24"/>
                <w:szCs w:val="24"/>
              </w:rPr>
              <w:t>运行控制</w:t>
            </w:r>
          </w:p>
        </w:tc>
        <w:tc>
          <w:tcPr>
            <w:tcW w:w="1164" w:type="dxa"/>
            <w:vAlign w:val="center"/>
          </w:tcPr>
          <w:p>
            <w:pPr>
              <w:spacing w:line="360" w:lineRule="auto"/>
              <w:rPr>
                <w:rFonts w:ascii="楷体" w:hAnsi="楷体" w:eastAsia="楷体"/>
                <w:sz w:val="24"/>
                <w:szCs w:val="24"/>
              </w:rPr>
            </w:pPr>
            <w:r>
              <w:rPr>
                <w:rFonts w:hint="eastAsia" w:ascii="楷体" w:hAnsi="楷体" w:eastAsia="楷体"/>
                <w:sz w:val="24"/>
                <w:szCs w:val="24"/>
              </w:rPr>
              <w:t>EO8.1</w:t>
            </w:r>
          </w:p>
        </w:tc>
        <w:tc>
          <w:tcPr>
            <w:tcW w:w="11012" w:type="dxa"/>
            <w:vAlign w:val="center"/>
          </w:tcPr>
          <w:p>
            <w:pPr>
              <w:spacing w:line="360" w:lineRule="auto"/>
              <w:rPr>
                <w:rFonts w:ascii="楷体" w:hAnsi="楷体" w:eastAsia="楷体"/>
                <w:color w:val="000000"/>
                <w:sz w:val="24"/>
                <w:szCs w:val="24"/>
              </w:rPr>
            </w:pPr>
            <w:r>
              <w:rPr>
                <w:rFonts w:hint="eastAsia" w:ascii="楷体" w:hAnsi="楷体" w:eastAsia="楷体"/>
                <w:color w:val="000000"/>
                <w:sz w:val="24"/>
                <w:szCs w:val="24"/>
              </w:rPr>
              <w:t>公司策划了如下要求对环境、安全体系运行进行控制，具体如下：</w:t>
            </w:r>
          </w:p>
          <w:p>
            <w:pPr>
              <w:spacing w:line="360" w:lineRule="auto"/>
              <w:rPr>
                <w:rFonts w:ascii="楷体" w:hAnsi="楷体" w:eastAsia="楷体"/>
                <w:color w:val="000000"/>
                <w:sz w:val="24"/>
                <w:szCs w:val="24"/>
              </w:rPr>
            </w:pPr>
            <w:r>
              <w:rPr>
                <w:rFonts w:hint="eastAsia" w:ascii="楷体" w:hAnsi="楷体" w:eastAsia="楷体"/>
                <w:color w:val="000000"/>
                <w:sz w:val="24"/>
                <w:szCs w:val="24"/>
              </w:rPr>
              <w:t xml:space="preserve"> 1、公司编制了《环境、安全运行控制程序</w:t>
            </w:r>
            <w:r>
              <w:rPr>
                <w:rFonts w:hint="eastAsia" w:ascii="楷体" w:hAnsi="楷体" w:eastAsia="楷体"/>
                <w:color w:val="000000"/>
                <w:sz w:val="24"/>
                <w:szCs w:val="24"/>
              </w:rPr>
              <w:tab/>
            </w:r>
            <w:r>
              <w:rPr>
                <w:rFonts w:hint="eastAsia" w:ascii="楷体" w:hAnsi="楷体" w:eastAsia="楷体"/>
                <w:color w:val="000000"/>
                <w:sz w:val="24"/>
                <w:szCs w:val="24"/>
              </w:rPr>
              <w:t>SXHJ-QES/CX-06-2021》、《环境保护责任制》、《安全文明管理制度》、《办公室管理制度》、《消防管理制度》、《现场安全管理制度》、《车辆管理规定》等管理规定和程序文件，规定了物业管理、办公过程安全、环境管理的要求。</w:t>
            </w:r>
          </w:p>
          <w:p>
            <w:pPr>
              <w:snapToGrid w:val="0"/>
              <w:spacing w:line="360" w:lineRule="auto"/>
              <w:rPr>
                <w:rFonts w:ascii="楷体" w:hAnsi="楷体" w:eastAsia="楷体"/>
                <w:sz w:val="24"/>
                <w:szCs w:val="24"/>
              </w:rPr>
            </w:pPr>
            <w:r>
              <w:rPr>
                <w:rFonts w:hint="eastAsia" w:ascii="楷体" w:hAnsi="楷体" w:eastAsia="楷体"/>
                <w:color w:val="000000"/>
                <w:sz w:val="24"/>
                <w:szCs w:val="24"/>
              </w:rPr>
              <w:t>2、企业无工业废水外排，主要是生活废水，生活废水经化粪池处理后外排市政管道，定期清掏。</w:t>
            </w:r>
          </w:p>
          <w:p>
            <w:pPr>
              <w:snapToGrid w:val="0"/>
              <w:spacing w:line="360" w:lineRule="auto"/>
              <w:rPr>
                <w:rFonts w:ascii="楷体" w:hAnsi="楷体" w:eastAsia="楷体"/>
                <w:color w:val="000000"/>
                <w:sz w:val="24"/>
                <w:szCs w:val="24"/>
                <w:u w:val="single"/>
              </w:rPr>
            </w:pPr>
            <w:r>
              <w:rPr>
                <w:rFonts w:hint="eastAsia" w:ascii="楷体" w:hAnsi="楷体" w:eastAsia="楷体"/>
                <w:color w:val="000000"/>
                <w:sz w:val="24"/>
                <w:szCs w:val="24"/>
              </w:rPr>
              <w:t xml:space="preserve">3、由办公室负责全公司的消防器材的管理，小区、业主楼、办公区均配置了灭火器、消防栓等消防装置。 </w:t>
            </w:r>
          </w:p>
          <w:p>
            <w:pPr>
              <w:snapToGrid w:val="0"/>
              <w:spacing w:line="360" w:lineRule="auto"/>
              <w:rPr>
                <w:rFonts w:hint="eastAsia" w:ascii="楷体" w:hAnsi="楷体" w:eastAsia="楷体"/>
                <w:color w:val="000000"/>
                <w:sz w:val="24"/>
                <w:szCs w:val="24"/>
              </w:rPr>
            </w:pPr>
            <w:r>
              <w:rPr>
                <w:rFonts w:hint="eastAsia" w:ascii="楷体" w:hAnsi="楷体" w:eastAsia="楷体"/>
                <w:color w:val="000000"/>
                <w:sz w:val="24"/>
                <w:szCs w:val="24"/>
              </w:rPr>
              <w:t>4、现场各类物资均分类存放，有垃圾桶，统一收集有关固废。办公区已放置了干粉灭火器，均在有效期内。</w:t>
            </w:r>
          </w:p>
          <w:p>
            <w:pPr>
              <w:pStyle w:val="2"/>
              <w:rPr>
                <w:rFonts w:hint="eastAsia" w:ascii="楷体" w:hAnsi="楷体" w:eastAsia="楷体"/>
                <w:b w:val="0"/>
                <w:bCs w:val="0"/>
                <w:color w:val="000000"/>
                <w:sz w:val="24"/>
                <w:szCs w:val="24"/>
              </w:rPr>
            </w:pPr>
            <w:r>
              <w:rPr>
                <w:rFonts w:hint="eastAsia" w:ascii="楷体" w:hAnsi="楷体" w:eastAsia="楷体"/>
                <w:b w:val="0"/>
                <w:bCs w:val="0"/>
                <w:color w:val="000000"/>
                <w:sz w:val="24"/>
                <w:szCs w:val="24"/>
              </w:rPr>
              <w:t>5、有专职电工，线路故障时其他人不得随意乱动。上下班注意交通安全，车辆定期年检。</w:t>
            </w:r>
          </w:p>
          <w:p>
            <w:pPr>
              <w:pStyle w:val="3"/>
            </w:pPr>
          </w:p>
          <w:p>
            <w:pPr>
              <w:snapToGrid w:val="0"/>
              <w:spacing w:line="360" w:lineRule="auto"/>
              <w:rPr>
                <w:rFonts w:ascii="楷体" w:hAnsi="楷体" w:eastAsia="楷体"/>
                <w:b/>
                <w:color w:val="000000"/>
                <w:sz w:val="24"/>
                <w:szCs w:val="24"/>
              </w:rPr>
            </w:pPr>
            <w:r>
              <w:rPr>
                <w:rFonts w:hint="eastAsia" w:ascii="楷体" w:hAnsi="楷体" w:eastAsia="楷体"/>
                <w:b/>
                <w:color w:val="000000"/>
                <w:sz w:val="24"/>
                <w:szCs w:val="24"/>
              </w:rPr>
              <w:t>现场巡视办公区：</w:t>
            </w:r>
          </w:p>
          <w:p>
            <w:pPr>
              <w:snapToGrid w:val="0"/>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企业位于</w:t>
            </w:r>
            <w:bookmarkStart w:id="0" w:name="生产地址"/>
            <w:r>
              <w:rPr>
                <w:rFonts w:ascii="楷体" w:hAnsi="楷体" w:eastAsia="楷体"/>
                <w:color w:val="000000"/>
                <w:sz w:val="24"/>
                <w:szCs w:val="24"/>
              </w:rPr>
              <w:t>陕西省咸阳市武功县普集镇皇嘉花苑小区内</w:t>
            </w:r>
            <w:bookmarkEnd w:id="0"/>
            <w:r>
              <w:rPr>
                <w:rFonts w:hint="eastAsia" w:ascii="楷体" w:hAnsi="楷体" w:eastAsia="楷体"/>
                <w:color w:val="000000"/>
                <w:sz w:val="24"/>
                <w:szCs w:val="24"/>
              </w:rPr>
              <w:t>，企业属于物业管理行业，租用办公场所，四邻无敏感区域，目前物业管理的项目是</w:t>
            </w:r>
            <w:r>
              <w:rPr>
                <w:rFonts w:ascii="楷体" w:hAnsi="楷体" w:eastAsia="楷体"/>
                <w:color w:val="000000"/>
                <w:sz w:val="24"/>
                <w:szCs w:val="24"/>
              </w:rPr>
              <w:t>皇嘉花苑小区D区</w:t>
            </w:r>
            <w:r>
              <w:rPr>
                <w:rFonts w:hint="eastAsia" w:ascii="楷体" w:hAnsi="楷体" w:eastAsia="楷体"/>
                <w:color w:val="000000"/>
                <w:sz w:val="24"/>
                <w:szCs w:val="24"/>
              </w:rPr>
              <w:t>。</w:t>
            </w:r>
          </w:p>
          <w:p>
            <w:pPr>
              <w:snapToGrid w:val="0"/>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查看各办公区域电脑，空调等办公设施齐全，用电规范，无临时线使用。办公区卫生保持较好，管理较好，无废水乱排现象。无浪费水电现象。</w:t>
            </w:r>
          </w:p>
          <w:p>
            <w:pPr>
              <w:snapToGrid w:val="0"/>
              <w:spacing w:line="360" w:lineRule="auto"/>
              <w:ind w:firstLine="480" w:firstLineChars="200"/>
              <w:rPr>
                <w:rFonts w:hint="eastAsia" w:ascii="楷体" w:hAnsi="楷体" w:eastAsia="楷体"/>
                <w:color w:val="000000"/>
                <w:sz w:val="24"/>
                <w:szCs w:val="24"/>
              </w:rPr>
            </w:pPr>
            <w:r>
              <w:rPr>
                <w:rFonts w:hint="eastAsia" w:ascii="楷体" w:hAnsi="楷体" w:eastAsia="楷体"/>
                <w:color w:val="000000"/>
                <w:sz w:val="24"/>
                <w:szCs w:val="24"/>
              </w:rPr>
              <w:t xml:space="preserve">办公区域配置了消防栓、干粉灭火器，查看指针在绿区，有效。 </w:t>
            </w:r>
          </w:p>
          <w:p>
            <w:pPr>
              <w:snapToGrid w:val="0"/>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办公车辆均经过年审，司机驾驶证在有效期内。</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办公区域均有固废分类垃圾桶，未发现乱存放废纸、废电池、硒鼓等情况。</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所管理区域区有配电室，门口有灭火器，均有效。</w:t>
            </w:r>
          </w:p>
          <w:p>
            <w:pPr>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部门</w:t>
            </w:r>
            <w:r>
              <w:rPr>
                <w:rFonts w:hint="eastAsia" w:ascii="楷体" w:hAnsi="楷体" w:eastAsia="楷体" w:cs="楷体"/>
                <w:sz w:val="24"/>
                <w:szCs w:val="24"/>
              </w:rPr>
              <w:t>运行控制基本符合规定要求。</w:t>
            </w:r>
          </w:p>
        </w:tc>
        <w:tc>
          <w:tcPr>
            <w:tcW w:w="577"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956" w:type="dxa"/>
            <w:vAlign w:val="center"/>
          </w:tcPr>
          <w:p>
            <w:pPr>
              <w:snapToGrid w:val="0"/>
              <w:spacing w:line="360" w:lineRule="auto"/>
              <w:rPr>
                <w:rFonts w:ascii="楷体" w:hAnsi="楷体" w:eastAsia="楷体"/>
                <w:color w:val="000000"/>
                <w:sz w:val="24"/>
                <w:szCs w:val="24"/>
              </w:rPr>
            </w:pPr>
            <w:r>
              <w:rPr>
                <w:rFonts w:hint="eastAsia" w:ascii="楷体" w:hAnsi="楷体" w:eastAsia="楷体"/>
                <w:color w:val="000000"/>
                <w:sz w:val="24"/>
                <w:szCs w:val="24"/>
              </w:rPr>
              <w:t>应急准备和响应</w:t>
            </w:r>
          </w:p>
        </w:tc>
        <w:tc>
          <w:tcPr>
            <w:tcW w:w="1164" w:type="dxa"/>
            <w:vAlign w:val="center"/>
          </w:tcPr>
          <w:p>
            <w:pPr>
              <w:snapToGrid w:val="0"/>
              <w:spacing w:line="360" w:lineRule="auto"/>
              <w:rPr>
                <w:rFonts w:ascii="楷体" w:hAnsi="楷体" w:eastAsia="楷体"/>
                <w:color w:val="000000"/>
                <w:sz w:val="24"/>
                <w:szCs w:val="24"/>
              </w:rPr>
            </w:pPr>
            <w:r>
              <w:rPr>
                <w:rFonts w:hint="eastAsia" w:ascii="楷体" w:hAnsi="楷体" w:eastAsia="楷体"/>
                <w:color w:val="000000"/>
                <w:sz w:val="24"/>
                <w:szCs w:val="24"/>
              </w:rPr>
              <w:t>EO8.2</w:t>
            </w:r>
          </w:p>
        </w:tc>
        <w:tc>
          <w:tcPr>
            <w:tcW w:w="11012" w:type="dxa"/>
          </w:tcPr>
          <w:p>
            <w:pPr>
              <w:snapToGrid w:val="0"/>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公司建立了《应急准备与响应控制程序</w:t>
            </w:r>
            <w:r>
              <w:rPr>
                <w:rFonts w:hint="eastAsia" w:ascii="楷体" w:hAnsi="楷体" w:eastAsia="楷体"/>
                <w:color w:val="000000"/>
                <w:sz w:val="24"/>
                <w:szCs w:val="24"/>
              </w:rPr>
              <w:tab/>
            </w:r>
            <w:r>
              <w:rPr>
                <w:rFonts w:hint="eastAsia" w:ascii="楷体" w:hAnsi="楷体" w:eastAsia="楷体"/>
                <w:color w:val="000000"/>
                <w:sz w:val="24"/>
                <w:szCs w:val="24"/>
              </w:rPr>
              <w:t>SXHJ-QES/CX-07-2021》，明确了已识别的潜在紧急情况及对紧急情况应急准备和响应的控制要求，具有一定的可操作性。</w:t>
            </w:r>
          </w:p>
          <w:p>
            <w:pPr>
              <w:tabs>
                <w:tab w:val="left" w:pos="1080"/>
              </w:tabs>
              <w:snapToGrid w:val="0"/>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提供了事故应急预案一本，主要包括：物业发生疫情的防治预案、防雨汛应急处理预案、意外伤亡应急预案、紧急救护预案、交通事故紧急处理预案、火灾事故紧急处理预案、爆炸、恐吓事件应急处理预案、打架斗殴事件处理预案、盗窃事件处理预案、抢劫应急预案、发生自杀或企图自杀事故的处理程序、对散反动传单、宣传品事件处理预案、凶杀事件处理预案、对醉酒滋事或精神病人的处理预案、纠纷的应急处理预案、液化气泄漏应急预案、高空坠物应急预案、中毒事件应急预案、供电突发事故应急措施、发生水浸事故处理预案、电梯故障应急处理方案等应急预案，总体来说比较充分。公司成立应急组织机构和职责，并成立了抢险救援、现场警戒、医疗救护、事故调查、善后处理等组织。包括降低人身伤害，疏散和逃生、扑救、救生、联络方式、应急设施的设置以及应急设施日常检查和维护的要求等程序要求，制定了事故报告程序、救援指挥程序等，明确了对应急预案及紧急情况进行培训和适当演练和评审的要求，具有一定的可操作性。</w:t>
            </w:r>
          </w:p>
          <w:p>
            <w:pPr>
              <w:snapToGrid w:val="0"/>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查应急救援设施包括：绝缘手套、安全帽、安全带、担架、药品箱、灭火器材、消防站、火警报警系统等，基本满足应急要求。</w:t>
            </w:r>
          </w:p>
          <w:p>
            <w:pPr>
              <w:snapToGrid w:val="0"/>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负责人介绍，对于上述“应急预案”，组织了培训和演习，公司办公室组织公司有关人员参加了上述演习活动。</w:t>
            </w:r>
          </w:p>
          <w:p>
            <w:pPr>
              <w:widowControl/>
              <w:snapToGrid w:val="0"/>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查消防演习记录，每季度一次，查最近一次演练时间2021.6.28日，消防演练内容：</w:t>
            </w:r>
          </w:p>
          <w:p>
            <w:pPr>
              <w:widowControl/>
              <w:numPr>
                <w:ilvl w:val="0"/>
                <w:numId w:val="3"/>
              </w:numPr>
              <w:snapToGrid w:val="0"/>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熟悉消防设施、设备。</w:t>
            </w:r>
          </w:p>
          <w:p>
            <w:pPr>
              <w:widowControl/>
              <w:numPr>
                <w:ilvl w:val="0"/>
                <w:numId w:val="3"/>
              </w:numPr>
              <w:snapToGrid w:val="0"/>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灭火器的使用和有效性检查。</w:t>
            </w:r>
          </w:p>
          <w:p>
            <w:pPr>
              <w:widowControl/>
              <w:numPr>
                <w:ilvl w:val="0"/>
                <w:numId w:val="3"/>
              </w:numPr>
              <w:snapToGrid w:val="0"/>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防火服的正确穿戴。</w:t>
            </w:r>
          </w:p>
          <w:p>
            <w:pPr>
              <w:widowControl/>
              <w:numPr>
                <w:ilvl w:val="0"/>
                <w:numId w:val="3"/>
              </w:numPr>
              <w:snapToGrid w:val="0"/>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检查消防设施设备的使用性能。</w:t>
            </w:r>
          </w:p>
          <w:p>
            <w:pPr>
              <w:pStyle w:val="26"/>
              <w:snapToGrid w:val="0"/>
              <w:spacing w:line="360" w:lineRule="auto"/>
              <w:ind w:firstLine="480"/>
              <w:rPr>
                <w:rFonts w:ascii="楷体" w:hAnsi="楷体" w:eastAsia="楷体"/>
                <w:color w:val="000000"/>
                <w:szCs w:val="24"/>
              </w:rPr>
            </w:pPr>
            <w:r>
              <w:rPr>
                <w:rFonts w:hint="eastAsia" w:ascii="楷体" w:hAnsi="楷体" w:eastAsia="楷体"/>
                <w:color w:val="000000"/>
                <w:szCs w:val="24"/>
              </w:rPr>
              <w:t>总指挥：当地消防大队冯参，参加人员办公室、维修组、秩序部、保洁部员工。</w:t>
            </w:r>
          </w:p>
          <w:p>
            <w:pPr>
              <w:widowControl/>
              <w:snapToGrid w:val="0"/>
              <w:spacing w:line="360" w:lineRule="auto"/>
              <w:ind w:left="780"/>
              <w:rPr>
                <w:rFonts w:ascii="楷体" w:hAnsi="楷体" w:eastAsia="楷体"/>
                <w:color w:val="000000"/>
                <w:sz w:val="24"/>
                <w:szCs w:val="24"/>
              </w:rPr>
            </w:pPr>
            <w:r>
              <w:rPr>
                <w:rFonts w:hint="eastAsia" w:ascii="楷体" w:hAnsi="楷体" w:eastAsia="楷体"/>
                <w:color w:val="000000"/>
                <w:sz w:val="24"/>
                <w:szCs w:val="24"/>
              </w:rPr>
              <w:t>演练后对演练情况进行了总结：通过这次消防演练学习，让我们熟悉了消防设施的用途及正确使用方法，同时也检验了各部门日常对消防的学习实践效果，提供有演练照片。</w:t>
            </w:r>
          </w:p>
          <w:p>
            <w:pPr>
              <w:widowControl/>
              <w:snapToGrid w:val="0"/>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再查2021.6.20日电梯应急救援演练记录，演练内容：电梯内设施及监控室五方通话的作用与使用方法（讲解员：王卫涛），故障与紧急情况的应急措施指导，突发状况的处理方法，电梯困人时的处理流程。演练后对演练情况进行了总结：通过这次电梯应急救援演练学习，让我们熟悉了电梯内设施的使用方法，电梯困人时如何用五方通话进行安抚，电梯在遇到紧急状况如：电梯急停、浸水、停电、火灾等正确救援和处理流程，同时也检验了各部门日常对电梯救援实践效果，发现了自身存在的不足。在后期的工作中我们不段学习，同时严格按照公司要求对电梯设施设备做到及时检查，发现问题及时整改，以实际行动和措施来切实保证小区居民的生命安全，提供有演练照片。</w:t>
            </w:r>
          </w:p>
          <w:p>
            <w:pPr>
              <w:pStyle w:val="26"/>
              <w:snapToGrid w:val="0"/>
              <w:spacing w:line="360" w:lineRule="auto"/>
              <w:ind w:firstLine="480"/>
              <w:rPr>
                <w:rFonts w:ascii="楷体" w:hAnsi="楷体" w:eastAsia="楷体"/>
                <w:color w:val="000000"/>
                <w:szCs w:val="24"/>
              </w:rPr>
            </w:pPr>
            <w:r>
              <w:rPr>
                <w:rFonts w:hint="eastAsia" w:ascii="楷体" w:hAnsi="楷体" w:eastAsia="楷体"/>
                <w:color w:val="000000"/>
                <w:szCs w:val="24"/>
              </w:rPr>
              <w:t>查到了“瑞云D区定期防火检查登记表”，公司每月一次对所管理物业各区域进行一次防火检查，检查内容主要有：消防通道安全出口、用火用电管理、消防控制室、消火栓系统、自动喷水灭火系统、火灾报警系统、消防供水设施、其他设施设备、消防知识掌握情况、其他情况等，抽查2021.1.5日、2021.3.8日、2021.5.15日、2021.7.10日检查登记表，检查结果正常，检查责任人李坤、胡新颖。</w:t>
            </w:r>
          </w:p>
          <w:p>
            <w:pPr>
              <w:snapToGrid w:val="0"/>
              <w:spacing w:line="360" w:lineRule="auto"/>
              <w:ind w:firstLine="422" w:firstLineChars="200"/>
              <w:rPr>
                <w:rFonts w:ascii="宋体" w:hAnsi="宋体" w:cs="宋体"/>
                <w:b/>
                <w:bCs/>
                <w:color w:val="FF0000"/>
                <w:szCs w:val="21"/>
              </w:rPr>
            </w:pPr>
            <w:r>
              <w:rPr>
                <w:rFonts w:hint="eastAsia" w:ascii="宋体" w:hAnsi="宋体"/>
                <w:b/>
                <w:bCs/>
                <w:color w:val="FF0000"/>
                <w:kern w:val="0"/>
                <w:szCs w:val="21"/>
              </w:rPr>
              <w:t>考虑到物业公司的服务特性和所管理小区人数众多以及当前</w:t>
            </w:r>
            <w:r>
              <w:rPr>
                <w:rFonts w:hint="eastAsia" w:ascii="宋体" w:hAnsi="宋体" w:cs="宋体"/>
                <w:b/>
                <w:bCs/>
                <w:color w:val="FF0000"/>
                <w:szCs w:val="21"/>
              </w:rPr>
              <w:t>新型冠状肺炎疫情防控要求等因素，物业公司应当建立并保持“新型冠状肺炎疫情应急预案”，并对应急预案进行预案演练、</w:t>
            </w:r>
            <w:r>
              <w:rPr>
                <w:rFonts w:hint="eastAsia" w:ascii="宋体" w:hAnsi="宋体"/>
                <w:b/>
                <w:bCs/>
                <w:color w:val="FF0000"/>
                <w:kern w:val="0"/>
                <w:szCs w:val="21"/>
              </w:rPr>
              <w:t>效果</w:t>
            </w:r>
            <w:r>
              <w:rPr>
                <w:rFonts w:hint="eastAsia" w:ascii="宋体" w:hAnsi="宋体" w:cs="宋体"/>
                <w:b/>
                <w:bCs/>
                <w:color w:val="FF0000"/>
                <w:szCs w:val="21"/>
              </w:rPr>
              <w:t>评审，但是审核时企业未能提供相关演练和评审的证据，不符合应急管理和疫情防控的要求，开具了不符合报告。</w:t>
            </w:r>
          </w:p>
          <w:p>
            <w:pPr>
              <w:snapToGrid w:val="0"/>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目前未发生火灾、人身伤害等事故。</w:t>
            </w:r>
          </w:p>
        </w:tc>
        <w:tc>
          <w:tcPr>
            <w:tcW w:w="577" w:type="dxa"/>
          </w:tcPr>
          <w:p>
            <w:pPr>
              <w:rPr>
                <w:rFonts w:hint="eastAsia" w:ascii="楷体" w:hAnsi="楷体" w:eastAsia="楷体"/>
                <w:color w:val="000000" w:themeColor="text1"/>
                <w:sz w:val="24"/>
                <w:szCs w:val="24"/>
              </w:rPr>
            </w:pPr>
          </w:p>
          <w:p>
            <w:pPr>
              <w:pStyle w:val="2"/>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3"/>
              <w:rPr>
                <w:rFonts w:hint="eastAsia" w:ascii="楷体" w:hAnsi="楷体" w:eastAsia="楷体"/>
                <w:color w:val="000000" w:themeColor="text1"/>
                <w:sz w:val="24"/>
                <w:szCs w:val="24"/>
              </w:rPr>
            </w:pPr>
          </w:p>
          <w:p>
            <w:pPr>
              <w:pStyle w:val="2"/>
              <w:rPr>
                <w:rFonts w:hint="eastAsia" w:eastAsia="宋体"/>
                <w:lang w:val="en-US" w:eastAsia="zh-CN"/>
              </w:rPr>
            </w:pPr>
            <w:r>
              <w:rPr>
                <w:rFonts w:hint="eastAsia"/>
                <w:lang w:val="en-US" w:eastAsia="zh-CN"/>
              </w:rPr>
              <w:t>N</w:t>
            </w:r>
          </w:p>
          <w:p>
            <w:pPr>
              <w:pStyle w:val="3"/>
              <w:rPr>
                <w:rFonts w:hint="eastAsia"/>
              </w:rPr>
            </w:pPr>
          </w:p>
          <w:p>
            <w:pPr>
              <w:pStyle w:val="3"/>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tcPr>
          <w:p>
            <w:pPr>
              <w:spacing w:line="360" w:lineRule="auto"/>
              <w:rPr>
                <w:rFonts w:ascii="楷体" w:hAnsi="楷体" w:eastAsia="楷体" w:cs="宋体"/>
                <w:sz w:val="24"/>
                <w:szCs w:val="24"/>
              </w:rPr>
            </w:pPr>
            <w:r>
              <w:rPr>
                <w:rFonts w:hint="eastAsia" w:ascii="楷体" w:hAnsi="楷体" w:eastAsia="楷体" w:cs="宋体"/>
                <w:sz w:val="24"/>
                <w:szCs w:val="24"/>
              </w:rPr>
              <w:t>绩效测量和监视</w:t>
            </w:r>
          </w:p>
        </w:tc>
        <w:tc>
          <w:tcPr>
            <w:tcW w:w="1164" w:type="dxa"/>
          </w:tcPr>
          <w:p>
            <w:pPr>
              <w:spacing w:line="360" w:lineRule="auto"/>
              <w:rPr>
                <w:rFonts w:ascii="楷体" w:hAnsi="楷体" w:eastAsia="楷体" w:cs="宋体"/>
                <w:sz w:val="24"/>
                <w:szCs w:val="24"/>
              </w:rPr>
            </w:pPr>
            <w:r>
              <w:rPr>
                <w:rFonts w:hint="eastAsia" w:ascii="楷体" w:hAnsi="楷体" w:eastAsia="楷体" w:cs="宋体"/>
                <w:sz w:val="24"/>
                <w:szCs w:val="24"/>
              </w:rPr>
              <w:t>EO9.1.1</w:t>
            </w:r>
          </w:p>
        </w:tc>
        <w:tc>
          <w:tcPr>
            <w:tcW w:w="11012" w:type="dxa"/>
            <w:vAlign w:val="center"/>
          </w:tcPr>
          <w:p>
            <w:pPr>
              <w:snapToGrid w:val="0"/>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公司编制了《监视和测量控制程序</w:t>
            </w:r>
            <w:r>
              <w:rPr>
                <w:rFonts w:hint="eastAsia" w:ascii="楷体" w:hAnsi="楷体" w:eastAsia="楷体" w:cs="宋体"/>
                <w:sz w:val="24"/>
                <w:szCs w:val="24"/>
              </w:rPr>
              <w:tab/>
            </w:r>
            <w:r>
              <w:rPr>
                <w:rFonts w:hint="eastAsia" w:ascii="楷体" w:hAnsi="楷体" w:eastAsia="楷体" w:cs="宋体"/>
                <w:sz w:val="24"/>
                <w:szCs w:val="24"/>
              </w:rPr>
              <w:t>SXHJ-QES/CX-19-2021》、《环境与职业健康安全绩效监测控制程序</w:t>
            </w:r>
            <w:r>
              <w:rPr>
                <w:rFonts w:hint="eastAsia" w:ascii="楷体" w:hAnsi="楷体" w:eastAsia="楷体" w:cs="宋体"/>
                <w:sz w:val="24"/>
                <w:szCs w:val="24"/>
              </w:rPr>
              <w:tab/>
            </w:r>
            <w:r>
              <w:rPr>
                <w:rFonts w:hint="eastAsia" w:ascii="楷体" w:hAnsi="楷体" w:eastAsia="楷体" w:cs="宋体"/>
                <w:sz w:val="24"/>
                <w:szCs w:val="24"/>
              </w:rPr>
              <w:t>SXHJ-QES/CX-08-2021》，</w:t>
            </w:r>
          </w:p>
          <w:p>
            <w:pPr>
              <w:snapToGrid w:val="0"/>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管理体系目标考核按季度进行，抽查到2021.7.20日管理目标分解及考核表，办公室负责考核，公司和分解的各部门管理目标均已完成。</w:t>
            </w:r>
          </w:p>
          <w:p>
            <w:pPr>
              <w:snapToGrid w:val="0"/>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查到2021.3.11日和2021.6.15日“环境/职业健康安全目标管理方案检查表”，经刘亚兰检查，公司管理方案能完成。</w:t>
            </w:r>
          </w:p>
          <w:p>
            <w:pPr>
              <w:snapToGrid w:val="0"/>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提供“环境/安全运行检查记录”，对噪声排放、固废管理、能源资源消耗、消防安全、触电安全、交通安全等进行监视、效果评价，抽2021.6.6日检查结果正常，检查人：刘亚兰。</w:t>
            </w:r>
          </w:p>
          <w:p>
            <w:pPr>
              <w:snapToGrid w:val="0"/>
              <w:spacing w:line="360" w:lineRule="auto"/>
              <w:ind w:firstLine="480" w:firstLineChars="200"/>
              <w:jc w:val="left"/>
              <w:rPr>
                <w:rFonts w:hint="eastAsia" w:ascii="楷体" w:hAnsi="楷体" w:eastAsia="楷体" w:cs="宋体"/>
                <w:sz w:val="24"/>
                <w:szCs w:val="24"/>
              </w:rPr>
            </w:pPr>
            <w:r>
              <w:rPr>
                <w:rFonts w:hint="eastAsia" w:ascii="楷体" w:hAnsi="楷体" w:eastAsia="楷体" w:cs="宋体"/>
                <w:sz w:val="24"/>
                <w:szCs w:val="24"/>
              </w:rPr>
              <w:t>提供了健康体检表，抽查2021.5.14日王建敏、党永辉、2020.4.20日雷淑亚、2020.10.21日卓保团、2021.5.21日邵升校、2021.7.5日宋文文等人体检结果，未见异常，体检单位武功县体检中心。</w:t>
            </w:r>
          </w:p>
          <w:p>
            <w:pPr>
              <w:snapToGrid w:val="0"/>
              <w:spacing w:line="360" w:lineRule="auto"/>
              <w:ind w:firstLine="480" w:firstLineChars="200"/>
              <w:jc w:val="left"/>
              <w:rPr>
                <w:rFonts w:hint="eastAsia" w:ascii="楷体" w:hAnsi="楷体" w:eastAsia="楷体" w:cs="宋体"/>
                <w:sz w:val="24"/>
                <w:szCs w:val="24"/>
              </w:rPr>
            </w:pPr>
            <w:r>
              <w:rPr>
                <w:rFonts w:hint="eastAsia" w:ascii="楷体" w:hAnsi="楷体" w:eastAsia="楷体" w:cs="宋体"/>
                <w:sz w:val="24"/>
                <w:szCs w:val="24"/>
              </w:rPr>
              <w:t>查到了2020.9.4日水质检验报告，经检验生活用水水质检验合格，见附件。</w:t>
            </w:r>
          </w:p>
          <w:p>
            <w:pPr>
              <w:snapToGrid w:val="0"/>
              <w:spacing w:line="360" w:lineRule="auto"/>
              <w:ind w:firstLine="480" w:firstLineChars="200"/>
              <w:jc w:val="left"/>
              <w:rPr>
                <w:rFonts w:hint="eastAsia" w:ascii="楷体" w:hAnsi="楷体" w:eastAsia="楷体" w:cs="宋体"/>
                <w:sz w:val="24"/>
                <w:szCs w:val="24"/>
              </w:rPr>
            </w:pPr>
            <w:r>
              <w:rPr>
                <w:rFonts w:ascii="楷体" w:hAnsi="楷体" w:eastAsia="楷体" w:cs="宋体"/>
                <w:sz w:val="24"/>
                <w:szCs w:val="24"/>
              </w:rPr>
              <w:t>查到了</w:t>
            </w:r>
            <w:r>
              <w:rPr>
                <w:rFonts w:hint="eastAsia" w:ascii="楷体" w:hAnsi="楷体" w:eastAsia="楷体" w:cs="宋体"/>
                <w:sz w:val="24"/>
                <w:szCs w:val="24"/>
              </w:rPr>
              <w:t>2021.4.11日火灾自动报警系统技术检测报告，经检测火灾自动报警系统合格，见附件。</w:t>
            </w:r>
          </w:p>
          <w:p>
            <w:pPr>
              <w:snapToGrid w:val="0"/>
              <w:spacing w:line="360" w:lineRule="auto"/>
              <w:ind w:firstLine="480" w:firstLineChars="200"/>
              <w:jc w:val="left"/>
              <w:rPr>
                <w:rFonts w:ascii="楷体" w:hAnsi="楷体" w:eastAsia="楷体" w:cs="宋体"/>
                <w:sz w:val="24"/>
                <w:szCs w:val="24"/>
              </w:rPr>
            </w:pPr>
            <w:r>
              <w:rPr>
                <w:rFonts w:ascii="楷体" w:hAnsi="楷体" w:eastAsia="楷体" w:cs="宋体"/>
                <w:sz w:val="24"/>
                <w:szCs w:val="24"/>
              </w:rPr>
              <w:t>查到了</w:t>
            </w:r>
            <w:r>
              <w:rPr>
                <w:rFonts w:hint="eastAsia" w:ascii="楷体" w:hAnsi="楷体" w:eastAsia="楷体" w:cs="宋体"/>
                <w:sz w:val="24"/>
                <w:szCs w:val="24"/>
              </w:rPr>
              <w:t>2021.6.28日建设工程消防验收备案凭证，消防验收合格，见附件。</w:t>
            </w:r>
          </w:p>
          <w:p>
            <w:pPr>
              <w:snapToGrid w:val="0"/>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未有上级主管部门的监督检查。</w:t>
            </w:r>
          </w:p>
          <w:p>
            <w:pPr>
              <w:snapToGrid w:val="0"/>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公司经营能遵守相关的法律法规，没有违反环境、职业健康安全法律法规现象，近期没有发生环境与职业健康安全的事故。</w:t>
            </w:r>
          </w:p>
        </w:tc>
        <w:tc>
          <w:tcPr>
            <w:tcW w:w="577"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tcPr>
          <w:p>
            <w:pPr>
              <w:spacing w:line="360" w:lineRule="auto"/>
              <w:rPr>
                <w:rFonts w:ascii="楷体" w:hAnsi="楷体" w:eastAsia="楷体" w:cs="宋体"/>
                <w:sz w:val="24"/>
                <w:szCs w:val="24"/>
              </w:rPr>
            </w:pPr>
            <w:r>
              <w:rPr>
                <w:rFonts w:hint="eastAsia" w:ascii="楷体" w:hAnsi="楷体" w:eastAsia="楷体" w:cs="Arial"/>
                <w:sz w:val="24"/>
                <w:szCs w:val="24"/>
              </w:rPr>
              <w:t>合规义务、</w:t>
            </w:r>
            <w:r>
              <w:rPr>
                <w:rFonts w:hint="eastAsia" w:ascii="楷体" w:hAnsi="楷体" w:eastAsia="楷体" w:cs="宋体"/>
                <w:sz w:val="24"/>
                <w:szCs w:val="24"/>
              </w:rPr>
              <w:t>法律法规和其他要求</w:t>
            </w:r>
          </w:p>
        </w:tc>
        <w:tc>
          <w:tcPr>
            <w:tcW w:w="1164" w:type="dxa"/>
            <w:vAlign w:val="center"/>
          </w:tcPr>
          <w:p>
            <w:pPr>
              <w:snapToGrid w:val="0"/>
              <w:spacing w:line="360" w:lineRule="auto"/>
              <w:jc w:val="left"/>
              <w:rPr>
                <w:rFonts w:ascii="楷体" w:hAnsi="楷体" w:eastAsia="楷体" w:cs="宋体"/>
                <w:sz w:val="24"/>
                <w:szCs w:val="24"/>
              </w:rPr>
            </w:pPr>
            <w:r>
              <w:rPr>
                <w:rFonts w:hint="eastAsia" w:ascii="楷体" w:hAnsi="楷体" w:eastAsia="楷体" w:cs="宋体"/>
                <w:sz w:val="24"/>
                <w:szCs w:val="24"/>
              </w:rPr>
              <w:t xml:space="preserve">EO6.1.3 </w:t>
            </w:r>
          </w:p>
        </w:tc>
        <w:tc>
          <w:tcPr>
            <w:tcW w:w="11012" w:type="dxa"/>
            <w:vAlign w:val="center"/>
          </w:tcPr>
          <w:p>
            <w:pPr>
              <w:snapToGrid w:val="0"/>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编制了《法律、法规和其他要求控制程序</w:t>
            </w:r>
            <w:r>
              <w:rPr>
                <w:rFonts w:hint="eastAsia" w:ascii="楷体" w:hAnsi="楷体" w:eastAsia="楷体" w:cs="宋体"/>
                <w:sz w:val="24"/>
                <w:szCs w:val="24"/>
              </w:rPr>
              <w:tab/>
            </w:r>
            <w:r>
              <w:rPr>
                <w:rFonts w:hint="eastAsia" w:ascii="楷体" w:hAnsi="楷体" w:eastAsia="楷体" w:cs="宋体"/>
                <w:sz w:val="24"/>
                <w:szCs w:val="24"/>
              </w:rPr>
              <w:t>SXHJ-QES/CX-04-2021》，对法律法规的识别更新和应用进行规定，办公室为主控部门。</w:t>
            </w:r>
          </w:p>
          <w:p>
            <w:pPr>
              <w:snapToGrid w:val="0"/>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部门人员介绍：主要通过网络、报纸杂志电视等新闻媒体、购买、上级下发等多种形式收集本公司适用的法律法规。</w:t>
            </w:r>
          </w:p>
          <w:p>
            <w:pPr>
              <w:snapToGrid w:val="0"/>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提供了“适用的法律法规及其他要求清单”，收集有《中华人民共和国环境保护法》、《中华人民共和国环境影响评价法》、《中华人民共和国水污染防治法》、《中华人民共和国妇女权益保障法》、《工伤保险条例》、《中华人民共和国职业病防治法》、《城市生活垃圾管理办法》、《住宅物业消防安全管理》、《物业管理条例》、《城市绿化条例》、《陕西省实施《中华人民共和国突发事件应对法》办法》、《陕西省实施《中华人民共和国突发事件应对法》办法》、《陕西省消防条例》等77个，编制：宋永平 2021.1.10日，审批：杨爱梅2021.1.10日。</w:t>
            </w:r>
          </w:p>
          <w:p>
            <w:pPr>
              <w:snapToGrid w:val="0"/>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已识别法律法规及其它要求的适用条款，并与环境因素、危险源进行了对应。</w:t>
            </w:r>
          </w:p>
          <w:p>
            <w:pPr>
              <w:snapToGrid w:val="0"/>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公司法律、法规及其它要求都有现行文本，大部分为电子版本。</w:t>
            </w:r>
          </w:p>
          <w:p>
            <w:pPr>
              <w:snapToGrid w:val="0"/>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各部门如有需要到办公室查阅。</w:t>
            </w:r>
          </w:p>
          <w:p>
            <w:pPr>
              <w:snapToGrid w:val="0"/>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公司通过培训、会议等方式向有关员工传达法律、法规及其它要求的相关要求。</w:t>
            </w:r>
          </w:p>
        </w:tc>
        <w:tc>
          <w:tcPr>
            <w:tcW w:w="577"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tcPr>
          <w:p>
            <w:pPr>
              <w:spacing w:line="360" w:lineRule="auto"/>
              <w:rPr>
                <w:rFonts w:ascii="楷体" w:hAnsi="楷体" w:eastAsia="楷体" w:cs="宋体"/>
                <w:sz w:val="24"/>
                <w:szCs w:val="24"/>
              </w:rPr>
            </w:pPr>
            <w:r>
              <w:rPr>
                <w:rFonts w:hint="eastAsia" w:ascii="楷体" w:hAnsi="楷体" w:eastAsia="楷体" w:cs="宋体"/>
                <w:sz w:val="24"/>
                <w:szCs w:val="24"/>
              </w:rPr>
              <w:t>合规性评价</w:t>
            </w:r>
          </w:p>
        </w:tc>
        <w:tc>
          <w:tcPr>
            <w:tcW w:w="1164" w:type="dxa"/>
          </w:tcPr>
          <w:p>
            <w:pPr>
              <w:snapToGrid w:val="0"/>
              <w:spacing w:line="360" w:lineRule="auto"/>
              <w:jc w:val="left"/>
              <w:rPr>
                <w:rFonts w:ascii="楷体" w:hAnsi="楷体" w:eastAsia="楷体" w:cs="宋体"/>
                <w:sz w:val="24"/>
                <w:szCs w:val="24"/>
              </w:rPr>
            </w:pPr>
            <w:r>
              <w:rPr>
                <w:rFonts w:hint="eastAsia" w:ascii="楷体" w:hAnsi="楷体" w:eastAsia="楷体" w:cs="宋体"/>
                <w:sz w:val="24"/>
                <w:szCs w:val="24"/>
              </w:rPr>
              <w:t xml:space="preserve">EO9.1.2 </w:t>
            </w:r>
          </w:p>
        </w:tc>
        <w:tc>
          <w:tcPr>
            <w:tcW w:w="11012" w:type="dxa"/>
            <w:vAlign w:val="center"/>
          </w:tcPr>
          <w:p>
            <w:pPr>
              <w:snapToGrid w:val="0"/>
              <w:spacing w:line="360" w:lineRule="auto"/>
              <w:ind w:right="392" w:firstLine="480" w:firstLineChars="200"/>
              <w:jc w:val="left"/>
              <w:rPr>
                <w:rFonts w:ascii="楷体" w:hAnsi="楷体" w:eastAsia="楷体" w:cs="宋体"/>
                <w:sz w:val="24"/>
                <w:szCs w:val="24"/>
              </w:rPr>
            </w:pPr>
            <w:r>
              <w:rPr>
                <w:rFonts w:hint="eastAsia" w:ascii="楷体" w:hAnsi="楷体" w:eastAsia="楷体" w:cs="宋体"/>
                <w:sz w:val="24"/>
                <w:szCs w:val="24"/>
              </w:rPr>
              <w:t>编制了《合规性评价程序SXHJ-QES/CX-09-2021》，其中规定了对本公司法规及其他要求的合规性评价的要求。</w:t>
            </w:r>
          </w:p>
          <w:p>
            <w:pPr>
              <w:snapToGrid w:val="0"/>
              <w:spacing w:line="360" w:lineRule="auto"/>
              <w:ind w:right="392" w:firstLine="480" w:firstLineChars="200"/>
              <w:jc w:val="left"/>
              <w:rPr>
                <w:rFonts w:ascii="楷体" w:hAnsi="楷体" w:eastAsia="楷体" w:cs="宋体"/>
                <w:sz w:val="24"/>
                <w:szCs w:val="24"/>
              </w:rPr>
            </w:pPr>
            <w:r>
              <w:rPr>
                <w:rFonts w:hint="eastAsia" w:ascii="楷体" w:hAnsi="楷体" w:eastAsia="楷体" w:cs="宋体"/>
                <w:sz w:val="24"/>
                <w:szCs w:val="24"/>
              </w:rPr>
              <w:t>提供了2021.6.2日的“合规性评价记录”、“合规性评价报告”，杨爱梅、刘亚兰、宋永平、雷粉艳、葛红利等对收集的法规进行了评价，合规性评价：公司的环境和职业健康安全管理体系运行以来，未发生环境污染、职业健康安全事件，也没受到相关方的投诉等情况。公司环境、职业健康安全管理体系运行基本符合相关法律法规的要求，编制夏红平，批准杨爱梅。</w:t>
            </w:r>
          </w:p>
          <w:p>
            <w:pPr>
              <w:snapToGrid w:val="0"/>
              <w:spacing w:before="156" w:beforeLines="50" w:after="156" w:afterLines="50"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部门已对有关法规及其他要求进行识别、评价，满足要求。</w:t>
            </w:r>
          </w:p>
        </w:tc>
        <w:tc>
          <w:tcPr>
            <w:tcW w:w="577"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tcPr>
          <w:p>
            <w:pPr>
              <w:spacing w:line="360" w:lineRule="auto"/>
              <w:rPr>
                <w:rFonts w:ascii="楷体" w:hAnsi="楷体" w:eastAsia="楷体" w:cs="宋体"/>
                <w:sz w:val="24"/>
                <w:szCs w:val="24"/>
              </w:rPr>
            </w:pPr>
            <w:r>
              <w:rPr>
                <w:rFonts w:hint="eastAsia" w:ascii="楷体" w:hAnsi="楷体" w:eastAsia="楷体" w:cs="宋体"/>
                <w:sz w:val="24"/>
                <w:szCs w:val="24"/>
                <w:lang w:bidi="ar"/>
              </w:rPr>
              <w:t>监视、测量、分析和评价</w:t>
            </w:r>
          </w:p>
        </w:tc>
        <w:tc>
          <w:tcPr>
            <w:tcW w:w="1164" w:type="dxa"/>
          </w:tcPr>
          <w:p>
            <w:pPr>
              <w:pStyle w:val="3"/>
              <w:ind w:left="0"/>
              <w:rPr>
                <w:rFonts w:ascii="楷体" w:hAnsi="楷体" w:eastAsia="楷体" w:cs="新宋体"/>
                <w:sz w:val="24"/>
                <w:szCs w:val="24"/>
              </w:rPr>
            </w:pPr>
          </w:p>
          <w:p>
            <w:pPr>
              <w:pStyle w:val="3"/>
              <w:ind w:left="0"/>
              <w:rPr>
                <w:rFonts w:ascii="楷体" w:hAnsi="楷体" w:eastAsia="楷体" w:cs="新宋体"/>
                <w:sz w:val="24"/>
                <w:szCs w:val="24"/>
              </w:rPr>
            </w:pPr>
          </w:p>
          <w:p>
            <w:pPr>
              <w:pStyle w:val="3"/>
              <w:ind w:left="0"/>
              <w:rPr>
                <w:rFonts w:ascii="楷体" w:hAnsi="楷体" w:eastAsia="楷体" w:cs="新宋体"/>
                <w:sz w:val="24"/>
                <w:szCs w:val="24"/>
              </w:rPr>
            </w:pPr>
          </w:p>
          <w:p>
            <w:pPr>
              <w:pStyle w:val="3"/>
              <w:ind w:left="0"/>
              <w:rPr>
                <w:rFonts w:ascii="楷体" w:hAnsi="楷体" w:eastAsia="楷体" w:cs="新宋体"/>
                <w:sz w:val="24"/>
                <w:szCs w:val="24"/>
              </w:rPr>
            </w:pPr>
          </w:p>
          <w:p>
            <w:pPr>
              <w:pStyle w:val="3"/>
              <w:ind w:left="0"/>
              <w:rPr>
                <w:rFonts w:ascii="楷体" w:hAnsi="楷体" w:eastAsia="楷体" w:cs="新宋体"/>
                <w:sz w:val="24"/>
                <w:szCs w:val="24"/>
              </w:rPr>
            </w:pPr>
          </w:p>
          <w:p>
            <w:pPr>
              <w:pStyle w:val="3"/>
              <w:ind w:left="0"/>
              <w:rPr>
                <w:rFonts w:ascii="楷体" w:hAnsi="楷体" w:eastAsia="楷体" w:cs="新宋体"/>
                <w:sz w:val="24"/>
                <w:szCs w:val="24"/>
              </w:rPr>
            </w:pPr>
          </w:p>
          <w:p>
            <w:pPr>
              <w:pStyle w:val="3"/>
              <w:ind w:left="0"/>
              <w:rPr>
                <w:rFonts w:ascii="楷体" w:hAnsi="楷体" w:eastAsia="楷体" w:cs="新宋体"/>
                <w:sz w:val="24"/>
                <w:szCs w:val="24"/>
              </w:rPr>
            </w:pPr>
          </w:p>
          <w:p>
            <w:pPr>
              <w:pStyle w:val="3"/>
              <w:ind w:left="0"/>
              <w:rPr>
                <w:rFonts w:ascii="楷体" w:hAnsi="楷体" w:eastAsia="楷体"/>
                <w:sz w:val="24"/>
                <w:szCs w:val="24"/>
              </w:rPr>
            </w:pPr>
            <w:r>
              <w:rPr>
                <w:rFonts w:hint="eastAsia" w:ascii="楷体" w:hAnsi="楷体" w:eastAsia="楷体" w:cs="Arial"/>
                <w:spacing w:val="-6"/>
                <w:sz w:val="24"/>
                <w:szCs w:val="24"/>
              </w:rPr>
              <w:t>Q：9.1.1</w:t>
            </w:r>
            <w:r>
              <w:rPr>
                <w:rFonts w:hint="eastAsia" w:ascii="楷体" w:hAnsi="楷体" w:eastAsia="楷体" w:cs="Arial"/>
                <w:sz w:val="24"/>
                <w:szCs w:val="24"/>
              </w:rPr>
              <w:t>、Q：9.1.3</w:t>
            </w:r>
          </w:p>
        </w:tc>
        <w:tc>
          <w:tcPr>
            <w:tcW w:w="11012" w:type="dxa"/>
          </w:tcPr>
          <w:p>
            <w:pPr>
              <w:autoSpaceDE w:val="0"/>
              <w:autoSpaceDN w:val="0"/>
              <w:spacing w:line="360" w:lineRule="auto"/>
              <w:ind w:firstLine="240" w:firstLineChars="100"/>
              <w:rPr>
                <w:rFonts w:ascii="楷体" w:hAnsi="楷体" w:eastAsia="楷体" w:cs="宋体"/>
                <w:sz w:val="24"/>
                <w:szCs w:val="24"/>
              </w:rPr>
            </w:pPr>
            <w:r>
              <w:rPr>
                <w:rFonts w:hint="eastAsia" w:ascii="楷体" w:hAnsi="楷体" w:eastAsia="楷体" w:cs="宋体"/>
                <w:sz w:val="24"/>
                <w:szCs w:val="24"/>
              </w:rPr>
              <w:t>公司编制了《监视和测量控制程序</w:t>
            </w:r>
            <w:r>
              <w:rPr>
                <w:rFonts w:hint="eastAsia" w:ascii="楷体" w:hAnsi="楷体" w:eastAsia="楷体" w:cs="宋体"/>
                <w:sz w:val="24"/>
                <w:szCs w:val="24"/>
              </w:rPr>
              <w:tab/>
            </w:r>
            <w:r>
              <w:rPr>
                <w:rFonts w:hint="eastAsia" w:ascii="楷体" w:hAnsi="楷体" w:eastAsia="楷体" w:cs="宋体"/>
                <w:sz w:val="24"/>
                <w:szCs w:val="24"/>
              </w:rPr>
              <w:t>SXHJ-QES/CX-19-2021》，公司规定了管理体系相关信息的收集、汇总、分析、处理、传递的要求。</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组织各部门策划和实施必要的监视和测量活动，确保产品、体系和过程的符合性，以持续改进质量管理体系的有效性。公司的过程和体系的监视和测量主要是通过内审、管理评审、目标考核以及日常工作监督、顾客满意度测量等的方式完成。</w:t>
            </w:r>
          </w:p>
          <w:p>
            <w:pPr>
              <w:spacing w:line="360" w:lineRule="auto"/>
              <w:ind w:firstLine="420"/>
              <w:rPr>
                <w:rFonts w:ascii="楷体" w:hAnsi="楷体" w:eastAsia="楷体" w:cs="宋体"/>
                <w:sz w:val="24"/>
                <w:szCs w:val="24"/>
              </w:rPr>
            </w:pPr>
            <w:r>
              <w:rPr>
                <w:rFonts w:hint="eastAsia" w:ascii="楷体" w:hAnsi="楷体" w:eastAsia="楷体" w:cs="宋体"/>
                <w:sz w:val="24"/>
                <w:szCs w:val="24"/>
              </w:rPr>
              <w:t>提供了瑞雲D区2021年1-6月份巡查记录，按月份装订，抽查</w:t>
            </w:r>
          </w:p>
          <w:p>
            <w:pPr>
              <w:spacing w:line="360" w:lineRule="auto"/>
              <w:ind w:firstLine="420"/>
              <w:rPr>
                <w:rFonts w:ascii="楷体" w:hAnsi="楷体" w:eastAsia="楷体" w:cs="宋体"/>
                <w:sz w:val="24"/>
                <w:szCs w:val="24"/>
              </w:rPr>
            </w:pPr>
            <w:r>
              <w:rPr>
                <w:rFonts w:hint="eastAsia" w:ascii="楷体" w:hAnsi="楷体" w:eastAsia="楷体" w:cs="宋体"/>
                <w:sz w:val="24"/>
                <w:szCs w:val="24"/>
              </w:rPr>
              <w:t>2021年4月份公共区域巡查表（楼栋9#楼）巡查人：张团、胡新凯：</w:t>
            </w:r>
          </w:p>
          <w:p>
            <w:pPr>
              <w:spacing w:line="360" w:lineRule="auto"/>
              <w:ind w:firstLine="420"/>
              <w:rPr>
                <w:rFonts w:ascii="楷体" w:hAnsi="楷体" w:eastAsia="楷体" w:cs="宋体"/>
                <w:sz w:val="24"/>
                <w:szCs w:val="24"/>
              </w:rPr>
            </w:pPr>
            <w:r>
              <w:rPr>
                <w:rFonts w:hint="eastAsia" w:ascii="楷体" w:hAnsi="楷体" w:eastAsia="楷体" w:cs="宋体"/>
                <w:sz w:val="24"/>
                <w:szCs w:val="24"/>
              </w:rPr>
              <w:t>检查内容：对讲门、消防设施、电梯、扶手、楼顶、卫生状况未见异常。</w:t>
            </w:r>
          </w:p>
          <w:p>
            <w:pPr>
              <w:spacing w:line="360" w:lineRule="auto"/>
              <w:ind w:firstLine="420"/>
              <w:rPr>
                <w:rFonts w:ascii="楷体" w:hAnsi="楷体" w:eastAsia="楷体" w:cs="宋体"/>
                <w:sz w:val="24"/>
                <w:szCs w:val="24"/>
              </w:rPr>
            </w:pPr>
            <w:r>
              <w:rPr>
                <w:rFonts w:hint="eastAsia" w:ascii="楷体" w:hAnsi="楷体" w:eastAsia="楷体" w:cs="宋体"/>
                <w:sz w:val="24"/>
                <w:szCs w:val="24"/>
              </w:rPr>
              <w:t>2021年5月份公共区域巡查表（楼栋2#楼）巡查人：党永辉、胡新凯：</w:t>
            </w:r>
          </w:p>
          <w:p>
            <w:pPr>
              <w:spacing w:line="360" w:lineRule="auto"/>
              <w:ind w:firstLine="420"/>
              <w:rPr>
                <w:rFonts w:ascii="楷体" w:hAnsi="楷体" w:eastAsia="楷体" w:cs="宋体"/>
                <w:sz w:val="24"/>
                <w:szCs w:val="24"/>
              </w:rPr>
            </w:pPr>
            <w:r>
              <w:rPr>
                <w:rFonts w:hint="eastAsia" w:ascii="楷体" w:hAnsi="楷体" w:eastAsia="楷体" w:cs="宋体"/>
                <w:sz w:val="24"/>
                <w:szCs w:val="24"/>
              </w:rPr>
              <w:t>检查内容：对讲门、消防设施、电梯、扶手、楼顶、卫生状况。对出现的楼顶垃圾进行清理，其他未见异常。</w:t>
            </w:r>
          </w:p>
          <w:p>
            <w:pPr>
              <w:spacing w:line="360" w:lineRule="auto"/>
              <w:ind w:firstLine="420"/>
              <w:rPr>
                <w:rFonts w:ascii="楷体" w:hAnsi="楷体" w:eastAsia="楷体" w:cs="宋体"/>
                <w:sz w:val="24"/>
                <w:szCs w:val="24"/>
              </w:rPr>
            </w:pPr>
            <w:r>
              <w:rPr>
                <w:rFonts w:hint="eastAsia" w:ascii="楷体" w:hAnsi="楷体" w:eastAsia="楷体" w:cs="宋体"/>
                <w:sz w:val="24"/>
                <w:szCs w:val="24"/>
              </w:rPr>
              <w:t>2021年6月份公共区域巡查表（楼栋2#楼）巡查人：张银妹、胡新红：</w:t>
            </w:r>
          </w:p>
          <w:p>
            <w:pPr>
              <w:spacing w:line="360" w:lineRule="auto"/>
              <w:ind w:firstLine="420"/>
              <w:rPr>
                <w:rFonts w:ascii="楷体" w:hAnsi="楷体" w:eastAsia="楷体" w:cs="宋体"/>
                <w:sz w:val="24"/>
                <w:szCs w:val="24"/>
              </w:rPr>
            </w:pPr>
            <w:r>
              <w:rPr>
                <w:rFonts w:hint="eastAsia" w:ascii="楷体" w:hAnsi="楷体" w:eastAsia="楷体" w:cs="宋体"/>
                <w:sz w:val="24"/>
                <w:szCs w:val="24"/>
              </w:rPr>
              <w:t>检查内容：对讲门、消防设施、电梯、扶手、楼顶、卫生状况。对出现消防门玻璃损坏进行更换及楼顶垃圾进行清理，其他未见异常。</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办公室负责对体系、过程的日常监测和质量目标完成情况进行统计分析。对目标完成情况进行收集和统计分析，并制作目标完成情况统计表。</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项目管理部负责对供方业绩予以评价，对供方业绩实施了监视和测量，并对检测过程的监视和测量活动进行了策划和实施，对顾客满意度进行了定期评价和分析。</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日常通过对市场信息、目标完成情况及适宜性、物业管理人员绩效考核、顾客满意度测量及反馈等作为分析评价的输入，并根据输出情况及时采取了相应措施并改进，公司针对其他信息，进行了随时利用，但并保持相关记录，公司已建立了信息收集的渠道，并实施。</w:t>
            </w:r>
          </w:p>
          <w:p>
            <w:pPr>
              <w:tabs>
                <w:tab w:val="center" w:pos="3169"/>
              </w:tabs>
              <w:spacing w:line="400" w:lineRule="exact"/>
              <w:jc w:val="left"/>
              <w:rPr>
                <w:rFonts w:ascii="楷体" w:hAnsi="楷体" w:eastAsia="楷体" w:cs="宋体"/>
                <w:sz w:val="24"/>
                <w:szCs w:val="24"/>
                <w:lang w:bidi="ar"/>
              </w:rPr>
            </w:pPr>
            <w:r>
              <w:rPr>
                <w:rFonts w:hint="eastAsia" w:ascii="楷体" w:hAnsi="楷体" w:eastAsia="楷体" w:cs="宋体"/>
                <w:sz w:val="24"/>
                <w:szCs w:val="24"/>
              </w:rPr>
              <w:t>公司已对管理体系的监视、测量、分析和评价进行了策划，基本能够按照要求实施。</w:t>
            </w:r>
          </w:p>
        </w:tc>
        <w:tc>
          <w:tcPr>
            <w:tcW w:w="577"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956" w:type="dxa"/>
            <w:vAlign w:val="center"/>
          </w:tcPr>
          <w:p>
            <w:pPr>
              <w:rPr>
                <w:rFonts w:ascii="楷体" w:hAnsi="楷体" w:eastAsia="楷体"/>
                <w:color w:val="000000" w:themeColor="text1"/>
                <w:sz w:val="24"/>
                <w:szCs w:val="24"/>
              </w:rPr>
            </w:pPr>
            <w:r>
              <w:rPr>
                <w:rFonts w:hint="eastAsia" w:ascii="楷体" w:hAnsi="楷体" w:eastAsia="楷体"/>
                <w:color w:val="000000" w:themeColor="text1"/>
                <w:sz w:val="24"/>
                <w:szCs w:val="24"/>
              </w:rPr>
              <w:t>内部审核</w:t>
            </w:r>
          </w:p>
        </w:tc>
        <w:tc>
          <w:tcPr>
            <w:tcW w:w="1164" w:type="dxa"/>
            <w:vAlign w:val="center"/>
          </w:tcPr>
          <w:p>
            <w:pPr>
              <w:rPr>
                <w:rFonts w:ascii="楷体" w:hAnsi="楷体" w:eastAsia="楷体"/>
                <w:color w:val="000000" w:themeColor="text1"/>
                <w:sz w:val="24"/>
                <w:szCs w:val="24"/>
              </w:rPr>
            </w:pPr>
            <w:r>
              <w:rPr>
                <w:rFonts w:hint="eastAsia" w:ascii="楷体" w:hAnsi="楷体" w:eastAsia="楷体"/>
                <w:color w:val="000000" w:themeColor="text1"/>
                <w:sz w:val="24"/>
                <w:szCs w:val="24"/>
              </w:rPr>
              <w:t>QEO：9.2</w:t>
            </w:r>
          </w:p>
          <w:p>
            <w:pPr>
              <w:rPr>
                <w:rFonts w:ascii="楷体" w:hAnsi="楷体" w:eastAsia="楷体"/>
                <w:color w:val="000000" w:themeColor="text1"/>
                <w:sz w:val="24"/>
                <w:szCs w:val="24"/>
              </w:rPr>
            </w:pPr>
          </w:p>
        </w:tc>
        <w:tc>
          <w:tcPr>
            <w:tcW w:w="11012" w:type="dxa"/>
            <w:vAlign w:val="center"/>
          </w:tcPr>
          <w:p>
            <w:pPr>
              <w:spacing w:line="360" w:lineRule="auto"/>
              <w:ind w:firstLine="480" w:firstLineChars="200"/>
              <w:rPr>
                <w:rFonts w:ascii="楷体" w:hAnsi="楷体" w:eastAsia="楷体"/>
                <w:color w:val="000000" w:themeColor="text1"/>
                <w:sz w:val="24"/>
                <w:szCs w:val="24"/>
              </w:rPr>
            </w:pPr>
            <w:r>
              <w:rPr>
                <w:rFonts w:hint="eastAsia" w:ascii="楷体" w:hAnsi="楷体" w:eastAsia="楷体"/>
                <w:color w:val="000000" w:themeColor="text1"/>
                <w:sz w:val="24"/>
                <w:szCs w:val="24"/>
              </w:rPr>
              <w:t>公司制定《内部审核控制程序</w:t>
            </w:r>
            <w:r>
              <w:rPr>
                <w:rFonts w:hint="eastAsia" w:ascii="楷体" w:hAnsi="楷体" w:eastAsia="楷体"/>
                <w:color w:val="000000" w:themeColor="text1"/>
                <w:sz w:val="24"/>
                <w:szCs w:val="24"/>
              </w:rPr>
              <w:tab/>
            </w:r>
            <w:r>
              <w:rPr>
                <w:rFonts w:hint="eastAsia" w:ascii="楷体" w:hAnsi="楷体" w:eastAsia="楷体"/>
                <w:color w:val="000000" w:themeColor="text1"/>
                <w:sz w:val="24"/>
                <w:szCs w:val="24"/>
              </w:rPr>
              <w:t>SXHJ-QES/CX-18-2021》，对内部审核方案策划规定：内审每年进行一次，按部门/过程审核。</w:t>
            </w:r>
          </w:p>
          <w:p>
            <w:pPr>
              <w:spacing w:line="360" w:lineRule="auto"/>
              <w:ind w:firstLine="480" w:firstLineChars="200"/>
              <w:rPr>
                <w:rFonts w:ascii="楷体" w:hAnsi="楷体" w:eastAsia="楷体"/>
                <w:color w:val="000000" w:themeColor="text1"/>
                <w:sz w:val="24"/>
                <w:szCs w:val="24"/>
              </w:rPr>
            </w:pPr>
            <w:r>
              <w:rPr>
                <w:rFonts w:hint="eastAsia" w:ascii="楷体" w:hAnsi="楷体" w:eastAsia="楷体"/>
                <w:color w:val="000000" w:themeColor="text1"/>
                <w:sz w:val="24"/>
                <w:szCs w:val="24"/>
              </w:rPr>
              <w:t>管代介绍内审的安排和做法，与程序文件《内部审核控制程序》相符。</w:t>
            </w:r>
          </w:p>
          <w:p>
            <w:pPr>
              <w:tabs>
                <w:tab w:val="left" w:pos="2490"/>
              </w:tabs>
              <w:spacing w:line="360" w:lineRule="auto"/>
              <w:ind w:right="-328" w:rightChars="-156" w:firstLine="480" w:firstLineChars="200"/>
              <w:rPr>
                <w:rFonts w:ascii="楷体" w:hAnsi="楷体" w:eastAsia="楷体"/>
                <w:color w:val="000000" w:themeColor="text1"/>
                <w:sz w:val="24"/>
                <w:szCs w:val="24"/>
              </w:rPr>
            </w:pPr>
            <w:r>
              <w:rPr>
                <w:rFonts w:hint="eastAsia" w:ascii="楷体" w:hAnsi="楷体" w:eastAsia="楷体"/>
                <w:color w:val="000000" w:themeColor="text1"/>
                <w:sz w:val="24"/>
                <w:szCs w:val="24"/>
              </w:rPr>
              <w:t>查最近一次内审记录：2021.6.8-6.9进行，审核组组长：刘亚兰，审核组成员：夏红平，经过培训，并经总经理任命。</w:t>
            </w:r>
          </w:p>
          <w:p>
            <w:pPr>
              <w:tabs>
                <w:tab w:val="left" w:pos="2490"/>
              </w:tabs>
              <w:spacing w:line="360" w:lineRule="auto"/>
              <w:ind w:right="-328" w:rightChars="-156" w:firstLine="480" w:firstLineChars="200"/>
              <w:rPr>
                <w:rFonts w:ascii="楷体" w:hAnsi="楷体" w:eastAsia="楷体"/>
                <w:color w:val="000000" w:themeColor="text1"/>
                <w:sz w:val="24"/>
                <w:szCs w:val="24"/>
              </w:rPr>
            </w:pPr>
            <w:r>
              <w:rPr>
                <w:rFonts w:hint="eastAsia" w:ascii="楷体" w:hAnsi="楷体" w:eastAsia="楷体"/>
                <w:color w:val="000000" w:themeColor="text1"/>
                <w:sz w:val="24"/>
                <w:szCs w:val="24"/>
              </w:rPr>
              <w:t>查内审计划，涉及了所有部门及相关过程。计划编制合理，无漏条款现象。</w:t>
            </w:r>
          </w:p>
          <w:p>
            <w:pPr>
              <w:spacing w:line="360" w:lineRule="auto"/>
              <w:ind w:firstLine="480" w:firstLineChars="200"/>
              <w:rPr>
                <w:rFonts w:ascii="楷体" w:hAnsi="楷体" w:eastAsia="楷体"/>
                <w:color w:val="000000" w:themeColor="text1"/>
                <w:sz w:val="24"/>
                <w:szCs w:val="24"/>
              </w:rPr>
            </w:pPr>
            <w:r>
              <w:rPr>
                <w:rFonts w:hint="eastAsia" w:ascii="楷体" w:hAnsi="楷体" w:eastAsia="楷体"/>
                <w:color w:val="000000" w:themeColor="text1"/>
                <w:sz w:val="24"/>
                <w:szCs w:val="24"/>
              </w:rPr>
              <w:t>查审核记录，符合计划安排，审核内容基本符合规定。审核员没有审核自己部门工作，具有独立性。</w:t>
            </w:r>
          </w:p>
          <w:p>
            <w:pPr>
              <w:spacing w:before="120" w:line="360" w:lineRule="auto"/>
              <w:ind w:firstLine="480" w:firstLineChars="200"/>
              <w:rPr>
                <w:rFonts w:ascii="楷体" w:hAnsi="楷体" w:eastAsia="楷体"/>
                <w:color w:val="000000" w:themeColor="text1"/>
                <w:sz w:val="24"/>
                <w:szCs w:val="24"/>
              </w:rPr>
            </w:pPr>
            <w:r>
              <w:rPr>
                <w:rFonts w:hint="eastAsia" w:ascii="楷体" w:hAnsi="楷体" w:eastAsia="楷体"/>
                <w:color w:val="000000" w:themeColor="text1"/>
                <w:sz w:val="24"/>
                <w:szCs w:val="24"/>
              </w:rPr>
              <w:t>审核活动共提出1个不符合项：未见对2021年1月10日发布A/0版《管理手册》、《程序文件》、《管理制度》分发的证据。</w:t>
            </w:r>
          </w:p>
          <w:p>
            <w:pPr>
              <w:spacing w:line="360" w:lineRule="auto"/>
              <w:ind w:firstLine="480" w:firstLineChars="200"/>
              <w:rPr>
                <w:rFonts w:ascii="楷体" w:hAnsi="楷体" w:eastAsia="楷体"/>
                <w:color w:val="000000" w:themeColor="text1"/>
                <w:sz w:val="24"/>
                <w:szCs w:val="24"/>
              </w:rPr>
            </w:pPr>
            <w:r>
              <w:rPr>
                <w:rFonts w:hint="eastAsia" w:ascii="楷体" w:hAnsi="楷体" w:eastAsia="楷体"/>
                <w:color w:val="000000" w:themeColor="text1"/>
                <w:sz w:val="24"/>
                <w:szCs w:val="24"/>
              </w:rPr>
              <w:t>查不符合项报告，不符合项报告事实描述清楚，原因分析到位，纠正措施及其验证合理。不符合项2021.6.10日验证关闭。</w:t>
            </w:r>
          </w:p>
          <w:p>
            <w:pPr>
              <w:adjustRightInd w:val="0"/>
              <w:snapToGrid w:val="0"/>
              <w:spacing w:line="440" w:lineRule="exact"/>
              <w:ind w:firstLine="480" w:firstLineChars="200"/>
              <w:rPr>
                <w:rFonts w:ascii="楷体" w:hAnsi="楷体" w:eastAsia="楷体"/>
                <w:color w:val="000000" w:themeColor="text1"/>
                <w:sz w:val="24"/>
                <w:szCs w:val="24"/>
              </w:rPr>
            </w:pPr>
            <w:r>
              <w:rPr>
                <w:rFonts w:hint="eastAsia" w:ascii="楷体" w:hAnsi="楷体" w:eastAsia="楷体"/>
                <w:color w:val="000000" w:themeColor="text1"/>
                <w:sz w:val="24"/>
                <w:szCs w:val="24"/>
              </w:rPr>
              <w:t>查内审报告：对体系文件和对体系的运作的符合性和有效性进行了评价，结论为：我公司编制的管理手册、程序文件和第三层次文件基本符合GB/T19001-2016、GB/T24001-2016、GB/T45001-2020的标准要求，并能结合本公司的实际情况，体系文件可以指导全公司管理体系的正常运行。</w:t>
            </w:r>
          </w:p>
          <w:p>
            <w:pPr>
              <w:spacing w:line="360" w:lineRule="auto"/>
              <w:ind w:firstLine="480" w:firstLineChars="200"/>
              <w:rPr>
                <w:rFonts w:ascii="楷体" w:hAnsi="楷体" w:eastAsia="楷体"/>
                <w:color w:val="000000" w:themeColor="text1"/>
                <w:sz w:val="24"/>
                <w:szCs w:val="24"/>
              </w:rPr>
            </w:pPr>
            <w:r>
              <w:rPr>
                <w:rFonts w:hint="eastAsia" w:ascii="楷体" w:hAnsi="楷体" w:eastAsia="楷体"/>
                <w:color w:val="000000" w:themeColor="text1"/>
                <w:sz w:val="24"/>
                <w:szCs w:val="24"/>
              </w:rPr>
              <w:t xml:space="preserve">公司的质量、环境和职业健康安全管理体系符合标准和管理要求，公司质量、环境、职业健康安全管理体系运行有效并保持。    </w:t>
            </w:r>
          </w:p>
          <w:p>
            <w:pPr>
              <w:pStyle w:val="2"/>
              <w:rPr>
                <w:rFonts w:ascii="楷体" w:hAnsi="楷体" w:eastAsia="楷体"/>
                <w:sz w:val="24"/>
                <w:szCs w:val="24"/>
              </w:rPr>
            </w:pPr>
          </w:p>
          <w:p>
            <w:pPr>
              <w:pStyle w:val="3"/>
              <w:rPr>
                <w:rFonts w:ascii="楷体" w:hAnsi="楷体" w:eastAsia="楷体"/>
                <w:sz w:val="24"/>
                <w:szCs w:val="24"/>
              </w:rPr>
            </w:pPr>
            <w:r>
              <w:rPr>
                <w:rFonts w:ascii="楷体" w:hAnsi="楷体" w:eastAsia="楷体"/>
                <w:sz w:val="24"/>
                <w:szCs w:val="24"/>
              </w:rPr>
              <w:drawing>
                <wp:anchor distT="0" distB="0" distL="114300" distR="114300" simplePos="0" relativeHeight="251664384" behindDoc="0" locked="0" layoutInCell="1" allowOverlap="1">
                  <wp:simplePos x="0" y="0"/>
                  <wp:positionH relativeFrom="column">
                    <wp:posOffset>1958975</wp:posOffset>
                  </wp:positionH>
                  <wp:positionV relativeFrom="paragraph">
                    <wp:posOffset>12065</wp:posOffset>
                  </wp:positionV>
                  <wp:extent cx="3051175" cy="4076700"/>
                  <wp:effectExtent l="0" t="0" r="0" b="0"/>
                  <wp:wrapNone/>
                  <wp:docPr id="6" name="图片 6" descr="E:\360安全云盘同步版\国标联合审核\202107\陕西皇嘉物业管理有限公司\新建文件夹\扫描全能王 2021-07-29 14.5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360安全云盘同步版\国标联合审核\202107\陕西皇嘉物业管理有限公司\新建文件夹\扫描全能王 2021-07-29 14.56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1175" cy="4076700"/>
                          </a:xfrm>
                          <a:prstGeom prst="rect">
                            <a:avLst/>
                          </a:prstGeom>
                          <a:noFill/>
                          <a:ln>
                            <a:noFill/>
                          </a:ln>
                        </pic:spPr>
                      </pic:pic>
                    </a:graphicData>
                  </a:graphic>
                </wp:anchor>
              </w:drawing>
            </w: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tc>
        <w:tc>
          <w:tcPr>
            <w:tcW w:w="577"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1956" w:type="dxa"/>
            <w:vAlign w:val="center"/>
          </w:tcPr>
          <w:p>
            <w:pPr>
              <w:spacing w:line="360" w:lineRule="auto"/>
              <w:rPr>
                <w:rFonts w:ascii="楷体" w:hAnsi="楷体" w:eastAsia="楷体" w:cs="宋体"/>
                <w:sz w:val="24"/>
                <w:szCs w:val="24"/>
              </w:rPr>
            </w:pPr>
          </w:p>
          <w:p>
            <w:pPr>
              <w:spacing w:line="360" w:lineRule="auto"/>
              <w:rPr>
                <w:rFonts w:ascii="楷体" w:hAnsi="楷体" w:eastAsia="楷体" w:cs="宋体"/>
                <w:sz w:val="24"/>
                <w:szCs w:val="24"/>
              </w:rPr>
            </w:pPr>
            <w:r>
              <w:rPr>
                <w:rFonts w:hint="eastAsia" w:ascii="楷体" w:hAnsi="楷体" w:eastAsia="楷体" w:cs="宋体"/>
                <w:sz w:val="24"/>
                <w:szCs w:val="24"/>
              </w:rPr>
              <w:t>不合格和纠正措施</w:t>
            </w:r>
          </w:p>
        </w:tc>
        <w:tc>
          <w:tcPr>
            <w:tcW w:w="1164" w:type="dxa"/>
            <w:vAlign w:val="center"/>
          </w:tcPr>
          <w:p>
            <w:pPr>
              <w:spacing w:line="360" w:lineRule="auto"/>
              <w:jc w:val="center"/>
              <w:rPr>
                <w:rFonts w:ascii="楷体" w:hAnsi="楷体" w:eastAsia="楷体" w:cs="宋体"/>
                <w:sz w:val="24"/>
                <w:szCs w:val="24"/>
              </w:rPr>
            </w:pPr>
          </w:p>
          <w:p>
            <w:pPr>
              <w:spacing w:line="360" w:lineRule="auto"/>
              <w:rPr>
                <w:rFonts w:ascii="楷体" w:hAnsi="楷体" w:eastAsia="楷体" w:cs="宋体"/>
                <w:sz w:val="24"/>
                <w:szCs w:val="24"/>
              </w:rPr>
            </w:pPr>
          </w:p>
          <w:p>
            <w:pPr>
              <w:spacing w:line="360" w:lineRule="auto"/>
              <w:jc w:val="center"/>
              <w:rPr>
                <w:rFonts w:ascii="楷体" w:hAnsi="楷体" w:eastAsia="楷体" w:cs="Arial"/>
                <w:sz w:val="24"/>
                <w:szCs w:val="24"/>
              </w:rPr>
            </w:pPr>
            <w:r>
              <w:rPr>
                <w:rFonts w:hint="eastAsia" w:ascii="楷体" w:hAnsi="楷体" w:eastAsia="楷体" w:cs="宋体"/>
                <w:sz w:val="24"/>
                <w:szCs w:val="24"/>
              </w:rPr>
              <w:t>QEO：10.2</w:t>
            </w:r>
          </w:p>
          <w:p>
            <w:pPr>
              <w:spacing w:line="360" w:lineRule="auto"/>
              <w:jc w:val="center"/>
              <w:rPr>
                <w:rFonts w:ascii="楷体" w:hAnsi="楷体" w:eastAsia="楷体" w:cs="Arial"/>
                <w:spacing w:val="-6"/>
                <w:sz w:val="24"/>
                <w:szCs w:val="24"/>
              </w:rPr>
            </w:pPr>
          </w:p>
        </w:tc>
        <w:tc>
          <w:tcPr>
            <w:tcW w:w="11012" w:type="dxa"/>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实施《改进控制程序</w:t>
            </w:r>
            <w:r>
              <w:rPr>
                <w:rFonts w:hint="eastAsia" w:ascii="楷体" w:hAnsi="楷体" w:eastAsia="楷体" w:cs="宋体"/>
                <w:sz w:val="24"/>
                <w:szCs w:val="24"/>
              </w:rPr>
              <w:tab/>
            </w:r>
            <w:r>
              <w:rPr>
                <w:rFonts w:hint="eastAsia" w:ascii="楷体" w:hAnsi="楷体" w:eastAsia="楷体" w:cs="宋体"/>
                <w:sz w:val="24"/>
                <w:szCs w:val="24"/>
              </w:rPr>
              <w:t xml:space="preserve">SXHJ-QES/CX -23-2021》、《纠正与预防控制程序SXHJ-QES/CX -22-2021》、《事故、事件控制程序SXHJ-QES/CX-10-2021》，对纠正预防措施识别、评审、验证，事故事件报告、调查、处理等作了规定，其内容符合组织实际及标准要求。 </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查纠正措施实施情况：</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对内审中提出不合格项进行了原因分析,并制定、实施了纠正措施，并由内审员对所采取的纠正措施进行了验证，纠正措施有效，管理评审中发现的薄弱环节，分析了原因，采取了纠正措施。</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tabs>
                <w:tab w:val="left" w:pos="6597"/>
              </w:tabs>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企业纠正和预防措施的管理符合标准规定要求。</w:t>
            </w:r>
          </w:p>
        </w:tc>
        <w:tc>
          <w:tcPr>
            <w:tcW w:w="577" w:type="dxa"/>
          </w:tcPr>
          <w:p>
            <w:pPr>
              <w:rPr>
                <w:rFonts w:ascii="楷体" w:hAnsi="楷体" w:eastAsia="楷体"/>
                <w:color w:val="000000" w:themeColor="text1"/>
                <w:sz w:val="24"/>
                <w:szCs w:val="24"/>
              </w:rPr>
            </w:pPr>
          </w:p>
        </w:tc>
      </w:tr>
    </w:tbl>
    <w:p>
      <w:pPr>
        <w:rPr>
          <w:rFonts w:ascii="楷体" w:hAnsi="楷体" w:eastAsia="楷体" w:cs="宋体"/>
          <w:sz w:val="24"/>
          <w:szCs w:val="24"/>
        </w:rPr>
      </w:pPr>
    </w:p>
    <w:p>
      <w:pPr>
        <w:pStyle w:val="9"/>
        <w:rPr>
          <w:rFonts w:ascii="楷体" w:hAnsi="楷体" w:eastAsia="楷体"/>
          <w:sz w:val="24"/>
          <w:szCs w:val="24"/>
        </w:rPr>
      </w:pPr>
      <w:r>
        <w:rPr>
          <w:rFonts w:hint="eastAsia" w:ascii="楷体" w:hAnsi="楷体" w:eastAsia="楷体" w:cs="宋体"/>
          <w:sz w:val="24"/>
          <w:szCs w:val="24"/>
        </w:rPr>
        <w:t>说明：不符合标注N</w:t>
      </w:r>
      <w:bookmarkStart w:id="1" w:name="_GoBack"/>
      <w:bookmarkEnd w:id="1"/>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10"/>
      <w:pBdr>
        <w:bottom w:val="none" w:color="auto" w:sz="0" w:space="1"/>
      </w:pBdr>
      <w:spacing w:line="320" w:lineRule="exact"/>
      <w:jc w:val="left"/>
    </w:pPr>
    <w:r>
      <w:pict>
        <v:shape id="文本框 1"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21"/>
        <w:rFonts w:hint="default"/>
      </w:rPr>
      <w:t xml:space="preserve">        </w:t>
    </w:r>
    <w:r>
      <w:rPr>
        <w:rStyle w:val="21"/>
        <w:rFonts w:hint="default"/>
        <w:w w:val="90"/>
      </w:rPr>
      <w:t>Beijing International Standard united Certification Co.,Ltd.</w:t>
    </w:r>
    <w:r>
      <w:rPr>
        <w:rStyle w:val="21"/>
        <w:rFonts w:hint="default"/>
        <w:w w:val="90"/>
        <w:szCs w:val="21"/>
      </w:rPr>
      <w:t xml:space="preserve">  </w:t>
    </w:r>
    <w:r>
      <w:rPr>
        <w:rStyle w:val="21"/>
        <w:rFonts w:hint="default"/>
        <w:w w:val="90"/>
        <w:sz w:val="20"/>
      </w:rPr>
      <w:t xml:space="preserve"> </w:t>
    </w:r>
    <w:r>
      <w:rPr>
        <w:rStyle w:val="21"/>
        <w:rFonts w:hint="default"/>
        <w:w w:val="90"/>
      </w:rPr>
      <w:t xml:space="preserve">                   </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none"/>
      <w:pStyle w:val="22"/>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C216FF5"/>
    <w:multiLevelType w:val="multilevel"/>
    <w:tmpl w:val="0C216FF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AE87A1D"/>
    <w:multiLevelType w:val="multilevel"/>
    <w:tmpl w:val="7AE87A1D"/>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23B43"/>
    <w:rsid w:val="00031CE7"/>
    <w:rsid w:val="0003373A"/>
    <w:rsid w:val="000442A1"/>
    <w:rsid w:val="00044952"/>
    <w:rsid w:val="00044DAF"/>
    <w:rsid w:val="000459C0"/>
    <w:rsid w:val="00057D50"/>
    <w:rsid w:val="00062DB9"/>
    <w:rsid w:val="00066D35"/>
    <w:rsid w:val="000956BC"/>
    <w:rsid w:val="000B1FA2"/>
    <w:rsid w:val="000B6E9D"/>
    <w:rsid w:val="000B7F50"/>
    <w:rsid w:val="000D4D7A"/>
    <w:rsid w:val="000E57E0"/>
    <w:rsid w:val="000F6865"/>
    <w:rsid w:val="001116D4"/>
    <w:rsid w:val="00153A43"/>
    <w:rsid w:val="00167138"/>
    <w:rsid w:val="001744B4"/>
    <w:rsid w:val="00176AEB"/>
    <w:rsid w:val="001A2D7F"/>
    <w:rsid w:val="001B3692"/>
    <w:rsid w:val="001B7E9F"/>
    <w:rsid w:val="002118D6"/>
    <w:rsid w:val="00212071"/>
    <w:rsid w:val="00216381"/>
    <w:rsid w:val="00234E37"/>
    <w:rsid w:val="0025458F"/>
    <w:rsid w:val="00281B96"/>
    <w:rsid w:val="0028402A"/>
    <w:rsid w:val="00292E69"/>
    <w:rsid w:val="00292FB7"/>
    <w:rsid w:val="002A331F"/>
    <w:rsid w:val="002A5E2D"/>
    <w:rsid w:val="002A6037"/>
    <w:rsid w:val="002F33E2"/>
    <w:rsid w:val="00302B74"/>
    <w:rsid w:val="00302F3B"/>
    <w:rsid w:val="003333A9"/>
    <w:rsid w:val="00337922"/>
    <w:rsid w:val="00340867"/>
    <w:rsid w:val="00380837"/>
    <w:rsid w:val="00391ADD"/>
    <w:rsid w:val="003924C0"/>
    <w:rsid w:val="003A198A"/>
    <w:rsid w:val="003D70BA"/>
    <w:rsid w:val="003E7EF6"/>
    <w:rsid w:val="003F21B5"/>
    <w:rsid w:val="003F617D"/>
    <w:rsid w:val="00410914"/>
    <w:rsid w:val="0041643D"/>
    <w:rsid w:val="00436B29"/>
    <w:rsid w:val="0047492E"/>
    <w:rsid w:val="00490E58"/>
    <w:rsid w:val="004921A4"/>
    <w:rsid w:val="004D1F35"/>
    <w:rsid w:val="004E534E"/>
    <w:rsid w:val="004E7938"/>
    <w:rsid w:val="004F388A"/>
    <w:rsid w:val="005122FE"/>
    <w:rsid w:val="00536930"/>
    <w:rsid w:val="00564E53"/>
    <w:rsid w:val="005653D5"/>
    <w:rsid w:val="0056768F"/>
    <w:rsid w:val="00576C88"/>
    <w:rsid w:val="005777CC"/>
    <w:rsid w:val="00581044"/>
    <w:rsid w:val="005879D0"/>
    <w:rsid w:val="005C02C4"/>
    <w:rsid w:val="005C3A64"/>
    <w:rsid w:val="005F2816"/>
    <w:rsid w:val="005F53F4"/>
    <w:rsid w:val="00601627"/>
    <w:rsid w:val="006112E5"/>
    <w:rsid w:val="00622820"/>
    <w:rsid w:val="00627713"/>
    <w:rsid w:val="0062773A"/>
    <w:rsid w:val="00644FE2"/>
    <w:rsid w:val="00646F1A"/>
    <w:rsid w:val="00647A10"/>
    <w:rsid w:val="00657E6A"/>
    <w:rsid w:val="0067640C"/>
    <w:rsid w:val="0068158E"/>
    <w:rsid w:val="006915E5"/>
    <w:rsid w:val="006A0E03"/>
    <w:rsid w:val="006A4F14"/>
    <w:rsid w:val="006B3E67"/>
    <w:rsid w:val="006B764F"/>
    <w:rsid w:val="006C7458"/>
    <w:rsid w:val="006D59CF"/>
    <w:rsid w:val="006E678B"/>
    <w:rsid w:val="007127F7"/>
    <w:rsid w:val="007342BE"/>
    <w:rsid w:val="00745EE4"/>
    <w:rsid w:val="007744DA"/>
    <w:rsid w:val="00774C81"/>
    <w:rsid w:val="007757F3"/>
    <w:rsid w:val="00776EC3"/>
    <w:rsid w:val="0078006A"/>
    <w:rsid w:val="00782094"/>
    <w:rsid w:val="00793FCE"/>
    <w:rsid w:val="007C6484"/>
    <w:rsid w:val="007E38A0"/>
    <w:rsid w:val="007E6AEB"/>
    <w:rsid w:val="00852843"/>
    <w:rsid w:val="00852897"/>
    <w:rsid w:val="00862DDE"/>
    <w:rsid w:val="008737F4"/>
    <w:rsid w:val="00874FDD"/>
    <w:rsid w:val="00882229"/>
    <w:rsid w:val="008973EE"/>
    <w:rsid w:val="008B1C3A"/>
    <w:rsid w:val="008C5CE1"/>
    <w:rsid w:val="008C63F3"/>
    <w:rsid w:val="008D3D78"/>
    <w:rsid w:val="008E0572"/>
    <w:rsid w:val="008E227A"/>
    <w:rsid w:val="008E2802"/>
    <w:rsid w:val="008E5C94"/>
    <w:rsid w:val="00915290"/>
    <w:rsid w:val="00943912"/>
    <w:rsid w:val="0095298C"/>
    <w:rsid w:val="00971600"/>
    <w:rsid w:val="00974C37"/>
    <w:rsid w:val="00986EEB"/>
    <w:rsid w:val="009973B4"/>
    <w:rsid w:val="009A3E44"/>
    <w:rsid w:val="009B2646"/>
    <w:rsid w:val="009B5F9F"/>
    <w:rsid w:val="009C28C1"/>
    <w:rsid w:val="009D2D75"/>
    <w:rsid w:val="009E0B46"/>
    <w:rsid w:val="009F7EED"/>
    <w:rsid w:val="00A1293D"/>
    <w:rsid w:val="00A12A91"/>
    <w:rsid w:val="00A21DFE"/>
    <w:rsid w:val="00A3689E"/>
    <w:rsid w:val="00A4164D"/>
    <w:rsid w:val="00A5386C"/>
    <w:rsid w:val="00A64A08"/>
    <w:rsid w:val="00A6538E"/>
    <w:rsid w:val="00A731E1"/>
    <w:rsid w:val="00A803EA"/>
    <w:rsid w:val="00A846E9"/>
    <w:rsid w:val="00A9333A"/>
    <w:rsid w:val="00AA14F0"/>
    <w:rsid w:val="00AA58F7"/>
    <w:rsid w:val="00AF0AAB"/>
    <w:rsid w:val="00B224B7"/>
    <w:rsid w:val="00B5328D"/>
    <w:rsid w:val="00B5675D"/>
    <w:rsid w:val="00B651EB"/>
    <w:rsid w:val="00B702F4"/>
    <w:rsid w:val="00BB196F"/>
    <w:rsid w:val="00BC0204"/>
    <w:rsid w:val="00BD5E18"/>
    <w:rsid w:val="00BF597E"/>
    <w:rsid w:val="00C16844"/>
    <w:rsid w:val="00C351E6"/>
    <w:rsid w:val="00C51A36"/>
    <w:rsid w:val="00C55228"/>
    <w:rsid w:val="00C63AFD"/>
    <w:rsid w:val="00C71CF3"/>
    <w:rsid w:val="00C71E3A"/>
    <w:rsid w:val="00C96CCE"/>
    <w:rsid w:val="00CA6ED4"/>
    <w:rsid w:val="00CB7E78"/>
    <w:rsid w:val="00CE315A"/>
    <w:rsid w:val="00CF0F23"/>
    <w:rsid w:val="00CF31C6"/>
    <w:rsid w:val="00CF6038"/>
    <w:rsid w:val="00D06F59"/>
    <w:rsid w:val="00D10A9A"/>
    <w:rsid w:val="00D15D8C"/>
    <w:rsid w:val="00D752D3"/>
    <w:rsid w:val="00D77F11"/>
    <w:rsid w:val="00D82495"/>
    <w:rsid w:val="00D8388C"/>
    <w:rsid w:val="00D85D11"/>
    <w:rsid w:val="00DC320B"/>
    <w:rsid w:val="00DE1A2A"/>
    <w:rsid w:val="00DE7EBD"/>
    <w:rsid w:val="00DF402B"/>
    <w:rsid w:val="00E16666"/>
    <w:rsid w:val="00E237BE"/>
    <w:rsid w:val="00E26D0F"/>
    <w:rsid w:val="00E314B5"/>
    <w:rsid w:val="00E3334E"/>
    <w:rsid w:val="00E35D65"/>
    <w:rsid w:val="00E4006F"/>
    <w:rsid w:val="00E44C36"/>
    <w:rsid w:val="00E45728"/>
    <w:rsid w:val="00E52EAD"/>
    <w:rsid w:val="00E66493"/>
    <w:rsid w:val="00E84212"/>
    <w:rsid w:val="00EB0164"/>
    <w:rsid w:val="00EB543A"/>
    <w:rsid w:val="00EB7D3E"/>
    <w:rsid w:val="00EC138C"/>
    <w:rsid w:val="00ED0F62"/>
    <w:rsid w:val="00ED60A1"/>
    <w:rsid w:val="00EE40AD"/>
    <w:rsid w:val="00F11FB9"/>
    <w:rsid w:val="00F13F66"/>
    <w:rsid w:val="00F2787A"/>
    <w:rsid w:val="00F35428"/>
    <w:rsid w:val="00F41125"/>
    <w:rsid w:val="00F46088"/>
    <w:rsid w:val="00F726A9"/>
    <w:rsid w:val="00F84E00"/>
    <w:rsid w:val="00F925D6"/>
    <w:rsid w:val="00F9575F"/>
    <w:rsid w:val="00FA00A7"/>
    <w:rsid w:val="00FA42A7"/>
    <w:rsid w:val="00FB2B18"/>
    <w:rsid w:val="00FB3CEC"/>
    <w:rsid w:val="00FC439D"/>
    <w:rsid w:val="00FC6389"/>
    <w:rsid w:val="00FC6BA1"/>
    <w:rsid w:val="00FD0E1D"/>
    <w:rsid w:val="00FD49E3"/>
    <w:rsid w:val="00FE38E2"/>
    <w:rsid w:val="00FF7DC9"/>
    <w:rsid w:val="01237055"/>
    <w:rsid w:val="014321E6"/>
    <w:rsid w:val="02602D37"/>
    <w:rsid w:val="02A361C3"/>
    <w:rsid w:val="02EC0344"/>
    <w:rsid w:val="031C06B3"/>
    <w:rsid w:val="036A70FE"/>
    <w:rsid w:val="03F04342"/>
    <w:rsid w:val="043A2F29"/>
    <w:rsid w:val="055A79E5"/>
    <w:rsid w:val="06B657DF"/>
    <w:rsid w:val="06D549D6"/>
    <w:rsid w:val="06EA2337"/>
    <w:rsid w:val="06FF764D"/>
    <w:rsid w:val="07074179"/>
    <w:rsid w:val="072106AC"/>
    <w:rsid w:val="07F82E75"/>
    <w:rsid w:val="08037204"/>
    <w:rsid w:val="08713D93"/>
    <w:rsid w:val="088E4159"/>
    <w:rsid w:val="08FC0128"/>
    <w:rsid w:val="090D6A35"/>
    <w:rsid w:val="094249D9"/>
    <w:rsid w:val="0A4E083A"/>
    <w:rsid w:val="0A527FAF"/>
    <w:rsid w:val="0A8A1863"/>
    <w:rsid w:val="0A991BFD"/>
    <w:rsid w:val="0ACC5B2B"/>
    <w:rsid w:val="0B522200"/>
    <w:rsid w:val="0B53515A"/>
    <w:rsid w:val="0C0A0CD1"/>
    <w:rsid w:val="0D457309"/>
    <w:rsid w:val="0D7B30E8"/>
    <w:rsid w:val="0D985F2F"/>
    <w:rsid w:val="0DBE1270"/>
    <w:rsid w:val="0DC26A87"/>
    <w:rsid w:val="0E4201EE"/>
    <w:rsid w:val="0E9D1693"/>
    <w:rsid w:val="0EB50B3B"/>
    <w:rsid w:val="0EF04609"/>
    <w:rsid w:val="0F477E75"/>
    <w:rsid w:val="0F635936"/>
    <w:rsid w:val="0FE43FBC"/>
    <w:rsid w:val="0FEF77FA"/>
    <w:rsid w:val="107550D5"/>
    <w:rsid w:val="108219C2"/>
    <w:rsid w:val="10883E8A"/>
    <w:rsid w:val="110B0911"/>
    <w:rsid w:val="11225C23"/>
    <w:rsid w:val="113D55B8"/>
    <w:rsid w:val="11C66B5E"/>
    <w:rsid w:val="11D41D45"/>
    <w:rsid w:val="120E53B5"/>
    <w:rsid w:val="123034E8"/>
    <w:rsid w:val="125E29DC"/>
    <w:rsid w:val="127575BD"/>
    <w:rsid w:val="12780633"/>
    <w:rsid w:val="130B599F"/>
    <w:rsid w:val="142C5ADC"/>
    <w:rsid w:val="143D632D"/>
    <w:rsid w:val="143D7BB1"/>
    <w:rsid w:val="14890295"/>
    <w:rsid w:val="153717A5"/>
    <w:rsid w:val="156D05A1"/>
    <w:rsid w:val="15774AEE"/>
    <w:rsid w:val="157D5558"/>
    <w:rsid w:val="15B23614"/>
    <w:rsid w:val="15D30DE7"/>
    <w:rsid w:val="16440ED9"/>
    <w:rsid w:val="16543128"/>
    <w:rsid w:val="16BF44C4"/>
    <w:rsid w:val="16F7510A"/>
    <w:rsid w:val="17924A21"/>
    <w:rsid w:val="17A67230"/>
    <w:rsid w:val="17BE048E"/>
    <w:rsid w:val="18327362"/>
    <w:rsid w:val="18D3715E"/>
    <w:rsid w:val="197C75B5"/>
    <w:rsid w:val="1A57282B"/>
    <w:rsid w:val="1AA210F7"/>
    <w:rsid w:val="1AC67B71"/>
    <w:rsid w:val="1B0065D0"/>
    <w:rsid w:val="1B087E14"/>
    <w:rsid w:val="1B4B294C"/>
    <w:rsid w:val="1BAA2FBD"/>
    <w:rsid w:val="1CAD5010"/>
    <w:rsid w:val="1D1242D7"/>
    <w:rsid w:val="1D86717A"/>
    <w:rsid w:val="1E350D4D"/>
    <w:rsid w:val="1E54581A"/>
    <w:rsid w:val="1E6E174C"/>
    <w:rsid w:val="1ED45FD8"/>
    <w:rsid w:val="200E4909"/>
    <w:rsid w:val="202C6533"/>
    <w:rsid w:val="20444302"/>
    <w:rsid w:val="20961A16"/>
    <w:rsid w:val="21122D5D"/>
    <w:rsid w:val="221C084C"/>
    <w:rsid w:val="227257C1"/>
    <w:rsid w:val="22B709AE"/>
    <w:rsid w:val="22D7582D"/>
    <w:rsid w:val="23235F87"/>
    <w:rsid w:val="23732F32"/>
    <w:rsid w:val="24BD65A1"/>
    <w:rsid w:val="255D6D75"/>
    <w:rsid w:val="25C71E86"/>
    <w:rsid w:val="25D826BB"/>
    <w:rsid w:val="261D2BC4"/>
    <w:rsid w:val="263E019F"/>
    <w:rsid w:val="26BB47F8"/>
    <w:rsid w:val="26F45C8F"/>
    <w:rsid w:val="27571BB0"/>
    <w:rsid w:val="275D5156"/>
    <w:rsid w:val="282355F9"/>
    <w:rsid w:val="28C8582D"/>
    <w:rsid w:val="28DF2BCF"/>
    <w:rsid w:val="291202D2"/>
    <w:rsid w:val="299C23FC"/>
    <w:rsid w:val="29AA0642"/>
    <w:rsid w:val="29AF13DF"/>
    <w:rsid w:val="29F80E54"/>
    <w:rsid w:val="2B3D669F"/>
    <w:rsid w:val="2B612389"/>
    <w:rsid w:val="2C04664A"/>
    <w:rsid w:val="2C917839"/>
    <w:rsid w:val="2CAE49F5"/>
    <w:rsid w:val="2CD45FEF"/>
    <w:rsid w:val="2D297257"/>
    <w:rsid w:val="2D8E612A"/>
    <w:rsid w:val="2DCF4236"/>
    <w:rsid w:val="2DF31F93"/>
    <w:rsid w:val="2E057899"/>
    <w:rsid w:val="2E620A04"/>
    <w:rsid w:val="2E9176CC"/>
    <w:rsid w:val="2EA7415A"/>
    <w:rsid w:val="2ED7287D"/>
    <w:rsid w:val="2F5D67DC"/>
    <w:rsid w:val="2F7A01DB"/>
    <w:rsid w:val="30FD47FD"/>
    <w:rsid w:val="310367F7"/>
    <w:rsid w:val="310F2B74"/>
    <w:rsid w:val="31BB2B41"/>
    <w:rsid w:val="31CD2D76"/>
    <w:rsid w:val="326E72EF"/>
    <w:rsid w:val="32734E29"/>
    <w:rsid w:val="327711BB"/>
    <w:rsid w:val="32860EED"/>
    <w:rsid w:val="32A818D5"/>
    <w:rsid w:val="330F505D"/>
    <w:rsid w:val="33137513"/>
    <w:rsid w:val="3328502A"/>
    <w:rsid w:val="332B0841"/>
    <w:rsid w:val="33997DE2"/>
    <w:rsid w:val="34262394"/>
    <w:rsid w:val="3494193A"/>
    <w:rsid w:val="34DA7F4E"/>
    <w:rsid w:val="352019F8"/>
    <w:rsid w:val="35AE2D88"/>
    <w:rsid w:val="35C13BFD"/>
    <w:rsid w:val="35C26EE4"/>
    <w:rsid w:val="38103FE1"/>
    <w:rsid w:val="3814590E"/>
    <w:rsid w:val="387E5472"/>
    <w:rsid w:val="38C248EF"/>
    <w:rsid w:val="393A51D1"/>
    <w:rsid w:val="39A04658"/>
    <w:rsid w:val="3B59769B"/>
    <w:rsid w:val="3B5F54C4"/>
    <w:rsid w:val="3BF3205C"/>
    <w:rsid w:val="3C871C4F"/>
    <w:rsid w:val="3C9A2BF5"/>
    <w:rsid w:val="3D5B555C"/>
    <w:rsid w:val="3D951246"/>
    <w:rsid w:val="3D9A6CF0"/>
    <w:rsid w:val="3DB92AC4"/>
    <w:rsid w:val="3EC07009"/>
    <w:rsid w:val="3F1C24D3"/>
    <w:rsid w:val="3F1F20F4"/>
    <w:rsid w:val="3FFD17CC"/>
    <w:rsid w:val="40425DD8"/>
    <w:rsid w:val="406E64DA"/>
    <w:rsid w:val="40882793"/>
    <w:rsid w:val="40FF3C83"/>
    <w:rsid w:val="416877C4"/>
    <w:rsid w:val="41846EFA"/>
    <w:rsid w:val="41C50928"/>
    <w:rsid w:val="42A83790"/>
    <w:rsid w:val="42D005BA"/>
    <w:rsid w:val="42D62122"/>
    <w:rsid w:val="43543C1C"/>
    <w:rsid w:val="43587CD0"/>
    <w:rsid w:val="43B04046"/>
    <w:rsid w:val="44483C60"/>
    <w:rsid w:val="45BE3CAA"/>
    <w:rsid w:val="45D93522"/>
    <w:rsid w:val="461A5941"/>
    <w:rsid w:val="461C30E9"/>
    <w:rsid w:val="463175C9"/>
    <w:rsid w:val="46A0119E"/>
    <w:rsid w:val="46B86DED"/>
    <w:rsid w:val="46CB5A97"/>
    <w:rsid w:val="46DB4564"/>
    <w:rsid w:val="479033F0"/>
    <w:rsid w:val="47FF0F4B"/>
    <w:rsid w:val="48160645"/>
    <w:rsid w:val="48210BFD"/>
    <w:rsid w:val="48752520"/>
    <w:rsid w:val="48D92A98"/>
    <w:rsid w:val="493A73ED"/>
    <w:rsid w:val="4A02594A"/>
    <w:rsid w:val="4A174CB7"/>
    <w:rsid w:val="4A6A2AFC"/>
    <w:rsid w:val="4B511DE2"/>
    <w:rsid w:val="4B7E721E"/>
    <w:rsid w:val="4C017549"/>
    <w:rsid w:val="4CFF3B84"/>
    <w:rsid w:val="4D4E2263"/>
    <w:rsid w:val="4EA8785F"/>
    <w:rsid w:val="4F9420A0"/>
    <w:rsid w:val="4FA333A8"/>
    <w:rsid w:val="4FA356F1"/>
    <w:rsid w:val="4FC219C0"/>
    <w:rsid w:val="50A05722"/>
    <w:rsid w:val="50FA26C7"/>
    <w:rsid w:val="51B07021"/>
    <w:rsid w:val="52BF26AB"/>
    <w:rsid w:val="53444639"/>
    <w:rsid w:val="546315FC"/>
    <w:rsid w:val="55204D35"/>
    <w:rsid w:val="552B454E"/>
    <w:rsid w:val="556D7264"/>
    <w:rsid w:val="55C73815"/>
    <w:rsid w:val="56880B28"/>
    <w:rsid w:val="56CD4008"/>
    <w:rsid w:val="56DE0281"/>
    <w:rsid w:val="578E143A"/>
    <w:rsid w:val="58886998"/>
    <w:rsid w:val="58AE4BFC"/>
    <w:rsid w:val="58D04D08"/>
    <w:rsid w:val="58D12569"/>
    <w:rsid w:val="59226013"/>
    <w:rsid w:val="593A21B0"/>
    <w:rsid w:val="594D1804"/>
    <w:rsid w:val="5955745C"/>
    <w:rsid w:val="5A2C536F"/>
    <w:rsid w:val="5A4F418C"/>
    <w:rsid w:val="5A8710A3"/>
    <w:rsid w:val="5AFE756D"/>
    <w:rsid w:val="5B4A53A2"/>
    <w:rsid w:val="5C083D41"/>
    <w:rsid w:val="5C872F74"/>
    <w:rsid w:val="5D036FFF"/>
    <w:rsid w:val="5E243229"/>
    <w:rsid w:val="5E2D3CAF"/>
    <w:rsid w:val="5E7D51D5"/>
    <w:rsid w:val="5E9A53DF"/>
    <w:rsid w:val="5EA12B9A"/>
    <w:rsid w:val="5EAC1CF0"/>
    <w:rsid w:val="5EB9199F"/>
    <w:rsid w:val="5EBF0B8F"/>
    <w:rsid w:val="5F5C20A2"/>
    <w:rsid w:val="5F6B5B9C"/>
    <w:rsid w:val="5FC26D77"/>
    <w:rsid w:val="601217D3"/>
    <w:rsid w:val="60C97544"/>
    <w:rsid w:val="615960EE"/>
    <w:rsid w:val="61B4110F"/>
    <w:rsid w:val="61F25C0D"/>
    <w:rsid w:val="61FE677C"/>
    <w:rsid w:val="628F5DE4"/>
    <w:rsid w:val="62E84468"/>
    <w:rsid w:val="63244403"/>
    <w:rsid w:val="63272C6B"/>
    <w:rsid w:val="634C0405"/>
    <w:rsid w:val="634D35C3"/>
    <w:rsid w:val="63577018"/>
    <w:rsid w:val="63A076AF"/>
    <w:rsid w:val="63B15496"/>
    <w:rsid w:val="63BC1E27"/>
    <w:rsid w:val="64450F89"/>
    <w:rsid w:val="64816A20"/>
    <w:rsid w:val="64C23928"/>
    <w:rsid w:val="652C57B3"/>
    <w:rsid w:val="65967FA2"/>
    <w:rsid w:val="65D63B50"/>
    <w:rsid w:val="660A7F70"/>
    <w:rsid w:val="6626385E"/>
    <w:rsid w:val="67706016"/>
    <w:rsid w:val="689F5105"/>
    <w:rsid w:val="693B0827"/>
    <w:rsid w:val="69416448"/>
    <w:rsid w:val="69A060E5"/>
    <w:rsid w:val="6A2D6512"/>
    <w:rsid w:val="6ABD5712"/>
    <w:rsid w:val="6AC66944"/>
    <w:rsid w:val="6B5621A9"/>
    <w:rsid w:val="6BD211F2"/>
    <w:rsid w:val="6C1C5AEE"/>
    <w:rsid w:val="6C8464CC"/>
    <w:rsid w:val="6CE7352A"/>
    <w:rsid w:val="6DEF6D71"/>
    <w:rsid w:val="6E5E28AB"/>
    <w:rsid w:val="6E9844C6"/>
    <w:rsid w:val="6ED008C7"/>
    <w:rsid w:val="6F1C0C18"/>
    <w:rsid w:val="6F2F6271"/>
    <w:rsid w:val="6F3944D9"/>
    <w:rsid w:val="6F4E570C"/>
    <w:rsid w:val="6FB02F06"/>
    <w:rsid w:val="6FDF3742"/>
    <w:rsid w:val="70DD4915"/>
    <w:rsid w:val="7140022C"/>
    <w:rsid w:val="71430325"/>
    <w:rsid w:val="720476F4"/>
    <w:rsid w:val="723E7AE4"/>
    <w:rsid w:val="7259038B"/>
    <w:rsid w:val="725D5CB2"/>
    <w:rsid w:val="72716478"/>
    <w:rsid w:val="72724CB0"/>
    <w:rsid w:val="729970F7"/>
    <w:rsid w:val="72BE5A93"/>
    <w:rsid w:val="72F5594B"/>
    <w:rsid w:val="73724608"/>
    <w:rsid w:val="744E64E8"/>
    <w:rsid w:val="75147C44"/>
    <w:rsid w:val="753A3ACD"/>
    <w:rsid w:val="755D14B0"/>
    <w:rsid w:val="757229A2"/>
    <w:rsid w:val="75873C45"/>
    <w:rsid w:val="75EA0CC5"/>
    <w:rsid w:val="76520262"/>
    <w:rsid w:val="76B811E6"/>
    <w:rsid w:val="76D0356B"/>
    <w:rsid w:val="771C2CCF"/>
    <w:rsid w:val="7724202B"/>
    <w:rsid w:val="77260C9B"/>
    <w:rsid w:val="78104A82"/>
    <w:rsid w:val="78113928"/>
    <w:rsid w:val="782B046B"/>
    <w:rsid w:val="789A3093"/>
    <w:rsid w:val="78B623DE"/>
    <w:rsid w:val="79BA1408"/>
    <w:rsid w:val="79EC345A"/>
    <w:rsid w:val="7A037F40"/>
    <w:rsid w:val="7B1156A0"/>
    <w:rsid w:val="7B1D7775"/>
    <w:rsid w:val="7B3A36A9"/>
    <w:rsid w:val="7B5444C2"/>
    <w:rsid w:val="7CC273FE"/>
    <w:rsid w:val="7CFB501D"/>
    <w:rsid w:val="7D3751AD"/>
    <w:rsid w:val="7D726D57"/>
    <w:rsid w:val="7DA350EE"/>
    <w:rsid w:val="7DAD7FDA"/>
    <w:rsid w:val="7DB8777E"/>
    <w:rsid w:val="7ED67998"/>
    <w:rsid w:val="7F021588"/>
    <w:rsid w:val="7F601B7C"/>
    <w:rsid w:val="7F8F18F2"/>
    <w:rsid w:val="7FBD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link w:val="25"/>
    <w:unhideWhenUsed/>
    <w:qFormat/>
    <w:uiPriority w:val="99"/>
    <w:pPr>
      <w:spacing w:line="420" w:lineRule="exact"/>
    </w:pPr>
    <w:rPr>
      <w:sz w:val="24"/>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rPr>
  </w:style>
  <w:style w:type="paragraph" w:styleId="7">
    <w:name w:val="Date"/>
    <w:basedOn w:val="1"/>
    <w:next w:val="1"/>
    <w:qFormat/>
    <w:uiPriority w:val="0"/>
    <w:pPr>
      <w:widowControl/>
      <w:ind w:left="100" w:leftChars="2500"/>
      <w:jc w:val="left"/>
    </w:pPr>
    <w:rPr>
      <w:kern w:val="0"/>
    </w:r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uiPriority w:val="0"/>
    <w:pPr>
      <w:spacing w:line="360" w:lineRule="exact"/>
      <w:ind w:left="630" w:leftChars="300"/>
    </w:pPr>
    <w:rPr>
      <w:rFonts w:eastAsia="楷体_GB2312"/>
      <w:sz w:val="28"/>
    </w:rPr>
  </w:style>
  <w:style w:type="paragraph" w:styleId="12">
    <w:name w:val="Normal (Web)"/>
    <w:basedOn w:val="1"/>
    <w:qFormat/>
    <w:uiPriority w:val="0"/>
    <w:pPr>
      <w:spacing w:before="100" w:beforeAutospacing="1" w:after="100" w:afterAutospacing="1"/>
      <w:jc w:val="left"/>
    </w:pPr>
    <w:rPr>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表格文字"/>
    <w:basedOn w:val="1"/>
    <w:qFormat/>
    <w:uiPriority w:val="0"/>
    <w:pPr>
      <w:spacing w:before="25" w:after="25"/>
    </w:pPr>
    <w:rPr>
      <w:bCs/>
      <w:spacing w:val="10"/>
    </w:rPr>
  </w:style>
  <w:style w:type="character" w:customStyle="1" w:styleId="18">
    <w:name w:val="页眉 Char"/>
    <w:basedOn w:val="15"/>
    <w:link w:val="10"/>
    <w:qFormat/>
    <w:uiPriority w:val="99"/>
    <w:rPr>
      <w:rFonts w:ascii="Times New Roman" w:hAnsi="Times New Roman" w:eastAsia="宋体" w:cs="Times New Roman"/>
      <w:sz w:val="18"/>
      <w:szCs w:val="18"/>
    </w:rPr>
  </w:style>
  <w:style w:type="character" w:customStyle="1" w:styleId="19">
    <w:name w:val="页脚 Char"/>
    <w:basedOn w:val="15"/>
    <w:link w:val="9"/>
    <w:qFormat/>
    <w:uiPriority w:val="99"/>
    <w:rPr>
      <w:rFonts w:ascii="Times New Roman" w:hAnsi="Times New Roman" w:eastAsia="宋体" w:cs="Times New Roman"/>
      <w:sz w:val="18"/>
      <w:szCs w:val="18"/>
    </w:rPr>
  </w:style>
  <w:style w:type="character" w:customStyle="1" w:styleId="20">
    <w:name w:val="批注框文本 Char"/>
    <w:basedOn w:val="15"/>
    <w:link w:val="8"/>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附录表标题"/>
    <w:next w:val="1"/>
    <w:qFormat/>
    <w:uiPriority w:val="0"/>
    <w:pPr>
      <w:numPr>
        <w:ilvl w:val="0"/>
        <w:numId w:val="1"/>
      </w:numPr>
      <w:jc w:val="center"/>
      <w:textAlignment w:val="baseline"/>
    </w:pPr>
    <w:rPr>
      <w:rFonts w:ascii="黑体" w:hAnsi="Times New Roman" w:eastAsia="黑体" w:cs="Times New Roman"/>
      <w:kern w:val="21"/>
      <w:sz w:val="21"/>
      <w:lang w:val="en-US" w:eastAsia="zh-CN" w:bidi="ar-SA"/>
    </w:rPr>
  </w:style>
  <w:style w:type="paragraph" w:customStyle="1" w:styleId="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5">
    <w:name w:val="正文文本 Char"/>
    <w:basedOn w:val="15"/>
    <w:link w:val="4"/>
    <w:uiPriority w:val="99"/>
    <w:rPr>
      <w:kern w:val="2"/>
      <w:sz w:val="24"/>
    </w:rPr>
  </w:style>
  <w:style w:type="paragraph" w:customStyle="1" w:styleId="26">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1667</Words>
  <Characters>9504</Characters>
  <Lines>79</Lines>
  <Paragraphs>22</Paragraphs>
  <TotalTime>1178</TotalTime>
  <ScaleCrop>false</ScaleCrop>
  <LinksUpToDate>false</LinksUpToDate>
  <CharactersWithSpaces>11149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2021-08-03T02:34:27Z</dcterms:modified>
  <cp:revision>512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445D9748613C440DA7F931EF32F67F10</vt:lpwstr>
  </property>
</Properties>
</file>