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596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96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受审核部门：管理层、办公室、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项目管理</w:t>
            </w:r>
            <w:r>
              <w:rPr>
                <w:rFonts w:hint="eastAsia"/>
                <w:sz w:val="24"/>
                <w:szCs w:val="24"/>
              </w:rPr>
              <w:t>部、财务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室</w:t>
            </w:r>
            <w:r>
              <w:rPr>
                <w:rFonts w:hint="eastAsia"/>
                <w:sz w:val="24"/>
                <w:szCs w:val="24"/>
              </w:rPr>
              <w:t>，  陪同：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宋永平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10596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审核员：姜海军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sz w:val="24"/>
                <w:szCs w:val="24"/>
              </w:rPr>
              <w:t xml:space="preserve"> 20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月2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1059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审核条款：见计划</w:t>
            </w:r>
            <w:bookmarkStart w:id="1" w:name="_GoBack"/>
            <w:bookmarkEnd w:id="1"/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>
      <w:pPr>
        <w:jc w:val="center"/>
      </w:pP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041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75" w:type="dxa"/>
          </w:tcPr>
          <w:p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041" w:type="dxa"/>
          </w:tcPr>
          <w:p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检查记录</w:t>
            </w:r>
          </w:p>
        </w:tc>
        <w:tc>
          <w:tcPr>
            <w:tcW w:w="993" w:type="dxa"/>
          </w:tcPr>
          <w:p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0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80" w:lineRule="exact"/>
            </w:pPr>
            <w:r>
              <w:rPr>
                <w:rFonts w:hint="eastAsia" w:ascii="宋体" w:hAnsi="宋体"/>
                <w:b/>
                <w:szCs w:val="21"/>
              </w:rPr>
              <w:t>受审核组织概况（管理体系组织结构、产品覆盖范围、过程和运作场所等情况）: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tblHeader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80" w:lineRule="exact"/>
              <w:jc w:val="center"/>
            </w:pPr>
          </w:p>
        </w:tc>
        <w:tc>
          <w:tcPr>
            <w:tcW w:w="130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1、查最高管理层及管理者代表（适用时）：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/>
                <w:u w:val="single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）组织的最高管理者：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hint="eastAsia" w:ascii="宋体" w:hAnsi="宋体"/>
                <w:u w:val="single"/>
                <w:lang w:eastAsia="zh-CN"/>
              </w:rPr>
              <w:t>杨爱梅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</w:rPr>
              <w:t>，与组织的文件：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 w:ascii="宋体" w:hAnsi="宋体"/>
              </w:rPr>
              <w:t>一致，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</w:rPr>
              <w:t>不一致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 w:ascii="宋体" w:hAnsi="宋体"/>
              </w:rPr>
              <w:t>任命管理者代表，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刘亚兰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hint="eastAsia" w:ascii="宋体" w:hAnsi="宋体"/>
              </w:rPr>
              <w:t>，与组织的任命：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 w:ascii="宋体" w:hAnsi="宋体"/>
              </w:rPr>
              <w:t>一致，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</w:rPr>
              <w:t>不一致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tblHeader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80" w:lineRule="exact"/>
              <w:jc w:val="center"/>
            </w:pPr>
          </w:p>
        </w:tc>
        <w:tc>
          <w:tcPr>
            <w:tcW w:w="1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2、体系人数：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/>
                <w:u w:val="single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）组织人数：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hint="eastAsia" w:ascii="宋体" w:hAnsi="宋体"/>
                <w:u w:val="single"/>
              </w:rPr>
              <w:t>25</w:t>
            </w:r>
            <w:r>
              <w:rPr>
                <w:rFonts w:ascii="宋体" w:hAnsi="宋体"/>
                <w:u w:val="single"/>
              </w:rPr>
              <w:t xml:space="preserve">   </w:t>
            </w:r>
            <w:r>
              <w:rPr>
                <w:rFonts w:hint="eastAsia" w:ascii="宋体" w:hAnsi="宋体"/>
              </w:rPr>
              <w:t>人；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）各体系人数：</w:t>
            </w:r>
            <w:r>
              <w:rPr>
                <w:rFonts w:ascii="宋体" w:hAnsi="宋体"/>
              </w:rPr>
              <w:t>Q</w:t>
            </w:r>
            <w:r>
              <w:rPr>
                <w:rFonts w:hint="eastAsia" w:ascii="宋体" w:hAnsi="宋体"/>
              </w:rPr>
              <w:t>/EC/MD：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  <w:u w:val="single"/>
              </w:rPr>
              <w:t>25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hint="eastAsia" w:ascii="宋体" w:hAnsi="宋体"/>
              </w:rPr>
              <w:t>人；</w:t>
            </w:r>
            <w:r>
              <w:rPr>
                <w:rFonts w:ascii="宋体" w:hAnsi="宋体"/>
              </w:rPr>
              <w:t>E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  <w:u w:val="single"/>
              </w:rPr>
              <w:t>25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</w:rPr>
              <w:t>人；</w:t>
            </w:r>
            <w:r>
              <w:rPr>
                <w:rFonts w:ascii="宋体" w:hAnsi="宋体"/>
              </w:rPr>
              <w:t xml:space="preserve"> S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hint="eastAsia" w:ascii="宋体" w:hAnsi="宋体"/>
                <w:u w:val="single"/>
              </w:rPr>
              <w:t>25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</w:rPr>
              <w:t xml:space="preserve">人； 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当组织人数与体系人数不一致时，作出说明：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</w:p>
          <w:p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hint="eastAsia" w:ascii="宋体" w:hAnsi="宋体"/>
                <w:szCs w:val="21"/>
              </w:rPr>
              <w:t>生产服务班次安排（班次及人数）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single"/>
              </w:rPr>
              <w:t>一班</w:t>
            </w:r>
            <w:r>
              <w:rPr>
                <w:rFonts w:ascii="宋体" w:hAnsi="宋体"/>
                <w:szCs w:val="21"/>
                <w:u w:val="single"/>
              </w:rPr>
              <w:t xml:space="preserve">          </w:t>
            </w:r>
          </w:p>
          <w:p>
            <w:pPr>
              <w:adjustRightInd w:val="0"/>
              <w:spacing w:line="280" w:lineRule="exact"/>
              <w:jc w:val="left"/>
            </w:pPr>
            <w:r>
              <w:rPr>
                <w:rFonts w:hint="eastAsia" w:ascii="宋体" w:hAnsi="宋体"/>
                <w:szCs w:val="21"/>
              </w:rPr>
              <w:t>非长期雇员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  <w:u w:val="single"/>
              </w:rPr>
              <w:t>0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人。其它说明：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            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  <w:tblHeader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80" w:lineRule="exact"/>
              <w:jc w:val="center"/>
            </w:pPr>
          </w:p>
        </w:tc>
        <w:tc>
          <w:tcPr>
            <w:tcW w:w="1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3、组织机构设置：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）部门（分公司、车间）设置为：</w:t>
            </w:r>
          </w:p>
          <w:p>
            <w:pPr>
              <w:adjustRightInd w:val="0"/>
              <w:spacing w:line="280" w:lineRule="exact"/>
              <w:ind w:firstLine="480" w:firstLineChars="200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办公室、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项目管理</w:t>
            </w:r>
            <w:r>
              <w:rPr>
                <w:rFonts w:hint="eastAsia"/>
                <w:sz w:val="24"/>
                <w:szCs w:val="24"/>
                <w:u w:val="single"/>
              </w:rPr>
              <w:t>部(含项目部)、财务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室</w:t>
            </w:r>
            <w:r>
              <w:rPr>
                <w:rFonts w:hint="eastAsia" w:ascii="宋体"/>
                <w:szCs w:val="21"/>
                <w:u w:val="single"/>
              </w:rPr>
              <w:t>。</w:t>
            </w:r>
          </w:p>
          <w:p>
            <w:pPr>
              <w:adjustRightInd w:val="0"/>
              <w:spacing w:line="280" w:lineRule="exact"/>
              <w:ind w:firstLine="420" w:firstLineChars="200"/>
              <w:jc w:val="left"/>
              <w:rPr>
                <w:rFonts w:ascii="宋体"/>
                <w:szCs w:val="21"/>
                <w:u w:val="single"/>
              </w:rPr>
            </w:pPr>
          </w:p>
          <w:p>
            <w:pPr>
              <w:adjustRightInd w:val="0"/>
              <w:spacing w:line="280" w:lineRule="exact"/>
              <w:jc w:val="left"/>
              <w:rPr>
                <w:rFonts w:ascii="宋体"/>
                <w:color w:val="1F497D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2）组织存在多场所（含</w:t>
            </w:r>
            <w:r>
              <w:rPr>
                <w:rFonts w:hint="eastAsia" w:ascii="宋体"/>
                <w:szCs w:val="21"/>
              </w:rPr>
              <w:t>临时多场所）</w:t>
            </w:r>
            <w:r>
              <w:rPr>
                <w:rFonts w:hint="eastAsia" w:ascii="宋体" w:hAnsi="宋体"/>
                <w:szCs w:val="21"/>
              </w:rPr>
              <w:t>、生产线情况：</w:t>
            </w:r>
            <w:r>
              <w:rPr>
                <w:rFonts w:hint="eastAsia" w:ascii="宋体"/>
                <w:color w:val="1F497D"/>
                <w:szCs w:val="21"/>
              </w:rPr>
              <w:t xml:space="preserve"> 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不存在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存在，与组织填报《</w:t>
            </w:r>
            <w:r>
              <w:rPr>
                <w:rFonts w:hint="eastAsia"/>
              </w:rPr>
              <w:t>多名称/多场所/在建（施）项目清单</w:t>
            </w:r>
            <w:r>
              <w:rPr>
                <w:rFonts w:hint="eastAsia" w:ascii="宋体" w:hAnsi="宋体"/>
                <w:szCs w:val="21"/>
              </w:rPr>
              <w:t>》一致。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存在，与组织填报《</w:t>
            </w:r>
            <w:r>
              <w:rPr>
                <w:rFonts w:hint="eastAsia"/>
              </w:rPr>
              <w:t>多名称/多场所/在建（施）项目清单</w:t>
            </w:r>
            <w:r>
              <w:rPr>
                <w:rFonts w:hint="eastAsia" w:ascii="宋体" w:hAnsi="宋体"/>
                <w:szCs w:val="21"/>
              </w:rPr>
              <w:t>》不一致，说明：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  <w:p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3）组织管理体系文件中的组织机构设置和职责的规定与组织情况：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 w:ascii="宋体" w:hAnsi="宋体"/>
              </w:rPr>
              <w:t>一致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</w:rPr>
              <w:t>不一致，对不一致情况的改进要求：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tblHeader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80" w:lineRule="exact"/>
              <w:jc w:val="center"/>
            </w:pPr>
          </w:p>
        </w:tc>
        <w:tc>
          <w:tcPr>
            <w:tcW w:w="1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4、关键场所（针对E、S时，关注如车间、污水处理站、锅炉房、危险化学品仓库、重要设备设施所在的场所等）为：</w:t>
            </w:r>
          </w:p>
          <w:p>
            <w:pPr>
              <w:adjustRightInd w:val="0"/>
              <w:spacing w:line="280" w:lineRule="exact"/>
              <w:ind w:firstLine="210" w:firstLineChars="100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hint="eastAsia" w:ascii="宋体"/>
                <w:szCs w:val="21"/>
                <w:u w:val="single"/>
              </w:rPr>
              <w:t>物业服务现场、办公室。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查部门及关键场所是否正常运行：■是　□否，说明：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5、体系覆盖产品、服务、活动范围为：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</w:p>
          <w:p>
            <w:pPr>
              <w:rPr>
                <w:u w:val="single"/>
              </w:rPr>
            </w:pPr>
            <w:bookmarkStart w:id="0" w:name="审核范围"/>
            <w:r>
              <w:t>E</w:t>
            </w:r>
            <w:r>
              <w:rPr>
                <w:u w:val="single"/>
              </w:rPr>
              <w:t>：物业管理服务所涉及场所的相关环境管理活动</w:t>
            </w:r>
          </w:p>
          <w:p>
            <w:pPr>
              <w:rPr>
                <w:u w:val="single"/>
              </w:rPr>
            </w:pPr>
            <w:r>
              <w:rPr>
                <w:u w:val="single"/>
              </w:rPr>
              <w:t>Q：物业管理服务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u w:val="single"/>
              </w:rPr>
              <w:t>O：物业管理服务所涉及场所的相关职业健康安全管理活动</w:t>
            </w:r>
            <w:bookmarkEnd w:id="0"/>
          </w:p>
          <w:p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333333"/>
                <w:szCs w:val="21"/>
              </w:rPr>
              <w:t>确认体系文件中描述的、与申请的、与实际的是否一致：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 w:ascii="宋体" w:hAnsi="宋体"/>
              </w:rPr>
              <w:t>一致，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</w:rPr>
              <w:t>不一致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tblHeader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80" w:lineRule="exact"/>
              <w:jc w:val="center"/>
            </w:pPr>
          </w:p>
        </w:tc>
        <w:tc>
          <w:tcPr>
            <w:tcW w:w="130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6、（</w:t>
            </w:r>
            <w:r>
              <w:rPr>
                <w:rFonts w:ascii="宋体" w:hAnsi="宋体"/>
                <w:color w:val="000000"/>
                <w:szCs w:val="21"/>
              </w:rPr>
              <w:t>QMS</w:t>
            </w:r>
            <w:r>
              <w:rPr>
                <w:rFonts w:hint="eastAsia" w:ascii="宋体" w:hAnsi="宋体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EC</w:t>
            </w:r>
            <w:r>
              <w:rPr>
                <w:rFonts w:hint="eastAsia" w:ascii="宋体" w:hAnsi="宋体"/>
                <w:color w:val="000000"/>
                <w:szCs w:val="21"/>
              </w:rPr>
              <w:t>）有无删减</w:t>
            </w:r>
            <w:r>
              <w:rPr>
                <w:rFonts w:hint="eastAsia" w:ascii="宋体" w:hAnsi="宋体"/>
                <w:color w:val="1F497D"/>
                <w:szCs w:val="21"/>
              </w:rPr>
              <w:t>或不适用的条款、要求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□无　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■</w:t>
            </w:r>
            <w:r>
              <w:rPr>
                <w:rFonts w:hint="eastAsia" w:ascii="宋体" w:hAnsi="宋体"/>
                <w:color w:val="000000"/>
                <w:szCs w:val="21"/>
              </w:rPr>
              <w:t>有，条款及要求：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　  Q8.3   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■</w:t>
            </w:r>
            <w:r>
              <w:rPr>
                <w:rFonts w:hint="eastAsia" w:ascii="宋体" w:hAnsi="宋体"/>
                <w:color w:val="000000"/>
                <w:szCs w:val="21"/>
              </w:rPr>
              <w:t>删减</w:t>
            </w:r>
            <w:r>
              <w:rPr>
                <w:rFonts w:hint="eastAsia" w:ascii="宋体" w:hAnsi="宋体"/>
                <w:color w:val="1F497D"/>
                <w:szCs w:val="21"/>
              </w:rPr>
              <w:t>或不适用合理</w:t>
            </w:r>
            <w:r>
              <w:rPr>
                <w:rFonts w:hint="eastAsia" w:ascii="宋体" w:hAnsi="宋体"/>
                <w:color w:val="000000"/>
                <w:szCs w:val="21"/>
              </w:rPr>
              <w:t>，理由：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Arial" w:hAnsi="Arial" w:cs="Arial"/>
                <w:spacing w:val="-5"/>
                <w:szCs w:val="21"/>
                <w:u w:val="single"/>
              </w:rPr>
              <w:t xml:space="preserve"> </w:t>
            </w:r>
            <w:r>
              <w:rPr>
                <w:rFonts w:hint="eastAsia" w:ascii="Arial" w:hAnsi="Arial" w:cs="Arial"/>
                <w:spacing w:val="-5"/>
                <w:szCs w:val="21"/>
                <w:u w:val="single"/>
              </w:rPr>
              <w:t>按照标准和顾客要求物业服务无需再设计开发，删减Q8.3条款，删减合理。</w:t>
            </w:r>
            <w:r>
              <w:rPr>
                <w:rFonts w:ascii="Arial" w:hAnsi="Arial" w:cs="Arial"/>
                <w:spacing w:val="-5"/>
                <w:szCs w:val="21"/>
                <w:u w:val="single"/>
              </w:rPr>
              <w:t xml:space="preserve">  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jc w:val="center"/>
            </w:pPr>
            <w:r>
              <w:br w:type="page"/>
            </w:r>
            <w:r>
              <w:rPr>
                <w:rFonts w:hint="eastAsia"/>
              </w:rPr>
              <w:t>2</w:t>
            </w:r>
          </w:p>
        </w:tc>
        <w:tc>
          <w:tcPr>
            <w:tcW w:w="1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jc w:val="left"/>
            </w:pPr>
            <w:r>
              <w:rPr>
                <w:rFonts w:hint="eastAsia" w:ascii="宋体" w:hAnsi="宋体"/>
                <w:b/>
                <w:bCs/>
              </w:rPr>
              <w:t>管理体系文件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tblHeader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jc w:val="center"/>
            </w:pPr>
          </w:p>
        </w:tc>
        <w:tc>
          <w:tcPr>
            <w:tcW w:w="1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、组织从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  <w:u w:val="single"/>
              </w:rPr>
              <w:t>20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21</w:t>
            </w:r>
            <w:r>
              <w:rPr>
                <w:rFonts w:hint="eastAsia" w:ascii="宋体" w:hAnsi="宋体"/>
                <w:u w:val="single"/>
              </w:rPr>
              <w:t>年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/>
                <w:u w:val="single"/>
              </w:rPr>
              <w:t>月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10日起</w:t>
            </w:r>
            <w:r>
              <w:rPr>
                <w:rFonts w:hint="eastAsia" w:ascii="宋体" w:hAnsi="宋体"/>
              </w:rPr>
              <w:t>开始贯标工作：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■</w:t>
            </w:r>
            <w:r>
              <w:rPr>
                <w:rFonts w:hint="eastAsia" w:ascii="宋体" w:hAnsi="宋体"/>
                <w:szCs w:val="21"/>
              </w:rPr>
              <w:t>自行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szCs w:val="21"/>
              </w:rPr>
              <w:t>□聘请咨询公司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人员：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 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tblHeader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jc w:val="center"/>
            </w:pPr>
          </w:p>
        </w:tc>
        <w:tc>
          <w:tcPr>
            <w:tcW w:w="1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</w:rPr>
              <w:t>建立的管理体系文件，包括：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/>
                <w:color w:val="auto"/>
              </w:rPr>
            </w:pPr>
            <w:r>
              <w:rPr>
                <w:rFonts w:hint="eastAsia" w:ascii="宋体" w:hAnsi="宋体" w:cs="宋体"/>
                <w:szCs w:val="21"/>
              </w:rPr>
              <w:t>■</w:t>
            </w:r>
            <w:r>
              <w:rPr>
                <w:rFonts w:hint="eastAsia" w:ascii="宋体" w:hAnsi="宋体"/>
              </w:rPr>
              <w:t>手册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；</w:t>
            </w:r>
            <w:r>
              <w:rPr>
                <w:rFonts w:hint="eastAsia" w:ascii="宋体" w:hAnsi="宋体" w:cs="宋体"/>
                <w:szCs w:val="21"/>
              </w:rPr>
              <w:t>■</w:t>
            </w:r>
            <w:r>
              <w:rPr>
                <w:rFonts w:hint="eastAsia" w:ascii="宋体" w:hAnsi="宋体"/>
              </w:rPr>
              <w:t>程序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■</w:t>
            </w:r>
            <w:r>
              <w:rPr>
                <w:rFonts w:hint="eastAsia" w:ascii="宋体" w:hAnsi="宋体" w:cs="Arial"/>
                <w:color w:val="auto"/>
                <w:szCs w:val="21"/>
              </w:rPr>
              <w:t>管理体系范围；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■</w:t>
            </w:r>
            <w:r>
              <w:rPr>
                <w:rFonts w:hint="eastAsia" w:ascii="宋体" w:hAnsi="宋体"/>
                <w:color w:val="auto"/>
              </w:rPr>
              <w:t>方针；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■</w:t>
            </w:r>
            <w:r>
              <w:rPr>
                <w:rFonts w:hint="eastAsia" w:ascii="宋体" w:hAnsi="宋体"/>
                <w:color w:val="auto"/>
              </w:rPr>
              <w:t>目标</w:t>
            </w:r>
            <w:r>
              <w:rPr>
                <w:rFonts w:ascii="宋体" w:hAnsi="宋体"/>
                <w:color w:val="auto"/>
              </w:rPr>
              <w:t xml:space="preserve"> </w:t>
            </w:r>
            <w:r>
              <w:rPr>
                <w:rFonts w:hint="eastAsia" w:ascii="宋体" w:hAnsi="宋体"/>
                <w:color w:val="auto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■</w:t>
            </w:r>
            <w:r>
              <w:rPr>
                <w:rFonts w:hint="eastAsia" w:ascii="宋体" w:hAnsi="宋体"/>
                <w:color w:val="auto"/>
              </w:rPr>
              <w:t>作业文件</w:t>
            </w:r>
            <w:r>
              <w:rPr>
                <w:rFonts w:ascii="宋体" w:hAnsi="宋体"/>
                <w:color w:val="auto"/>
              </w:rPr>
              <w:t xml:space="preserve"> </w:t>
            </w:r>
            <w:r>
              <w:rPr>
                <w:rFonts w:hint="eastAsia" w:ascii="宋体" w:hAnsi="宋体"/>
                <w:color w:val="auto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■</w:t>
            </w:r>
            <w:r>
              <w:rPr>
                <w:rFonts w:hint="eastAsia" w:ascii="宋体" w:hAnsi="宋体"/>
                <w:color w:val="auto"/>
              </w:rPr>
              <w:t>记录等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■</w:t>
            </w:r>
            <w:r>
              <w:rPr>
                <w:rFonts w:hint="eastAsia" w:ascii="宋体" w:hAnsi="宋体" w:cs="Arial"/>
                <w:color w:val="auto"/>
                <w:szCs w:val="21"/>
              </w:rPr>
              <w:t>必需的运行控制文件，如：</w:t>
            </w:r>
          </w:p>
          <w:p>
            <w:pPr>
              <w:adjustRightInd w:val="0"/>
              <w:spacing w:line="360" w:lineRule="auto"/>
              <w:ind w:firstLine="630" w:firstLineChars="300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Arial" w:hAnsi="Arial" w:cs="Arial"/>
                <w:color w:val="auto"/>
                <w:szCs w:val="21"/>
                <w:lang w:val="en-US" w:eastAsia="zh-CN"/>
              </w:rPr>
              <w:t>物业</w:t>
            </w:r>
            <w:r>
              <w:rPr>
                <w:rFonts w:hint="eastAsia" w:ascii="Arial" w:hAnsi="Arial" w:cs="Arial"/>
                <w:color w:val="auto"/>
                <w:szCs w:val="21"/>
              </w:rPr>
              <w:t>管理制度、作业规范。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jc w:val="center"/>
            </w:pPr>
          </w:p>
          <w:p>
            <w:pPr>
              <w:adjustRightInd w:val="0"/>
              <w:spacing w:line="360" w:lineRule="auto"/>
            </w:pPr>
          </w:p>
          <w:p>
            <w:pPr>
              <w:adjustRightInd w:val="0"/>
              <w:spacing w:line="360" w:lineRule="auto"/>
              <w:jc w:val="center"/>
            </w:pPr>
            <w:r>
              <w:t>O</w:t>
            </w:r>
            <w:r>
              <w:rPr>
                <w:rFonts w:hint="eastAsia"/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tblHeader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jc w:val="center"/>
            </w:pPr>
          </w:p>
        </w:tc>
        <w:tc>
          <w:tcPr>
            <w:tcW w:w="1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</w:rPr>
              <w:t>3、该组织管理体系于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hint="eastAsia" w:ascii="宋体" w:hAnsi="宋体"/>
                <w:u w:val="single"/>
              </w:rPr>
              <w:t>20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21</w:t>
            </w:r>
            <w:r>
              <w:rPr>
                <w:rFonts w:hint="eastAsia" w:ascii="宋体" w:hAnsi="宋体"/>
                <w:u w:val="single"/>
              </w:rPr>
              <w:t>年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/>
                <w:u w:val="single"/>
              </w:rPr>
              <w:t>月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10</w:t>
            </w:r>
            <w:r>
              <w:rPr>
                <w:rFonts w:hint="eastAsia" w:ascii="宋体" w:hAnsi="宋体"/>
                <w:u w:val="single"/>
              </w:rPr>
              <w:t>日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</w:rPr>
              <w:t>开始正式运行，管理体系文件评价见文件审核报告</w:t>
            </w:r>
            <w:r>
              <w:rPr>
                <w:rFonts w:hint="eastAsia" w:ascii="宋体" w:hAnsi="宋体"/>
                <w:color w:val="auto"/>
              </w:rPr>
              <w:t>。验证文件评审报告所提出问题的纠正：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□文件评审未提出问题 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■</w:t>
            </w:r>
            <w:r>
              <w:rPr>
                <w:rFonts w:hint="eastAsia" w:ascii="宋体" w:hAnsi="宋体"/>
                <w:color w:val="auto"/>
              </w:rPr>
              <w:t>验证修订的文件资料，已纠正，符合；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□纠正仍存在问题，具体是：  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 xml:space="preserve">□需要补充的文件问题有： </w:t>
            </w:r>
            <w:r>
              <w:rPr>
                <w:rFonts w:hint="eastAsia"/>
                <w:color w:val="auto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jc w:val="center"/>
            </w:pPr>
          </w:p>
          <w:p>
            <w:pPr>
              <w:adjustRightInd w:val="0"/>
              <w:spacing w:line="360" w:lineRule="auto"/>
              <w:jc w:val="center"/>
            </w:pPr>
          </w:p>
          <w:p>
            <w:pPr>
              <w:adjustRightInd w:val="0"/>
              <w:spacing w:line="360" w:lineRule="auto"/>
            </w:pPr>
            <w:r>
              <w:rPr>
                <w:rFonts w:hint="eastAsia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tblHeader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jc w:val="center"/>
            </w:pPr>
          </w:p>
        </w:tc>
        <w:tc>
          <w:tcPr>
            <w:tcW w:w="1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4、结合该组织现场实际情况、内审、管理评审实施情况、体系文件的实施情况，确认组织管理体系运行时间：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 w:ascii="宋体" w:hAnsi="宋体"/>
              </w:rPr>
              <w:t>已超过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个月</w:t>
            </w:r>
          </w:p>
          <w:p>
            <w:pPr>
              <w:adjustRightIn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□不足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月（此情况下审核组可中断审核，当营业执照不足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个月时，可认为体系运行不足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月。中断审核前需要向审核部汇报并获得批准。）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</w:trPr>
        <w:tc>
          <w:tcPr>
            <w:tcW w:w="675" w:type="dxa"/>
            <w:vMerge w:val="restart"/>
          </w:tcPr>
          <w:p>
            <w:pPr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041" w:type="dxa"/>
          </w:tcPr>
          <w:p>
            <w:pPr>
              <w:adjustRightInd w:val="0"/>
              <w:spacing w:line="360" w:lineRule="auto"/>
              <w:jc w:val="left"/>
            </w:pPr>
            <w:r>
              <w:rPr>
                <w:rFonts w:hint="eastAsia" w:ascii="宋体" w:hAnsi="宋体"/>
                <w:szCs w:val="21"/>
              </w:rPr>
              <w:t>管理体系的方针、目标/指标/措施方案及实现情况：</w:t>
            </w:r>
          </w:p>
        </w:tc>
        <w:tc>
          <w:tcPr>
            <w:tcW w:w="993" w:type="dxa"/>
          </w:tcPr>
          <w:p>
            <w:pPr>
              <w:adjustRightIn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</w:trPr>
        <w:tc>
          <w:tcPr>
            <w:tcW w:w="675" w:type="dxa"/>
            <w:vMerge w:val="continue"/>
          </w:tcPr>
          <w:p>
            <w:pPr>
              <w:adjustRightInd w:val="0"/>
              <w:spacing w:line="360" w:lineRule="auto"/>
              <w:jc w:val="center"/>
            </w:pPr>
          </w:p>
        </w:tc>
        <w:tc>
          <w:tcPr>
            <w:tcW w:w="13041" w:type="dxa"/>
          </w:tcPr>
          <w:p>
            <w:pPr>
              <w:adjustRightInd w:val="0"/>
              <w:spacing w:line="360" w:lineRule="auto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</w:t>
            </w:r>
            <w:r>
              <w:rPr>
                <w:rFonts w:hint="eastAsia" w:ascii="宋体" w:hAnsi="宋体"/>
                <w:color w:val="auto"/>
                <w:szCs w:val="21"/>
              </w:rPr>
              <w:t>管理体系的方针：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■</w:t>
            </w:r>
            <w:r>
              <w:rPr>
                <w:rFonts w:hint="eastAsia" w:ascii="宋体" w:hAnsi="宋体"/>
                <w:color w:val="auto"/>
              </w:rPr>
              <w:t>适宜</w:t>
            </w:r>
            <w:r>
              <w:rPr>
                <w:rFonts w:ascii="宋体" w:hAnsi="宋体"/>
                <w:color w:val="auto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auto"/>
              </w:rPr>
              <w:t>□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不适宜：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>制定了相关的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目标、指标、措施方案：</w:t>
            </w:r>
          </w:p>
          <w:p>
            <w:pPr>
              <w:adjustRightInd w:val="0"/>
              <w:spacing w:line="360" w:lineRule="auto"/>
              <w:ind w:firstLine="420" w:firstLineChars="20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u w:val="single"/>
              </w:rPr>
              <w:t>质量目标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>个，环境和职业健康与安全目标3个，制定了管理方案　　　　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a.在各职能、层次、过程的建立情况，确定实现目标/指标的方案情况及实现情况：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>制定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>管理方案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>，符合要求。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>　　　　　　　　　　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</w:rPr>
              <w:t xml:space="preserve">                                                             </w:t>
            </w:r>
            <w:r>
              <w:rPr>
                <w:rFonts w:hint="eastAsia" w:ascii="宋体" w:hAnsi="宋体"/>
                <w:color w:val="auto"/>
                <w:szCs w:val="21"/>
              </w:rPr>
              <w:t>　　</w:t>
            </w:r>
            <w:r>
              <w:rPr>
                <w:rFonts w:ascii="宋体" w:hAnsi="宋体"/>
                <w:color w:val="auto"/>
                <w:szCs w:val="21"/>
              </w:rPr>
              <w:t xml:space="preserve">        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b.是否存在不适宜情况：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>有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   </w:t>
            </w:r>
          </w:p>
        </w:tc>
        <w:tc>
          <w:tcPr>
            <w:tcW w:w="993" w:type="dxa"/>
          </w:tcPr>
          <w:p>
            <w:pPr>
              <w:adjustRightInd w:val="0"/>
              <w:spacing w:line="360" w:lineRule="auto"/>
              <w:jc w:val="center"/>
            </w:pPr>
            <w:r>
              <w:t>O</w:t>
            </w:r>
            <w:r>
              <w:rPr>
                <w:rFonts w:hint="eastAsia"/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75" w:type="dxa"/>
            <w:vMerge w:val="restart"/>
          </w:tcPr>
          <w:p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13041" w:type="dxa"/>
          </w:tcPr>
          <w:p>
            <w:pPr>
              <w:adjustRightInd w:val="0"/>
              <w:spacing w:line="360" w:lineRule="auto"/>
              <w:jc w:val="left"/>
            </w:pPr>
            <w:r>
              <w:rPr>
                <w:rFonts w:hint="eastAsia" w:ascii="宋体" w:hAnsi="宋体"/>
                <w:b/>
                <w:bCs/>
                <w:szCs w:val="21"/>
              </w:rPr>
              <w:t>组织内部审核策划和实施情况</w:t>
            </w:r>
          </w:p>
        </w:tc>
        <w:tc>
          <w:tcPr>
            <w:tcW w:w="993" w:type="dxa"/>
          </w:tcPr>
          <w:p>
            <w:pPr>
              <w:adjustRightInd w:val="0"/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atLeast"/>
        </w:trPr>
        <w:tc>
          <w:tcPr>
            <w:tcW w:w="675" w:type="dxa"/>
            <w:vMerge w:val="continue"/>
          </w:tcPr>
          <w:p>
            <w:pPr>
              <w:adjustRightInd w:val="0"/>
              <w:spacing w:line="360" w:lineRule="auto"/>
              <w:jc w:val="left"/>
            </w:pPr>
          </w:p>
        </w:tc>
        <w:tc>
          <w:tcPr>
            <w:tcW w:w="13041" w:type="dxa"/>
          </w:tcPr>
          <w:p>
            <w:pPr>
              <w:pStyle w:val="21"/>
              <w:numPr>
                <w:ilvl w:val="0"/>
                <w:numId w:val="1"/>
              </w:numPr>
              <w:adjustRightInd w:val="0"/>
              <w:spacing w:line="360" w:lineRule="auto"/>
              <w:ind w:left="0" w:firstLine="0" w:firstLineChars="0"/>
              <w:jc w:val="left"/>
              <w:textAlignment w:val="baseline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规定的内审频次：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</w:rPr>
              <w:t>一年一次</w:t>
            </w:r>
            <w:r>
              <w:t xml:space="preserve">  </w:t>
            </w:r>
            <w:r>
              <w:rPr>
                <w:rFonts w:hint="eastAsia"/>
              </w:rPr>
              <w:t>□其它：</w:t>
            </w:r>
            <w:r>
              <w:rPr>
                <w:rFonts w:hint="eastAsia" w:ascii="宋体" w:hAnsi="宋体"/>
                <w:u w:val="single"/>
              </w:rPr>
              <w:t>　　　　　</w:t>
            </w:r>
            <w:r>
              <w:rPr>
                <w:rFonts w:ascii="宋体" w:hAnsi="宋体"/>
                <w:u w:val="single"/>
              </w:rPr>
              <w:t xml:space="preserve"> </w:t>
            </w:r>
          </w:p>
          <w:p>
            <w:pPr>
              <w:tabs>
                <w:tab w:val="left" w:pos="2490"/>
              </w:tabs>
              <w:spacing w:line="360" w:lineRule="auto"/>
              <w:ind w:right="-328" w:rightChars="-156" w:firstLine="420" w:firstLineChars="200"/>
              <w:rPr>
                <w:rFonts w:hint="eastAsia" w:ascii="宋体" w:eastAsia="宋体"/>
                <w:lang w:eastAsia="zh-CN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、本次内审于</w:t>
            </w:r>
            <w:r>
              <w:rPr>
                <w:rFonts w:hint="eastAsia" w:ascii="宋体" w:hAnsi="宋体"/>
                <w:u w:val="single"/>
              </w:rPr>
              <w:t>　202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/>
                <w:u w:val="single"/>
              </w:rPr>
              <w:t xml:space="preserve">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>　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6</w:t>
            </w:r>
            <w:r>
              <w:rPr>
                <w:rFonts w:hint="eastAsia" w:ascii="宋体" w:hAnsi="宋体"/>
                <w:u w:val="single"/>
              </w:rPr>
              <w:t>　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>　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/>
                <w:u w:val="single"/>
              </w:rPr>
              <w:t>　</w:t>
            </w:r>
            <w:r>
              <w:rPr>
                <w:rFonts w:hint="eastAsia" w:ascii="宋体" w:hAnsi="宋体"/>
              </w:rPr>
              <w:t>日至</w:t>
            </w:r>
            <w:r>
              <w:rPr>
                <w:rFonts w:hint="eastAsia" w:ascii="宋体" w:hAnsi="宋体"/>
                <w:u w:val="single"/>
              </w:rPr>
              <w:t>　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9</w:t>
            </w:r>
            <w:r>
              <w:rPr>
                <w:rFonts w:hint="eastAsia" w:ascii="宋体" w:hAnsi="宋体"/>
                <w:u w:val="single"/>
              </w:rPr>
              <w:t>　</w:t>
            </w:r>
            <w:r>
              <w:rPr>
                <w:rFonts w:hint="eastAsia" w:ascii="宋体" w:hAnsi="宋体"/>
              </w:rPr>
              <w:t>日实施</w:t>
            </w:r>
            <w:r>
              <w:rPr>
                <w:rFonts w:hint="eastAsia" w:ascii="宋体" w:hAnsi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审核组组长：刘亚兰，审核组成员：夏红平，经过培训，并经总经理任命。</w:t>
            </w:r>
          </w:p>
          <w:p>
            <w:pPr>
              <w:adjustRightInd w:val="0"/>
              <w:spacing w:line="360" w:lineRule="auto"/>
              <w:jc w:val="left"/>
              <w:rPr>
                <w:u w:val="single"/>
              </w:rPr>
            </w:pPr>
            <w:r>
              <w:t>3</w:t>
            </w:r>
            <w:r>
              <w:rPr>
                <w:rFonts w:hint="eastAsia"/>
              </w:rPr>
              <w:t>、覆盖标准条款：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</w:rPr>
              <w:t>完全　□不完全：缺少</w:t>
            </w:r>
            <w:r>
              <w:rPr>
                <w:rFonts w:hint="eastAsia"/>
                <w:u w:val="single"/>
              </w:rPr>
              <w:t>　　　　　　　</w:t>
            </w:r>
            <w:r>
              <w:rPr>
                <w:u w:val="single"/>
              </w:rPr>
              <w:t xml:space="preserve">                                                  </w:t>
            </w:r>
            <w:r>
              <w:rPr>
                <w:rFonts w:hint="eastAsia"/>
                <w:u w:val="single"/>
              </w:rPr>
              <w:t>　　　　　</w:t>
            </w:r>
          </w:p>
          <w:p>
            <w:pPr>
              <w:adjustRightInd w:val="0"/>
              <w:spacing w:line="360" w:lineRule="auto"/>
              <w:jc w:val="left"/>
              <w:rPr>
                <w:u w:val="single"/>
              </w:rPr>
            </w:pPr>
            <w:r>
              <w:rPr>
                <w:rFonts w:hint="eastAsia"/>
              </w:rPr>
              <w:t>覆盖职能部门、分场所：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</w:rPr>
              <w:t>完全　□不完全：缺少</w:t>
            </w:r>
            <w:r>
              <w:rPr>
                <w:rFonts w:hint="eastAsia"/>
                <w:u w:val="single"/>
              </w:rPr>
              <w:t>　　　　</w:t>
            </w:r>
            <w:r>
              <w:rPr>
                <w:u w:val="single"/>
              </w:rPr>
              <w:t xml:space="preserve">                                   </w:t>
            </w:r>
            <w:r>
              <w:rPr>
                <w:rFonts w:hint="eastAsia"/>
                <w:u w:val="single"/>
              </w:rPr>
              <w:t>　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>　　　　　　　</w:t>
            </w:r>
          </w:p>
          <w:p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>时间分配：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</w:rPr>
              <w:t>合理</w:t>
            </w:r>
            <w:r>
              <w:t xml:space="preserve">  </w:t>
            </w:r>
            <w:r>
              <w:rPr>
                <w:rFonts w:hint="eastAsia"/>
              </w:rPr>
              <w:t>□不合理：　</w:t>
            </w:r>
            <w:r>
              <w:rPr>
                <w:rFonts w:hint="eastAsia"/>
                <w:u w:val="single"/>
              </w:rPr>
              <w:t>　　　　　　　　</w:t>
            </w:r>
            <w:r>
              <w:rPr>
                <w:u w:val="single"/>
              </w:rPr>
              <w:t xml:space="preserve">                                                                </w:t>
            </w:r>
            <w:r>
              <w:rPr>
                <w:rFonts w:hint="eastAsia"/>
                <w:u w:val="single"/>
              </w:rPr>
              <w:t>　　　　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/>
              </w:rPr>
              <w:t>内审组人员分工：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</w:rPr>
              <w:t>合理，具备公正性</w:t>
            </w:r>
            <w:r>
              <w:t xml:space="preserve">  </w:t>
            </w:r>
            <w:r>
              <w:rPr>
                <w:rFonts w:hint="eastAsia"/>
              </w:rPr>
              <w:t>□不合理：</w:t>
            </w:r>
            <w:r>
              <w:rPr>
                <w:rFonts w:hint="eastAsia"/>
                <w:u w:val="single"/>
              </w:rPr>
              <w:t>　　　　　　</w:t>
            </w:r>
            <w:r>
              <w:rPr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>　　　　　　　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、内审报告对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ascii="宋体" w:hAnsi="宋体"/>
              </w:rPr>
              <w:t xml:space="preserve">QMS  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ascii="宋体" w:hAnsi="宋体"/>
              </w:rPr>
              <w:t xml:space="preserve">EMS  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ascii="宋体" w:hAnsi="宋体"/>
              </w:rPr>
              <w:t>OHSMS</w:t>
            </w:r>
            <w:r>
              <w:rPr>
                <w:rFonts w:hint="eastAsia" w:ascii="宋体" w:hAnsi="宋体"/>
              </w:rPr>
              <w:t>的有效性和符合性的结论：</w:t>
            </w:r>
            <w:r>
              <w:rPr>
                <w:rFonts w:hint="eastAsia" w:ascii="宋体" w:hAnsi="宋体"/>
                <w:u w:val="single"/>
              </w:rPr>
              <w:t>公司的管理体系符合标准要求，体系运行有效。　　　</w:t>
            </w:r>
          </w:p>
        </w:tc>
        <w:tc>
          <w:tcPr>
            <w:tcW w:w="993" w:type="dxa"/>
          </w:tcPr>
          <w:p>
            <w:pPr>
              <w:adjustRightInd w:val="0"/>
              <w:spacing w:line="360" w:lineRule="auto"/>
              <w:jc w:val="left"/>
            </w:pPr>
            <w: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75" w:type="dxa"/>
            <w:vMerge w:val="restart"/>
          </w:tcPr>
          <w:p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>8</w:t>
            </w:r>
          </w:p>
        </w:tc>
        <w:tc>
          <w:tcPr>
            <w:tcW w:w="13041" w:type="dxa"/>
          </w:tcPr>
          <w:p>
            <w:pPr>
              <w:adjustRightInd w:val="0"/>
              <w:spacing w:line="360" w:lineRule="auto"/>
              <w:jc w:val="left"/>
            </w:pPr>
            <w:r>
              <w:rPr>
                <w:rFonts w:hint="eastAsia" w:ascii="宋体" w:hAnsi="宋体"/>
                <w:b/>
                <w:bCs/>
                <w:szCs w:val="21"/>
              </w:rPr>
              <w:t>组织进行管理评审的情况</w:t>
            </w:r>
          </w:p>
        </w:tc>
        <w:tc>
          <w:tcPr>
            <w:tcW w:w="993" w:type="dxa"/>
          </w:tcPr>
          <w:p>
            <w:pPr>
              <w:adjustRightInd w:val="0"/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75" w:type="dxa"/>
            <w:vMerge w:val="continue"/>
          </w:tcPr>
          <w:p>
            <w:pPr>
              <w:adjustRightInd w:val="0"/>
              <w:spacing w:line="360" w:lineRule="auto"/>
              <w:jc w:val="left"/>
            </w:pPr>
          </w:p>
        </w:tc>
        <w:tc>
          <w:tcPr>
            <w:tcW w:w="13041" w:type="dxa"/>
          </w:tcPr>
          <w:p>
            <w:pPr>
              <w:numPr>
                <w:ilvl w:val="0"/>
                <w:numId w:val="2"/>
              </w:numPr>
              <w:adjustRightInd w:val="0"/>
              <w:spacing w:line="360" w:lineRule="auto"/>
              <w:jc w:val="left"/>
              <w:textAlignment w:val="baseline"/>
              <w:rPr>
                <w:rFonts w:ascii="宋体"/>
              </w:rPr>
            </w:pPr>
            <w:r>
              <w:rPr>
                <w:rFonts w:hint="eastAsia" w:ascii="宋体" w:hAnsi="宋体"/>
              </w:rPr>
              <w:t>规定的管理评审频次：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</w:rPr>
              <w:t>一年一次</w:t>
            </w:r>
            <w:r>
              <w:t xml:space="preserve">  </w:t>
            </w:r>
            <w:r>
              <w:rPr>
                <w:rFonts w:hint="eastAsia"/>
              </w:rPr>
              <w:t>□其它：</w:t>
            </w:r>
            <w:r>
              <w:rPr>
                <w:rFonts w:hint="eastAsia" w:ascii="宋体" w:hAnsi="宋体"/>
                <w:u w:val="single"/>
              </w:rPr>
              <w:t>　　　　　</w:t>
            </w:r>
            <w:r>
              <w:rPr>
                <w:rFonts w:ascii="宋体" w:hAnsi="宋体"/>
                <w:u w:val="single"/>
              </w:rPr>
              <w:t xml:space="preserve">       </w:t>
            </w:r>
            <w:r>
              <w:rPr>
                <w:rFonts w:hint="eastAsia" w:ascii="宋体" w:hAnsi="宋体"/>
                <w:u w:val="single"/>
              </w:rPr>
              <w:t>　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numPr>
                <w:ilvl w:val="0"/>
                <w:numId w:val="2"/>
              </w:numPr>
              <w:adjustRightInd w:val="0"/>
              <w:spacing w:line="360" w:lineRule="auto"/>
              <w:jc w:val="left"/>
              <w:textAlignment w:val="baseline"/>
              <w:rPr>
                <w:rFonts w:ascii="宋体"/>
              </w:rPr>
            </w:pPr>
            <w:r>
              <w:rPr>
                <w:rFonts w:hint="eastAsia" w:ascii="宋体" w:hAnsi="宋体"/>
              </w:rPr>
              <w:t>本次管理评审于</w:t>
            </w:r>
            <w:r>
              <w:rPr>
                <w:rFonts w:hint="eastAsia" w:ascii="宋体" w:hAnsi="宋体"/>
                <w:u w:val="single"/>
              </w:rPr>
              <w:t>202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1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>　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24</w:t>
            </w:r>
            <w:r>
              <w:rPr>
                <w:rFonts w:hint="eastAsia" w:ascii="宋体" w:hAnsi="宋体"/>
              </w:rPr>
              <w:t>日实施，由最高管理者：</w:t>
            </w:r>
            <w:r>
              <w:rPr>
                <w:rFonts w:hint="eastAsia" w:ascii="宋体" w:hAnsi="宋体"/>
                <w:lang w:val="en-US" w:eastAsia="zh-CN"/>
              </w:rPr>
              <w:t>杨爱梅</w:t>
            </w:r>
            <w:r>
              <w:rPr>
                <w:rFonts w:hint="eastAsia" w:ascii="宋体" w:hAnsi="宋体"/>
              </w:rPr>
              <w:t>主持，实施方式：</w:t>
            </w:r>
            <w:r>
              <w:rPr>
                <w:rFonts w:hint="eastAsia" w:ascii="宋体" w:hAnsi="宋体" w:cs="宋体"/>
                <w:szCs w:val="21"/>
              </w:rPr>
              <w:t>■</w:t>
            </w:r>
            <w:r>
              <w:rPr>
                <w:rFonts w:hint="eastAsia" w:ascii="宋体" w:hAnsi="宋体"/>
                <w:u w:val="single"/>
              </w:rPr>
              <w:t>会议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评审输入内容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 w:ascii="宋体" w:hAnsi="宋体"/>
              </w:rPr>
              <w:t>完整、充分</w:t>
            </w:r>
            <w:r>
              <w:rPr>
                <w:rFonts w:hint="eastAsia" w:ascii="宋体" w:hAnsi="宋体"/>
              </w:rPr>
              <w:sym w:font="Wingdings 2" w:char="0052"/>
            </w:r>
            <w:r>
              <w:rPr>
                <w:rFonts w:hint="eastAsia" w:ascii="宋体" w:hAnsi="宋体"/>
              </w:rPr>
              <w:t>不完全：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ascii="宋体" w:hAnsi="宋体"/>
                <w:u w:val="single"/>
              </w:rPr>
              <w:t xml:space="preserve">                                                                         </w:t>
            </w:r>
          </w:p>
          <w:p>
            <w:pPr>
              <w:pStyle w:val="4"/>
              <w:spacing w:after="0" w:line="360" w:lineRule="auto"/>
              <w:ind w:left="0" w:leftChars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、管理评审报告对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ascii="宋体" w:hAnsi="宋体"/>
              </w:rPr>
              <w:t>QMS</w:t>
            </w:r>
            <w:r>
              <w:rPr>
                <w:rFonts w:hint="eastAsia" w:ascii="宋体" w:hAnsi="宋体"/>
              </w:rPr>
              <w:t>/MDQMS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ascii="宋体" w:hAnsi="宋体"/>
              </w:rPr>
              <w:t>EMS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ascii="宋体" w:hAnsi="宋体"/>
              </w:rPr>
              <w:t>OHSMS</w:t>
            </w:r>
            <w:r>
              <w:rPr>
                <w:rFonts w:hint="eastAsia" w:ascii="宋体" w:hAnsi="宋体"/>
              </w:rPr>
              <w:t>的适宜性、充分性和有效性的结论：</w:t>
            </w:r>
            <w:r>
              <w:rPr>
                <w:rFonts w:hint="eastAsia" w:ascii="宋体" w:hAnsi="宋体"/>
                <w:u w:val="single"/>
              </w:rPr>
              <w:t>公司的管理体系是适宜的、充分的和有效的，达到了顾客满意和持续改进的目的。　</w:t>
            </w:r>
            <w:r>
              <w:rPr>
                <w:rFonts w:hint="eastAsia" w:ascii="宋体" w:hAnsi="宋体"/>
                <w:szCs w:val="21"/>
                <w:u w:val="single"/>
              </w:rPr>
              <w:t>　　</w:t>
            </w:r>
          </w:p>
        </w:tc>
        <w:tc>
          <w:tcPr>
            <w:tcW w:w="993" w:type="dxa"/>
          </w:tcPr>
          <w:p>
            <w:pPr>
              <w:adjustRightInd w:val="0"/>
              <w:spacing w:line="360" w:lineRule="auto"/>
              <w:jc w:val="left"/>
            </w:pPr>
            <w:r>
              <w:t>Ok</w:t>
            </w:r>
          </w:p>
        </w:tc>
      </w:tr>
    </w:tbl>
    <w:p>
      <w:pPr>
        <w:jc w:val="center"/>
      </w:pPr>
    </w:p>
    <w:p/>
    <w:p>
      <w:pPr>
        <w:pStyle w:val="7"/>
      </w:pPr>
      <w:r>
        <w:rPr>
          <w:rFonts w:hint="eastAsia"/>
        </w:rPr>
        <w:t>说明：不符合标注</w:t>
      </w:r>
      <w: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6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6</w:t>
    </w:r>
    <w:r>
      <w:rPr>
        <w:b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2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5"/>
        <w:rFonts w:hint="eastAsia"/>
      </w:rPr>
      <w:t>北京国标联合认证有限公司</w:t>
    </w:r>
    <w:r>
      <w:rPr>
        <w:rStyle w:val="15"/>
      </w:rPr>
      <w:tab/>
    </w:r>
    <w:r>
      <w:rPr>
        <w:rStyle w:val="15"/>
      </w:rPr>
      <w:tab/>
    </w:r>
    <w:r>
      <w:rPr>
        <w:rStyle w:val="15"/>
      </w:rPr>
      <w:tab/>
    </w:r>
  </w:p>
  <w:p>
    <w:pPr>
      <w:pStyle w:val="8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B-I-13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ECDoEqAgAAPgQAAA4AAABkcnMvZTJvRG9jLnhtbK1TzY7T&#10;MBC+I/EOlu80bdUuS9R0tbQqQlp+pIUHcB0nsXA8Zuw2KQ8Ab7AnLtx5rn0Oxk63VMtlD+QQeTwz&#10;38z3zXhx1beG7RV6Dbbgk9GYM2UllNrWBf/8afPikjMfhC2FAasKflCeXy2fP1t0LldTaMCUChmB&#10;WJ93ruBNCC7PMi8b1Qo/AqcsOSvAVgQysc5KFB2htyabjscXWQdYOgSpvKfb9eDkR0R8CiBUlZZq&#10;DXLXKhsGVFRGBKLkG+08X6Zuq0rJ8KGqvArMFJyYhvSnInTexn+2XIi8RuEaLY8tiKe08IhTK7Sl&#10;oieotQiC7VD/A9VqieChCiMJbTYQSYoQi8n4kTa3jXAqcSGpvTuJ7v8frHy//4hMl7QJnFnR0sDv&#10;737c//x9/+s7m0R5Oudzirp1FBf619DH0EjVuxuQXzyzsGqErdU1InSNEiW1lzKzs9QBx0eQbfcO&#10;SqojdgESUF9hGwFJDUboNJrDaTSqD0zS5XRyOZuNySXJN51fzGdpdpnIH7Id+vBGQcvioeBIo0/o&#10;Yn/jA/Gg0IeQ1D0YXW60McnAersyyPaC1mSTvkidUvx5mLEx2EJMG9zxJtGMzAaOod/2R9m2UB6I&#10;MMKwdvTo6NAAfuOso5UruP+6E6g4M28tifZqQhRpR5Mxm7+ckoHnnu25R1hJUAUPnA3HVRj2eudQ&#10;1w1VGsZk4ZqErnTSIE5k6OrYN61V4nl8AnFvz+0U9ffZL/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HECDoE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t>ISC-</w:t>
                    </w:r>
                    <w:r>
                      <w:rPr>
                        <w:sz w:val="18"/>
                        <w:szCs w:val="18"/>
                      </w:rPr>
                      <w:t>B-I-13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w w:val="90"/>
      </w:rPr>
      <w:t>Beijing International Standard united Certification Co.,Ltd.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4D6C6DE1"/>
    <w:multiLevelType w:val="multilevel"/>
    <w:tmpl w:val="4D6C6DE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A55"/>
    <w:rsid w:val="000154C8"/>
    <w:rsid w:val="0001766F"/>
    <w:rsid w:val="00023D11"/>
    <w:rsid w:val="0003373A"/>
    <w:rsid w:val="00040963"/>
    <w:rsid w:val="00040B86"/>
    <w:rsid w:val="000430AD"/>
    <w:rsid w:val="000806AB"/>
    <w:rsid w:val="00084AFE"/>
    <w:rsid w:val="0008763D"/>
    <w:rsid w:val="000A21D2"/>
    <w:rsid w:val="000A434A"/>
    <w:rsid w:val="000B51BD"/>
    <w:rsid w:val="000C3135"/>
    <w:rsid w:val="000D4CD5"/>
    <w:rsid w:val="000D59C3"/>
    <w:rsid w:val="000E6E75"/>
    <w:rsid w:val="000E7E79"/>
    <w:rsid w:val="0011236D"/>
    <w:rsid w:val="00116E8D"/>
    <w:rsid w:val="00127554"/>
    <w:rsid w:val="00135DC3"/>
    <w:rsid w:val="0015111B"/>
    <w:rsid w:val="001870EA"/>
    <w:rsid w:val="001D6332"/>
    <w:rsid w:val="0020151D"/>
    <w:rsid w:val="00207A6A"/>
    <w:rsid w:val="002115CE"/>
    <w:rsid w:val="00236070"/>
    <w:rsid w:val="00244053"/>
    <w:rsid w:val="00264AD1"/>
    <w:rsid w:val="00271B5E"/>
    <w:rsid w:val="00273ECC"/>
    <w:rsid w:val="00283D22"/>
    <w:rsid w:val="002961F0"/>
    <w:rsid w:val="002B18AC"/>
    <w:rsid w:val="002B27FB"/>
    <w:rsid w:val="002B7EEE"/>
    <w:rsid w:val="002F33DC"/>
    <w:rsid w:val="00300277"/>
    <w:rsid w:val="00332D97"/>
    <w:rsid w:val="003423D8"/>
    <w:rsid w:val="00352D98"/>
    <w:rsid w:val="00390345"/>
    <w:rsid w:val="003A1BB9"/>
    <w:rsid w:val="003B4D0F"/>
    <w:rsid w:val="003C3DEE"/>
    <w:rsid w:val="003F3867"/>
    <w:rsid w:val="004047AF"/>
    <w:rsid w:val="00407E5C"/>
    <w:rsid w:val="00420186"/>
    <w:rsid w:val="004211BA"/>
    <w:rsid w:val="004238BA"/>
    <w:rsid w:val="00425D61"/>
    <w:rsid w:val="00431851"/>
    <w:rsid w:val="00431B61"/>
    <w:rsid w:val="00470AB6"/>
    <w:rsid w:val="00473390"/>
    <w:rsid w:val="00474273"/>
    <w:rsid w:val="00491526"/>
    <w:rsid w:val="00495D3A"/>
    <w:rsid w:val="004978F4"/>
    <w:rsid w:val="004A116F"/>
    <w:rsid w:val="004A564E"/>
    <w:rsid w:val="004C6BDB"/>
    <w:rsid w:val="004D335D"/>
    <w:rsid w:val="004E08FA"/>
    <w:rsid w:val="004E2167"/>
    <w:rsid w:val="004F0E5B"/>
    <w:rsid w:val="004F4BA6"/>
    <w:rsid w:val="005423EC"/>
    <w:rsid w:val="0054444F"/>
    <w:rsid w:val="005519E4"/>
    <w:rsid w:val="00554C63"/>
    <w:rsid w:val="00560705"/>
    <w:rsid w:val="00571BF6"/>
    <w:rsid w:val="0057467B"/>
    <w:rsid w:val="005A0A55"/>
    <w:rsid w:val="005A3C71"/>
    <w:rsid w:val="005B4A20"/>
    <w:rsid w:val="005C49C4"/>
    <w:rsid w:val="005F054F"/>
    <w:rsid w:val="005F4BD1"/>
    <w:rsid w:val="005F4FDE"/>
    <w:rsid w:val="00610CCF"/>
    <w:rsid w:val="00622035"/>
    <w:rsid w:val="00631159"/>
    <w:rsid w:val="0064674E"/>
    <w:rsid w:val="00652A28"/>
    <w:rsid w:val="006657A4"/>
    <w:rsid w:val="00677C9C"/>
    <w:rsid w:val="006C47E4"/>
    <w:rsid w:val="006E42FB"/>
    <w:rsid w:val="006F79B3"/>
    <w:rsid w:val="0072527A"/>
    <w:rsid w:val="00737EFD"/>
    <w:rsid w:val="00766787"/>
    <w:rsid w:val="007757F3"/>
    <w:rsid w:val="007807D9"/>
    <w:rsid w:val="0078720B"/>
    <w:rsid w:val="00787691"/>
    <w:rsid w:val="007D7CED"/>
    <w:rsid w:val="007F4540"/>
    <w:rsid w:val="00800195"/>
    <w:rsid w:val="00800667"/>
    <w:rsid w:val="00805DAC"/>
    <w:rsid w:val="008211F5"/>
    <w:rsid w:val="00822269"/>
    <w:rsid w:val="00824194"/>
    <w:rsid w:val="00841A86"/>
    <w:rsid w:val="008457A9"/>
    <w:rsid w:val="0085165F"/>
    <w:rsid w:val="00871C15"/>
    <w:rsid w:val="008766EC"/>
    <w:rsid w:val="00886F4F"/>
    <w:rsid w:val="008973EE"/>
    <w:rsid w:val="008A7C30"/>
    <w:rsid w:val="008B434D"/>
    <w:rsid w:val="008C1F29"/>
    <w:rsid w:val="008D7BE9"/>
    <w:rsid w:val="008E50C7"/>
    <w:rsid w:val="008F3289"/>
    <w:rsid w:val="009158BC"/>
    <w:rsid w:val="00936EB1"/>
    <w:rsid w:val="00951B02"/>
    <w:rsid w:val="009570B1"/>
    <w:rsid w:val="00971385"/>
    <w:rsid w:val="009B7A35"/>
    <w:rsid w:val="009D7E58"/>
    <w:rsid w:val="009E03C9"/>
    <w:rsid w:val="00A062C3"/>
    <w:rsid w:val="00A56783"/>
    <w:rsid w:val="00A8295E"/>
    <w:rsid w:val="00AA2656"/>
    <w:rsid w:val="00AC16CB"/>
    <w:rsid w:val="00AC5651"/>
    <w:rsid w:val="00B03FF2"/>
    <w:rsid w:val="00B429BB"/>
    <w:rsid w:val="00B56E77"/>
    <w:rsid w:val="00B57748"/>
    <w:rsid w:val="00B65520"/>
    <w:rsid w:val="00B6648C"/>
    <w:rsid w:val="00B71CFA"/>
    <w:rsid w:val="00B832B1"/>
    <w:rsid w:val="00B8497A"/>
    <w:rsid w:val="00BB0D3F"/>
    <w:rsid w:val="00BB1088"/>
    <w:rsid w:val="00BB2934"/>
    <w:rsid w:val="00BC3D48"/>
    <w:rsid w:val="00BD3970"/>
    <w:rsid w:val="00C10090"/>
    <w:rsid w:val="00C22F34"/>
    <w:rsid w:val="00C27293"/>
    <w:rsid w:val="00C425C2"/>
    <w:rsid w:val="00C819D2"/>
    <w:rsid w:val="00C841D9"/>
    <w:rsid w:val="00C93E6E"/>
    <w:rsid w:val="00C9796D"/>
    <w:rsid w:val="00CA0112"/>
    <w:rsid w:val="00CA303E"/>
    <w:rsid w:val="00CF14B8"/>
    <w:rsid w:val="00CF3F30"/>
    <w:rsid w:val="00D1714B"/>
    <w:rsid w:val="00D23F98"/>
    <w:rsid w:val="00D30F57"/>
    <w:rsid w:val="00D3311B"/>
    <w:rsid w:val="00DB42AB"/>
    <w:rsid w:val="00DC78FD"/>
    <w:rsid w:val="00DD3069"/>
    <w:rsid w:val="00E14D74"/>
    <w:rsid w:val="00E16D72"/>
    <w:rsid w:val="00E42CF9"/>
    <w:rsid w:val="00E42E03"/>
    <w:rsid w:val="00E4362C"/>
    <w:rsid w:val="00E6437B"/>
    <w:rsid w:val="00E657F6"/>
    <w:rsid w:val="00E6620C"/>
    <w:rsid w:val="00EA06E5"/>
    <w:rsid w:val="00EA5ECA"/>
    <w:rsid w:val="00ED6F28"/>
    <w:rsid w:val="104D665F"/>
    <w:rsid w:val="13457CB6"/>
    <w:rsid w:val="29265A6B"/>
    <w:rsid w:val="32A7571F"/>
    <w:rsid w:val="3C3B1D06"/>
    <w:rsid w:val="51307E72"/>
    <w:rsid w:val="56DB1806"/>
    <w:rsid w:val="7E20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link w:val="18"/>
    <w:semiHidden/>
    <w:unhideWhenUsed/>
    <w:qFormat/>
    <w:locked/>
    <w:uiPriority w:val="9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 Indent"/>
    <w:basedOn w:val="1"/>
    <w:link w:val="20"/>
    <w:uiPriority w:val="0"/>
    <w:pPr>
      <w:spacing w:after="120"/>
      <w:ind w:left="420" w:leftChars="200"/>
    </w:pPr>
    <w:rPr>
      <w:rFonts w:cs="Lucida Sans"/>
      <w:sz w:val="24"/>
    </w:rPr>
  </w:style>
  <w:style w:type="paragraph" w:styleId="5">
    <w:name w:val="Plain Text"/>
    <w:basedOn w:val="1"/>
    <w:link w:val="19"/>
    <w:uiPriority w:val="0"/>
    <w:rPr>
      <w:rFonts w:ascii="宋体" w:hAnsi="Courier New"/>
    </w:rPr>
  </w:style>
  <w:style w:type="paragraph" w:styleId="6">
    <w:name w:val="Balloon Text"/>
    <w:basedOn w:val="1"/>
    <w:link w:val="12"/>
    <w:semiHidden/>
    <w:uiPriority w:val="99"/>
    <w:rPr>
      <w:sz w:val="18"/>
      <w:szCs w:val="18"/>
    </w:rPr>
  </w:style>
  <w:style w:type="paragraph" w:styleId="7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qFormat/>
    <w:locked/>
    <w:uiPriority w:val="99"/>
    <w:rPr>
      <w:rFonts w:cs="Times New Roman"/>
      <w:b/>
    </w:rPr>
  </w:style>
  <w:style w:type="character" w:customStyle="1" w:styleId="12">
    <w:name w:val="批注框文本 Char"/>
    <w:link w:val="6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link w:val="8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6">
    <w:name w:val="Char Char"/>
    <w:locked/>
    <w:uiPriority w:val="99"/>
    <w:rPr>
      <w:rFonts w:eastAsia="宋体" w:cs="Times New Roman"/>
      <w:kern w:val="2"/>
      <w:sz w:val="18"/>
      <w:szCs w:val="18"/>
      <w:lang w:val="en-US" w:eastAsia="zh-CN" w:bidi="ar-SA"/>
    </w:rPr>
  </w:style>
  <w:style w:type="paragraph" w:customStyle="1" w:styleId="17">
    <w:name w:val="表格文字"/>
    <w:basedOn w:val="1"/>
    <w:uiPriority w:val="99"/>
    <w:pPr>
      <w:spacing w:before="25" w:after="25"/>
    </w:pPr>
    <w:rPr>
      <w:bCs/>
      <w:spacing w:val="10"/>
    </w:rPr>
  </w:style>
  <w:style w:type="character" w:customStyle="1" w:styleId="18">
    <w:name w:val="标题 2 Char"/>
    <w:link w:val="2"/>
    <w:semiHidden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19">
    <w:name w:val="纯文本 Char"/>
    <w:basedOn w:val="10"/>
    <w:link w:val="5"/>
    <w:uiPriority w:val="0"/>
    <w:rPr>
      <w:rFonts w:ascii="宋体" w:hAnsi="Courier New"/>
      <w:kern w:val="2"/>
      <w:sz w:val="21"/>
    </w:rPr>
  </w:style>
  <w:style w:type="character" w:customStyle="1" w:styleId="20">
    <w:name w:val="正文文本缩进 Char"/>
    <w:basedOn w:val="10"/>
    <w:link w:val="4"/>
    <w:qFormat/>
    <w:uiPriority w:val="0"/>
    <w:rPr>
      <w:rFonts w:ascii="Times New Roman" w:hAnsi="Times New Roman" w:cs="Lucida Sans"/>
      <w:kern w:val="2"/>
      <w:sz w:val="24"/>
    </w:rPr>
  </w:style>
  <w:style w:type="paragraph" w:customStyle="1" w:styleId="21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p0"/>
    <w:basedOn w:val="1"/>
    <w:qFormat/>
    <w:uiPriority w:val="0"/>
    <w:pPr>
      <w:widowControl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401</Words>
  <Characters>2290</Characters>
  <Lines>19</Lines>
  <Paragraphs>5</Paragraphs>
  <TotalTime>3</TotalTime>
  <ScaleCrop>false</ScaleCrop>
  <LinksUpToDate>false</LinksUpToDate>
  <CharactersWithSpaces>2686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2020-09-10T06:43:00Z</dcterms:created>
  <dc:creator>微软用户</dc:creator>
  <cp:lastModifiedBy>李凤仪</cp:lastModifiedBy>
  <dcterms:modified xsi:type="dcterms:W3CDTF">2021-08-03T09:22:52Z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9141FC47D6BA42AF867D4632EF19FC8C</vt:lpwstr>
  </property>
</Properties>
</file>