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952"/>
        <w:gridCol w:w="761"/>
        <w:gridCol w:w="936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陪同人员：</w:t>
            </w:r>
            <w:r>
              <w:t>李铖</w:t>
            </w:r>
          </w:p>
        </w:tc>
        <w:tc>
          <w:tcPr>
            <w:tcW w:w="15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vMerge w:val="continue"/>
            <w:vAlign w:val="center"/>
          </w:tcPr>
          <w:p/>
        </w:tc>
        <w:tc>
          <w:tcPr>
            <w:tcW w:w="952" w:type="dxa"/>
            <w:vMerge w:val="continue"/>
            <w:vAlign w:val="center"/>
          </w:tcPr>
          <w:p/>
        </w:tc>
        <w:tc>
          <w:tcPr>
            <w:tcW w:w="10128" w:type="dxa"/>
            <w:gridSpan w:val="2"/>
            <w:vAlign w:val="center"/>
          </w:tcPr>
          <w:p>
            <w:pPr>
              <w:spacing w:before="120"/>
            </w:pPr>
            <w:r>
              <w:rPr>
                <w:rFonts w:hint="eastAsia"/>
                <w:sz w:val="24"/>
                <w:szCs w:val="24"/>
              </w:rPr>
              <w:t>审核员：邝</w:t>
            </w:r>
            <w:r>
              <w:rPr>
                <w:sz w:val="24"/>
                <w:szCs w:val="24"/>
              </w:rPr>
              <w:t xml:space="preserve">柏臣        </w:t>
            </w:r>
            <w:r>
              <w:rPr>
                <w:rFonts w:hint="eastAsia"/>
                <w:sz w:val="24"/>
                <w:szCs w:val="24"/>
              </w:rPr>
              <w:t xml:space="preserve">          审核日期：2021-08-01</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vMerge w:val="continue"/>
            <w:vAlign w:val="center"/>
          </w:tcPr>
          <w:p/>
        </w:tc>
        <w:tc>
          <w:tcPr>
            <w:tcW w:w="952" w:type="dxa"/>
            <w:vMerge w:val="continue"/>
            <w:vAlign w:val="center"/>
          </w:tcPr>
          <w:p/>
        </w:tc>
        <w:tc>
          <w:tcPr>
            <w:tcW w:w="10128" w:type="dxa"/>
            <w:gridSpan w:val="2"/>
            <w:vAlign w:val="center"/>
          </w:tcPr>
          <w:p>
            <w:pPr>
              <w:spacing w:before="120"/>
              <w:rPr>
                <w:sz w:val="24"/>
                <w:szCs w:val="24"/>
              </w:rPr>
            </w:pPr>
            <w:r>
              <w:rPr>
                <w:rFonts w:hint="eastAsia"/>
                <w:sz w:val="24"/>
                <w:szCs w:val="24"/>
              </w:rPr>
              <w:t>审核条款：FSMS：4.1/4.2/4.3/4.4/5.1/5.2/5.3/6.1/6.2/6.3/7.1.1/7.4/9.1.1/9.3/10.2</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理解组织及其所处的环境</w:t>
            </w:r>
          </w:p>
        </w:tc>
        <w:tc>
          <w:tcPr>
            <w:tcW w:w="952" w:type="dxa"/>
            <w:vMerge w:val="restart"/>
          </w:tcPr>
          <w:p>
            <w:r>
              <w:rPr>
                <w:rFonts w:hint="eastAsia"/>
              </w:rPr>
              <w:t xml:space="preserve">F4.1 </w:t>
            </w:r>
          </w:p>
        </w:tc>
        <w:tc>
          <w:tcPr>
            <w:tcW w:w="761" w:type="dxa"/>
          </w:tcPr>
          <w:p>
            <w:r>
              <w:rPr>
                <w:rFonts w:hint="eastAsia"/>
              </w:rPr>
              <w:t>文件名称</w:t>
            </w:r>
          </w:p>
        </w:tc>
        <w:tc>
          <w:tcPr>
            <w:tcW w:w="9367" w:type="dxa"/>
          </w:tcPr>
          <w:p>
            <w:r>
              <w:rPr>
                <w:rFonts w:hint="eastAsia"/>
              </w:rPr>
              <w:t>如：☑管理手册第4.1条款、</w:t>
            </w:r>
            <w:r>
              <w:rPr>
                <w:rFonts w:hint="eastAsia"/>
              </w:rPr>
              <w:sym w:font="Wingdings" w:char="00A8"/>
            </w:r>
            <w:r>
              <w:rPr>
                <w:rFonts w:hint="eastAsia"/>
              </w:rPr>
              <w:t>《组织及其环境控制程序》</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外部环境</w:t>
                  </w:r>
                </w:p>
              </w:tc>
              <w:tc>
                <w:tcPr>
                  <w:tcW w:w="7375"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法律法规</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技术</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竞争</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市场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社会</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经济环境</w:t>
                  </w:r>
                  <w:r>
                    <w:rPr>
                      <w:rFonts w:hint="eastAsia" w:asciiTheme="minorEastAsia" w:hAnsiTheme="minorEastAsia" w:eastAsiaTheme="minorEastAsia"/>
                      <w:szCs w:val="21"/>
                    </w:rPr>
                    <w:t xml:space="preserve"> □网络安全</w:t>
                  </w:r>
                  <w:r>
                    <w:rPr>
                      <w:rFonts w:ascii="Segoe UI Symbol" w:hAnsi="Segoe UI Symbol" w:cs="Segoe UI Symbol" w:eastAsiaTheme="minorEastAsia"/>
                      <w:szCs w:val="21"/>
                    </w:rPr>
                    <w:t>☑</w:t>
                  </w:r>
                  <w:r>
                    <w:rPr>
                      <w:rFonts w:hint="eastAsia" w:asciiTheme="minorEastAsia" w:hAnsiTheme="minorEastAsia" w:eastAsiaTheme="minorEastAsia"/>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蓄意污染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欧盟、中国、美国等地区针对食品包装材料的安全性和有害物质的迁移关注要求越来越完善，关注生产产品所涉及的相关的食品包装材料的原料及成品的法规。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内部环境</w:t>
                  </w:r>
                </w:p>
              </w:tc>
              <w:tc>
                <w:tcPr>
                  <w:tcW w:w="7375"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价值观</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w:t>
                  </w:r>
                  <w:r>
                    <w:rPr>
                      <w:rFonts w:ascii="Segoe UI Symbol" w:hAnsi="Segoe UI Symbol" w:cs="Segoe UI Symbol" w:eastAsiaTheme="minorEastAsia"/>
                      <w:szCs w:val="21"/>
                    </w:rPr>
                    <w:t>☑</w:t>
                  </w:r>
                  <w:r>
                    <w:rPr>
                      <w:rFonts w:hint="eastAsia" w:cs="宋体" w:asciiTheme="minorEastAsia" w:hAnsiTheme="minorEastAsia" w:eastAsiaTheme="minorEastAsia"/>
                      <w:szCs w:val="21"/>
                    </w:rPr>
                    <w:t>工艺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人员能力</w:t>
                  </w:r>
                  <w:r>
                    <w:rPr>
                      <w:rFonts w:hint="eastAsia" w:asciiTheme="minorEastAsia" w:hAnsiTheme="minorEastAsia" w:eastAsiaTheme="minorEastAsia"/>
                      <w:szCs w:val="21"/>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设备先进，自动化程度高；与许多国</w:t>
                  </w:r>
                  <w:r>
                    <w:rPr>
                      <w:rFonts w:asciiTheme="minorEastAsia" w:hAnsiTheme="minorEastAsia" w:eastAsiaTheme="minorEastAsia"/>
                      <w:szCs w:val="21"/>
                    </w:rPr>
                    <w:t>内</w:t>
                  </w:r>
                  <w:r>
                    <w:rPr>
                      <w:rFonts w:hint="eastAsia" w:asciiTheme="minorEastAsia" w:hAnsiTheme="minorEastAsia" w:eastAsiaTheme="minorEastAsia"/>
                      <w:szCs w:val="21"/>
                    </w:rPr>
                    <w:t>一流烟</w:t>
                  </w:r>
                  <w:r>
                    <w:rPr>
                      <w:rFonts w:asciiTheme="minorEastAsia" w:hAnsiTheme="minorEastAsia" w:eastAsiaTheme="minorEastAsia"/>
                      <w:szCs w:val="21"/>
                    </w:rPr>
                    <w:t>草企业</w:t>
                  </w:r>
                  <w:r>
                    <w:rPr>
                      <w:rFonts w:hint="eastAsia" w:asciiTheme="minorEastAsia" w:hAnsiTheme="minorEastAsia" w:eastAsiaTheme="minorEastAsia"/>
                      <w:szCs w:val="21"/>
                    </w:rPr>
                    <w:t>品牌均有合作；产品品质与同业相比，有竞争力；</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组织优势说明</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利用好国家扶持产业优惠政策，抓住机遇，充分发挥企业优势，发展生产力，把企业做大做强；加快速度引进先进设备；向其他区域开发，扩大市场份额。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组织劣势说明</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公司人员文化程度相对较低，接受先进的技术能力比较吃力。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主要风险的说明</w:t>
                  </w:r>
                </w:p>
              </w:tc>
              <w:tc>
                <w:tcPr>
                  <w:tcW w:w="7375" w:type="dxa"/>
                </w:tcPr>
                <w:p>
                  <w:pPr>
                    <w:rPr>
                      <w:rFonts w:cs="宋体" w:asciiTheme="minorEastAsia" w:hAnsiTheme="minorEastAsia" w:eastAsiaTheme="minorEastAsia"/>
                      <w:szCs w:val="21"/>
                    </w:rPr>
                  </w:pPr>
                  <w:r>
                    <w:rPr>
                      <w:rFonts w:hint="eastAsia" w:cs="宋体" w:asciiTheme="minorEastAsia" w:hAnsiTheme="minorEastAsia" w:eastAsiaTheme="minorEastAsia"/>
                      <w:b/>
                      <w:szCs w:val="21"/>
                    </w:rPr>
                    <w:t>产品安全和质量风险：</w:t>
                  </w:r>
                  <w:r>
                    <w:rPr>
                      <w:rFonts w:hint="eastAsia" w:cs="宋体" w:asciiTheme="minorEastAsia" w:hAnsiTheme="minorEastAsia" w:eastAsiaTheme="minorEastAsia"/>
                      <w:szCs w:val="21"/>
                    </w:rPr>
                    <w:t>目前公司产品主要销售区域的经济整体情况低迷，同时国内外经济形势趋势严峻，给公司带来比较大的财务压力。</w:t>
                  </w:r>
                  <w:r>
                    <w:rPr>
                      <w:rFonts w:hint="eastAsia" w:cs="宋体" w:asciiTheme="minorEastAsia" w:hAnsiTheme="minorEastAsia" w:eastAsiaTheme="minorEastAsia"/>
                      <w:kern w:val="0"/>
                      <w:szCs w:val="21"/>
                    </w:rPr>
                    <w:t>应收款无法及时到位，增加了坏账的出现率。</w:t>
                  </w:r>
                </w:p>
                <w:p>
                  <w:pPr>
                    <w:rPr>
                      <w:rFonts w:asciiTheme="minorEastAsia" w:hAnsiTheme="minorEastAsia" w:eastAsiaTheme="minorEastAsia"/>
                      <w:szCs w:val="21"/>
                    </w:rPr>
                  </w:pPr>
                  <w:r>
                    <w:rPr>
                      <w:rFonts w:hint="eastAsia" w:cs="宋体" w:asciiTheme="minorEastAsia" w:hAnsiTheme="minorEastAsia" w:eastAsiaTheme="minorEastAsia"/>
                      <w:b/>
                      <w:szCs w:val="21"/>
                    </w:rPr>
                    <w:t>产品安全和质量机遇：</w:t>
                  </w:r>
                  <w:r>
                    <w:rPr>
                      <w:rFonts w:hint="eastAsia" w:cs="宋体" w:asciiTheme="minorEastAsia" w:hAnsiTheme="minorEastAsia" w:eastAsiaTheme="minorEastAsia"/>
                      <w:szCs w:val="21"/>
                    </w:rPr>
                    <w:t>财务状况处理得当，会提高公司整体的竞争力。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机遇的说明</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财务状况良好，资金充足，可拓展新项目，开发新市场</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 xml:space="preserve">其他《风险和机遇评估分析及措施表》、 </w:t>
            </w:r>
            <w:r>
              <w:rPr>
                <w:rFonts w:hint="eastAsia"/>
              </w:rPr>
              <w:sym w:font="Wingdings" w:char="00FE"/>
            </w:r>
            <w:r>
              <w:rPr>
                <w:rFonts w:hint="eastAsia"/>
              </w:rPr>
              <w:t>《内外部环境分析识别表》</w:t>
            </w:r>
          </w:p>
          <w:p>
            <w:pPr>
              <w:rPr>
                <w:color w:val="000000"/>
                <w:szCs w:val="21"/>
              </w:rPr>
            </w:pP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理解相关方的需求和期望</w:t>
            </w:r>
          </w:p>
        </w:tc>
        <w:tc>
          <w:tcPr>
            <w:tcW w:w="952" w:type="dxa"/>
            <w:vMerge w:val="restart"/>
          </w:tcPr>
          <w:p>
            <w:r>
              <w:rPr>
                <w:rFonts w:hint="eastAsia"/>
              </w:rPr>
              <w:t xml:space="preserve">F4.2 </w:t>
            </w:r>
          </w:p>
        </w:tc>
        <w:tc>
          <w:tcPr>
            <w:tcW w:w="761" w:type="dxa"/>
          </w:tcPr>
          <w:p>
            <w:r>
              <w:rPr>
                <w:rFonts w:hint="eastAsia"/>
              </w:rPr>
              <w:t>文件名称</w:t>
            </w:r>
          </w:p>
        </w:tc>
        <w:tc>
          <w:tcPr>
            <w:tcW w:w="9367" w:type="dxa"/>
          </w:tcPr>
          <w:p>
            <w:r>
              <w:rPr>
                <w:rFonts w:hint="eastAsia"/>
              </w:rPr>
              <w:t>如：</w:t>
            </w:r>
            <w:r>
              <w:rPr>
                <w:rFonts w:hint="eastAsia"/>
                <w:szCs w:val="22"/>
              </w:rPr>
              <w:sym w:font="Wingdings" w:char="00FE"/>
            </w:r>
            <w:r>
              <w:rPr>
                <w:rFonts w:hint="eastAsia"/>
                <w:szCs w:val="22"/>
              </w:rPr>
              <w:t>《相关方需求和期望控制程序》</w:t>
            </w:r>
            <w:r>
              <w:rPr>
                <w:rFonts w:hint="eastAsia"/>
              </w:rPr>
              <w:t xml:space="preserve">、 </w:t>
            </w:r>
            <w:r>
              <w:rPr>
                <w:rFonts w:hint="eastAsia"/>
              </w:rPr>
              <w:sym w:font="Wingdings" w:char="00FE"/>
            </w:r>
            <w:r>
              <w:rPr>
                <w:rFonts w:hint="eastAsia"/>
              </w:rPr>
              <w:t>管理手册第4.2章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2495" w:type="dxa"/>
                </w:tcPr>
                <w:p>
                  <w:pPr>
                    <w:rPr>
                      <w:sz w:val="18"/>
                      <w:szCs w:val="18"/>
                    </w:rPr>
                  </w:pPr>
                  <w:r>
                    <w:rPr>
                      <w:rFonts w:hint="eastAsia"/>
                      <w:sz w:val="18"/>
                      <w:szCs w:val="18"/>
                    </w:rPr>
                    <w:t>武汉</w:t>
                  </w:r>
                  <w:r>
                    <w:rPr>
                      <w:sz w:val="18"/>
                      <w:szCs w:val="18"/>
                    </w:rPr>
                    <w:t>市东西湖区市场监</w:t>
                  </w:r>
                  <w:r>
                    <w:rPr>
                      <w:rFonts w:hint="eastAsia"/>
                      <w:sz w:val="18"/>
                      <w:szCs w:val="18"/>
                    </w:rPr>
                    <w:t>督</w:t>
                  </w:r>
                  <w:r>
                    <w:rPr>
                      <w:sz w:val="18"/>
                      <w:szCs w:val="18"/>
                    </w:rPr>
                    <w:t>管理</w:t>
                  </w:r>
                  <w:r>
                    <w:rPr>
                      <w:rFonts w:hint="eastAsia"/>
                      <w:sz w:val="18"/>
                      <w:szCs w:val="18"/>
                    </w:rPr>
                    <w:t>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2495" w:type="dxa"/>
                </w:tcPr>
                <w:p>
                  <w:pPr>
                    <w:rPr>
                      <w:rFonts w:ascii="宋体" w:hAnsi="宋体" w:cs="宋体"/>
                      <w:bCs/>
                      <w:color w:val="000000"/>
                      <w:kern w:val="0"/>
                      <w:sz w:val="18"/>
                      <w:szCs w:val="18"/>
                    </w:rPr>
                  </w:pPr>
                  <w:r>
                    <w:rPr>
                      <w:rFonts w:hint="eastAsia" w:ascii="宋体" w:hAnsi="宋体" w:cs="宋体"/>
                      <w:bCs/>
                      <w:color w:val="000000"/>
                      <w:kern w:val="0"/>
                      <w:sz w:val="18"/>
                      <w:szCs w:val="18"/>
                    </w:rPr>
                    <w:t>珠</w:t>
                  </w:r>
                  <w:r>
                    <w:rPr>
                      <w:rFonts w:ascii="宋体" w:hAnsi="宋体" w:cs="宋体"/>
                      <w:bCs/>
                      <w:color w:val="000000"/>
                      <w:kern w:val="0"/>
                      <w:sz w:val="18"/>
                      <w:szCs w:val="18"/>
                    </w:rPr>
                    <w:t>海红塔仁恒包装股份</w:t>
                  </w:r>
                  <w:r>
                    <w:rPr>
                      <w:rFonts w:hint="eastAsia" w:ascii="宋体" w:hAnsi="宋体" w:cs="宋体"/>
                      <w:bCs/>
                      <w:color w:val="000000"/>
                      <w:kern w:val="0"/>
                      <w:sz w:val="18"/>
                      <w:szCs w:val="18"/>
                    </w:rPr>
                    <w:t>有</w:t>
                  </w:r>
                  <w:r>
                    <w:rPr>
                      <w:rFonts w:ascii="宋体" w:hAnsi="宋体" w:cs="宋体"/>
                      <w:bCs/>
                      <w:color w:val="000000"/>
                      <w:kern w:val="0"/>
                      <w:sz w:val="18"/>
                      <w:szCs w:val="18"/>
                    </w:rPr>
                    <w:t>限公</w:t>
                  </w:r>
                  <w:r>
                    <w:rPr>
                      <w:rFonts w:hint="eastAsia" w:ascii="宋体" w:hAnsi="宋体" w:cs="宋体"/>
                      <w:bCs/>
                      <w:color w:val="000000"/>
                      <w:kern w:val="0"/>
                      <w:sz w:val="18"/>
                      <w:szCs w:val="18"/>
                    </w:rPr>
                    <w:t>司</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pPr>
                    <w:rPr>
                      <w:sz w:val="18"/>
                      <w:szCs w:val="18"/>
                    </w:rPr>
                  </w:pPr>
                </w:p>
                <w:p>
                  <w:pPr>
                    <w:rPr>
                      <w:sz w:val="18"/>
                      <w:szCs w:val="18"/>
                    </w:rPr>
                  </w:pPr>
                  <w:r>
                    <w:rPr>
                      <w:rFonts w:hint="eastAsia"/>
                      <w:sz w:val="18"/>
                      <w:szCs w:val="18"/>
                    </w:rPr>
                    <w:t>昆明瑞</w:t>
                  </w:r>
                  <w:r>
                    <w:rPr>
                      <w:sz w:val="18"/>
                      <w:szCs w:val="18"/>
                    </w:rPr>
                    <w:t>丰印刷</w:t>
                  </w:r>
                  <w:r>
                    <w:rPr>
                      <w:rFonts w:hint="eastAsia"/>
                      <w:sz w:val="18"/>
                      <w:szCs w:val="18"/>
                    </w:rPr>
                    <w:t>有</w:t>
                  </w:r>
                  <w:r>
                    <w:rPr>
                      <w:sz w:val="18"/>
                      <w:szCs w:val="18"/>
                    </w:rPr>
                    <w:t>限公司</w:t>
                  </w:r>
                </w:p>
              </w:tc>
              <w:tc>
                <w:tcPr>
                  <w:tcW w:w="3611" w:type="dxa"/>
                </w:tcPr>
                <w:p>
                  <w:pPr>
                    <w:ind w:left="210" w:hanging="210" w:hangingChars="100"/>
                  </w:pPr>
                  <w:r>
                    <w:rPr>
                      <w:rFonts w:ascii="Segoe UI Symbol" w:hAnsi="Segoe UI Symbol" w:cs="Segoe UI Symbol"/>
                    </w:rPr>
                    <w:t>☑</w:t>
                  </w: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☑消费者</w:t>
                  </w:r>
                </w:p>
              </w:tc>
              <w:tc>
                <w:tcPr>
                  <w:tcW w:w="249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烟草消费人群</w:t>
                  </w:r>
                </w:p>
              </w:tc>
              <w:tc>
                <w:tcPr>
                  <w:tcW w:w="3611" w:type="dxa"/>
                </w:tcPr>
                <w:p>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95" w:type="dxa"/>
                </w:tcPr>
                <w:p>
                  <w:pPr>
                    <w:rPr>
                      <w:szCs w:val="24"/>
                    </w:rPr>
                  </w:pPr>
                  <w:r>
                    <w:rPr>
                      <w:rFonts w:hint="eastAsia"/>
                      <w:szCs w:val="24"/>
                    </w:rPr>
                    <w:t>——</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r>
                    <w:rPr>
                      <w:rFonts w:hint="eastAsia"/>
                    </w:rPr>
                    <w:t>——</w:t>
                  </w:r>
                </w:p>
              </w:tc>
              <w:tc>
                <w:tcPr>
                  <w:tcW w:w="3611" w:type="dxa"/>
                </w:tcPr>
                <w:p>
                  <w:r>
                    <w:rPr>
                      <w:rFonts w:hint="eastAsia"/>
                    </w:rPr>
                    <w:t>□不因食品安全问题停产，组织持续经营、盈利</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2495" w:type="dxa"/>
                </w:tcPr>
                <w:p>
                  <w:r>
                    <w:rPr>
                      <w:rFonts w:hint="eastAsia"/>
                      <w:color w:val="000000" w:themeColor="text1"/>
                      <w14:textFill>
                        <w14:solidFill>
                          <w14:schemeClr w14:val="tx1"/>
                        </w14:solidFill>
                      </w14:textFill>
                    </w:rPr>
                    <w:t>周边居民</w:t>
                  </w:r>
                </w:p>
              </w:tc>
              <w:tc>
                <w:tcPr>
                  <w:tcW w:w="3611" w:type="dxa"/>
                </w:tcPr>
                <w:p>
                  <w:r>
                    <w:rPr>
                      <w:rFonts w:hint="eastAsia"/>
                    </w:rPr>
                    <w:sym w:font="Wingdings 2" w:char="0052"/>
                  </w:r>
                  <w:r>
                    <w:rPr>
                      <w:rFonts w:hint="eastAsia"/>
                    </w:rPr>
                    <w:t>不因食品安全问题影响周围人员的就业</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确定食品安全管理体系的范围</w:t>
            </w:r>
          </w:p>
        </w:tc>
        <w:tc>
          <w:tcPr>
            <w:tcW w:w="952" w:type="dxa"/>
            <w:vMerge w:val="restart"/>
            <w:shd w:val="clear" w:color="auto" w:fill="FFFFFF" w:themeFill="background1"/>
          </w:tcPr>
          <w:p>
            <w:r>
              <w:rPr>
                <w:rFonts w:hint="eastAsia"/>
              </w:rPr>
              <w:t>F4.3</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如：管理手册第4.3条款和“公司介绍”</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组织考虑了各种内部和外部因素和相关方的要求确定了相关管理体系的范围；如下</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11" w:type="dxa"/>
                </w:tcPr>
                <w:p>
                  <w:r>
                    <w:rPr>
                      <w:rFonts w:hint="eastAsia"/>
                    </w:rPr>
                    <w:t>范围的项目</w:t>
                  </w:r>
                </w:p>
              </w:tc>
              <w:tc>
                <w:tcPr>
                  <w:tcW w:w="4117" w:type="dxa"/>
                </w:tcPr>
                <w:p>
                  <w:r>
                    <w:rPr>
                      <w:rFonts w:hint="eastAsia"/>
                    </w:rPr>
                    <w:t>内容描述</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117" w:type="dxa"/>
                </w:tcPr>
                <w:p>
                  <w:bookmarkStart w:id="0" w:name="审核范围"/>
                  <w:r>
                    <w:rPr>
                      <w:rFonts w:hint="eastAsia"/>
                    </w:rPr>
                    <w:t>位于湖</w:t>
                  </w:r>
                  <w:r>
                    <w:t>北省</w:t>
                  </w:r>
                  <w:r>
                    <w:rPr>
                      <w:rFonts w:hint="eastAsia"/>
                    </w:rPr>
                    <w:t>武汉市东西湖区金银湖街田园东路1号武汉银采天纸业股份有限公司生产车间烟包材料（转移卡纸）的生产</w:t>
                  </w:r>
                  <w:bookmarkEnd w:id="0"/>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117" w:type="dxa"/>
                </w:tcPr>
                <w:p>
                  <w:pPr>
                    <w:rPr>
                      <w:highlight w:val="yellow"/>
                    </w:rPr>
                  </w:pPr>
                  <w:r>
                    <w:rPr>
                      <w:szCs w:val="21"/>
                    </w:rPr>
                    <w:t>武汉市东西湖区金银湖街田园东路1号</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r>
                    <w:rPr>
                      <w:rFonts w:hint="eastAsia"/>
                    </w:rPr>
                    <w:sym w:font="Wingdings" w:char="00FE"/>
                  </w:r>
                  <w:r>
                    <w:rPr>
                      <w:rFonts w:hint="eastAsia"/>
                    </w:rPr>
                    <w:t xml:space="preserve"> 体系建立以来：202</w:t>
                  </w:r>
                  <w:r>
                    <w:t>1</w:t>
                  </w:r>
                  <w:r>
                    <w:rPr>
                      <w:rFonts w:hint="eastAsia"/>
                    </w:rPr>
                    <w:t>-03-01</w:t>
                  </w:r>
                </w:p>
                <w:p>
                  <w:r>
                    <w:rPr>
                      <w:rFonts w:hint="eastAsia"/>
                    </w:rPr>
                    <w:sym w:font="Wingdings" w:char="00A8"/>
                  </w:r>
                </w:p>
              </w:tc>
              <w:tc>
                <w:tcPr>
                  <w:tcW w:w="3015" w:type="dxa"/>
                </w:tcPr>
                <w:p/>
              </w:tc>
            </w:tr>
          </w:tbl>
          <w:p/>
          <w:p>
            <w:pPr>
              <w:rPr>
                <w:color w:val="000000"/>
                <w:szCs w:val="21"/>
              </w:rPr>
            </w:pPr>
          </w:p>
          <w:p>
            <w:pPr>
              <w:rPr>
                <w:color w:val="000000"/>
                <w:szCs w:val="21"/>
              </w:rPr>
            </w:pPr>
            <w:r>
              <w:rPr>
                <w:rFonts w:hint="eastAsia"/>
                <w:color w:val="000000"/>
                <w:szCs w:val="21"/>
              </w:rPr>
              <w:t>在企业的管理手册中有描述。</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食品安全管理体系</w:t>
            </w:r>
          </w:p>
        </w:tc>
        <w:tc>
          <w:tcPr>
            <w:tcW w:w="952" w:type="dxa"/>
            <w:vMerge w:val="restart"/>
            <w:shd w:val="clear" w:color="auto" w:fill="FFFFFF" w:themeFill="background1"/>
          </w:tcPr>
          <w:p>
            <w:r>
              <w:rPr>
                <w:rFonts w:hint="eastAsia"/>
              </w:rPr>
              <w:t xml:space="preserve">F4.4 </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rFonts w:hint="eastAsia"/>
              </w:rPr>
              <w:sym w:font="Wingdings" w:char="00FE"/>
            </w:r>
            <w:r>
              <w:rPr>
                <w:rFonts w:hint="eastAsia"/>
              </w:rPr>
              <w:t xml:space="preserve"> 管理手册第4.4章、《过程清单》</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 xml:space="preserve">□设备维修   □人员培训 □PRP和OPRP、HACCP验证  </w:t>
            </w:r>
            <w:r>
              <w:rPr>
                <w:rFonts w:hint="eastAsia"/>
              </w:rPr>
              <w:sym w:font="Wingdings 2" w:char="0052"/>
            </w:r>
            <w:r>
              <w:rPr>
                <w:rFonts w:hint="eastAsia"/>
              </w:rPr>
              <w:t>其他——无</w:t>
            </w:r>
          </w:p>
          <w:p>
            <w:pPr>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领导作用与承诺</w:t>
            </w:r>
          </w:p>
        </w:tc>
        <w:tc>
          <w:tcPr>
            <w:tcW w:w="952" w:type="dxa"/>
            <w:vMerge w:val="restart"/>
            <w:shd w:val="clear" w:color="auto" w:fill="FFFFFF" w:themeFill="background1"/>
          </w:tcPr>
          <w:p>
            <w:r>
              <w:rPr>
                <w:rFonts w:hint="eastAsia"/>
              </w:rPr>
              <w:t>F5.1</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如：管理手册第5.1章和“总经理岗位职责”</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食品安全方针</w:t>
            </w:r>
          </w:p>
        </w:tc>
        <w:tc>
          <w:tcPr>
            <w:tcW w:w="952" w:type="dxa"/>
            <w:vMerge w:val="restart"/>
            <w:shd w:val="clear" w:color="auto" w:fill="FFFFFF" w:themeFill="background1"/>
          </w:tcPr>
          <w:p>
            <w:r>
              <w:rPr>
                <w:rFonts w:hint="eastAsia"/>
              </w:rPr>
              <w:t>F5.2</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sym w:font="Wingdings" w:char="00FE"/>
            </w:r>
            <w:r>
              <w:rPr>
                <w:rFonts w:hint="eastAsia"/>
              </w:rPr>
              <w:t>管理手册第5.2条款、</w:t>
            </w:r>
            <w:r>
              <w:rPr>
                <w:rFonts w:hint="eastAsia"/>
                <w:color w:val="000000"/>
                <w:szCs w:val="21"/>
              </w:rPr>
              <w:sym w:font="Wingdings" w:char="00FE"/>
            </w:r>
            <w:r>
              <w:rPr>
                <w:rFonts w:hint="eastAsia"/>
                <w:szCs w:val="21"/>
              </w:rPr>
              <w:t>“质量安全方针与目标”</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pPr>
              <w:rPr>
                <w:u w:val="single"/>
              </w:rPr>
            </w:pPr>
            <w:r>
              <w:rPr>
                <w:rFonts w:hint="eastAsia"/>
                <w:color w:val="000000"/>
                <w:szCs w:val="21"/>
              </w:rPr>
              <w:t xml:space="preserve"> </w:t>
            </w:r>
            <w:r>
              <w:rPr>
                <w:rFonts w:hint="eastAsia"/>
              </w:rPr>
              <w:t>最高管理者制定了文件化的食品安全体系方针：</w:t>
            </w:r>
          </w:p>
          <w:p>
            <w:r>
              <w:rPr>
                <w:rFonts w:hint="eastAsia"/>
                <w:u w:val="single"/>
              </w:rPr>
              <w:t xml:space="preserve">  </w:t>
            </w:r>
            <w:r>
              <w:rPr>
                <w:rFonts w:hint="eastAsia" w:asciiTheme="minorEastAsia" w:hAnsiTheme="minorEastAsia" w:eastAsiaTheme="minorEastAsia"/>
                <w:b/>
                <w:snapToGrid w:val="0"/>
                <w:kern w:val="18"/>
                <w:szCs w:val="21"/>
                <w:u w:val="single"/>
              </w:rPr>
              <w:t>严格规范管理，确保食品包装安全</w:t>
            </w:r>
            <w:r>
              <w:rPr>
                <w:rFonts w:asciiTheme="minorEastAsia" w:hAnsiTheme="minorEastAsia" w:eastAsiaTheme="minorEastAsia"/>
                <w:b/>
                <w:snapToGrid w:val="0"/>
                <w:kern w:val="18"/>
                <w:szCs w:val="21"/>
                <w:u w:val="single"/>
              </w:rPr>
              <w:t>;</w:t>
            </w:r>
            <w:r>
              <w:rPr>
                <w:rFonts w:hint="eastAsia" w:asciiTheme="minorEastAsia" w:hAnsiTheme="minorEastAsia" w:eastAsiaTheme="minorEastAsia"/>
                <w:b/>
                <w:snapToGrid w:val="0"/>
                <w:kern w:val="18"/>
                <w:szCs w:val="21"/>
                <w:u w:val="single"/>
              </w:rPr>
              <w:t>持续改进质量，满足</w:t>
            </w:r>
            <w:r>
              <w:rPr>
                <w:rFonts w:hint="eastAsia" w:asciiTheme="minorEastAsia" w:hAnsiTheme="minorEastAsia" w:eastAsiaTheme="minorEastAsia"/>
                <w:b/>
                <w:bCs/>
                <w:szCs w:val="21"/>
                <w:u w:val="single"/>
              </w:rPr>
              <w:t>顾客法规要求</w:t>
            </w:r>
            <w:r>
              <w:rPr>
                <w:rFonts w:hint="eastAsia"/>
                <w:b/>
                <w:bCs/>
                <w:szCs w:val="22"/>
                <w:u w:val="single"/>
              </w:rPr>
              <w:t>。</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组织的角色、职责和权限</w:t>
            </w:r>
          </w:p>
          <w:p/>
        </w:tc>
        <w:tc>
          <w:tcPr>
            <w:tcW w:w="952" w:type="dxa"/>
            <w:vMerge w:val="restart"/>
            <w:shd w:val="clear" w:color="auto" w:fill="FFFFFF" w:themeFill="background1"/>
          </w:tcPr>
          <w:p>
            <w:r>
              <w:rPr>
                <w:rFonts w:hint="eastAsia"/>
              </w:rPr>
              <w:t>F5.3</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如：管理手册第5.3条款</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销</w:t>
                  </w:r>
                  <w:r>
                    <w:t>售部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外部沟通</w:t>
                  </w:r>
                </w:p>
              </w:tc>
              <w:tc>
                <w:tcPr>
                  <w:tcW w:w="2261" w:type="dxa"/>
                </w:tcPr>
                <w:p>
                  <w:r>
                    <w:rPr>
                      <w:rFonts w:hint="eastAsia"/>
                    </w:rPr>
                    <w:t>销</w:t>
                  </w:r>
                  <w:r>
                    <w:t>售部</w:t>
                  </w: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sz w:val="24"/>
                <w:u w:val="single"/>
              </w:rPr>
              <w:t>杨永峰</w:t>
            </w:r>
            <w:r>
              <w:rPr>
                <w:rFonts w:hint="eastAsia"/>
                <w:u w:val="single"/>
              </w:rPr>
              <w:t xml:space="preserve">   </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应对风险和机遇的措施</w:t>
            </w:r>
          </w:p>
          <w:p/>
        </w:tc>
        <w:tc>
          <w:tcPr>
            <w:tcW w:w="952" w:type="dxa"/>
            <w:vMerge w:val="restart"/>
          </w:tcPr>
          <w:p>
            <w:r>
              <w:rPr>
                <w:rFonts w:hint="eastAsia"/>
                <w:color w:val="000000"/>
                <w:szCs w:val="21"/>
              </w:rPr>
              <w:t>F6.1.1</w:t>
            </w:r>
          </w:p>
        </w:tc>
        <w:tc>
          <w:tcPr>
            <w:tcW w:w="761" w:type="dxa"/>
          </w:tcPr>
          <w:p>
            <w:r>
              <w:rPr>
                <w:rFonts w:hint="eastAsia"/>
              </w:rPr>
              <w:t>文件名称</w:t>
            </w:r>
          </w:p>
        </w:tc>
        <w:tc>
          <w:tcPr>
            <w:tcW w:w="9367" w:type="dxa"/>
          </w:tcPr>
          <w:p>
            <w:r>
              <w:rPr>
                <w:rFonts w:hint="eastAsia"/>
              </w:rPr>
              <w:t>如：</w:t>
            </w:r>
            <w:r>
              <w:rPr/>
              <w:sym w:font="Wingdings" w:char="00FE"/>
            </w:r>
            <w:r>
              <w:rPr>
                <w:rFonts w:hint="eastAsia"/>
              </w:rPr>
              <w:t xml:space="preserve">手册第6.1条款 </w:t>
            </w:r>
            <w:r>
              <w:rPr/>
              <w:sym w:font="Wingdings" w:char="00FE"/>
            </w:r>
            <w:r>
              <w:rPr>
                <w:rFonts w:hint="eastAsia"/>
              </w:rPr>
              <w:t>《</w:t>
            </w:r>
            <w:r>
              <w:rPr>
                <w:rFonts w:hint="eastAsia"/>
                <w:color w:val="000000"/>
                <w:szCs w:val="21"/>
              </w:rPr>
              <w:t>风险和机遇</w:t>
            </w:r>
            <w:r>
              <w:rPr>
                <w:rFonts w:hint="eastAsia"/>
              </w:rPr>
              <w:t>控制程序》</w:t>
            </w:r>
          </w:p>
        </w:tc>
        <w:tc>
          <w:tcPr>
            <w:tcW w:w="1590" w:type="dxa"/>
            <w:vMerge w:val="restart"/>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vMerge w:val="continue"/>
          </w:tcPr>
          <w:p>
            <w:pPr>
              <w:rPr>
                <w:color w:val="000000"/>
                <w:szCs w:val="21"/>
              </w:rPr>
            </w:pPr>
          </w:p>
        </w:tc>
        <w:tc>
          <w:tcPr>
            <w:tcW w:w="761" w:type="dxa"/>
          </w:tcPr>
          <w:p>
            <w:r>
              <w:rPr>
                <w:rFonts w:hint="eastAsia"/>
              </w:rPr>
              <w:t>运行证据</w:t>
            </w:r>
          </w:p>
        </w:tc>
        <w:tc>
          <w:tcPr>
            <w:tcW w:w="9367"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08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rFonts w:ascii="宋体" w:hAnsi="宋体" w:cs="宋体"/>
                      <w:sz w:val="18"/>
                      <w:szCs w:val="18"/>
                    </w:rPr>
                  </w:pPr>
                  <w:r>
                    <w:rPr>
                      <w:rFonts w:hint="eastAsia" w:ascii="宋体" w:hAnsi="宋体" w:cs="宋体"/>
                      <w:b/>
                      <w:sz w:val="18"/>
                      <w:szCs w:val="18"/>
                    </w:rPr>
                    <w:t>产品安全和质量风险：</w:t>
                  </w:r>
                  <w:r>
                    <w:rPr>
                      <w:rFonts w:hint="eastAsia" w:ascii="宋体" w:hAnsi="宋体" w:cs="宋体"/>
                      <w:sz w:val="18"/>
                      <w:szCs w:val="18"/>
                    </w:rPr>
                    <w:t>公司产品在国内同行业处于领先地位，考虑到产品市场容量及同行造成的压力仍然存在，市场风险比较大。</w:t>
                  </w:r>
                </w:p>
                <w:p>
                  <w:pPr>
                    <w:rPr>
                      <w:szCs w:val="22"/>
                    </w:rPr>
                  </w:pPr>
                  <w:r>
                    <w:rPr>
                      <w:rFonts w:hint="eastAsia" w:ascii="宋体" w:hAnsi="宋体" w:cs="宋体"/>
                      <w:b/>
                      <w:sz w:val="18"/>
                      <w:szCs w:val="18"/>
                    </w:rPr>
                    <w:t>产品安全和质量机遇：</w:t>
                  </w:r>
                  <w:r>
                    <w:rPr>
                      <w:rFonts w:hint="eastAsia" w:ascii="宋体" w:hAnsi="宋体" w:cs="宋体"/>
                      <w:sz w:val="18"/>
                      <w:szCs w:val="18"/>
                    </w:rPr>
                    <w:t>根据市场和客户需求积极创新，同时提高公司内部的管理水平，保持质量领先，提高公司的竞争优势。</w:t>
                  </w:r>
                </w:p>
              </w:tc>
              <w:tc>
                <w:tcPr>
                  <w:tcW w:w="3421" w:type="dxa"/>
                  <w:vAlign w:val="center"/>
                </w:tcPr>
                <w:p>
                  <w:pPr>
                    <w:rPr>
                      <w:rFonts w:ascii="宋体" w:hAnsi="宋体" w:cs="宋体"/>
                      <w:sz w:val="18"/>
                      <w:szCs w:val="18"/>
                    </w:rPr>
                  </w:pPr>
                  <w:r>
                    <w:rPr>
                      <w:rFonts w:hint="eastAsia" w:ascii="宋体" w:hAnsi="宋体" w:cs="宋体"/>
                      <w:sz w:val="18"/>
                      <w:szCs w:val="18"/>
                    </w:rPr>
                    <w:t>1、完善公司内部管理制度，加强部门的考核，提高公司管理水平，提高公司产品质量，保持竞争的优势；</w:t>
                  </w:r>
                </w:p>
                <w:p>
                  <w:pPr>
                    <w:rPr>
                      <w:szCs w:val="22"/>
                    </w:rPr>
                  </w:pPr>
                  <w:r>
                    <w:rPr>
                      <w:rFonts w:hint="eastAsia" w:ascii="宋体" w:hAnsi="宋体" w:cs="宋体"/>
                      <w:sz w:val="18"/>
                      <w:szCs w:val="18"/>
                    </w:rPr>
                    <w:t>2、积极开拓新产品市场，储备新的产品，提高市场容量。</w:t>
                  </w:r>
                </w:p>
              </w:tc>
              <w:tc>
                <w:tcPr>
                  <w:tcW w:w="2080"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rFonts w:ascii="宋体" w:hAnsi="宋体" w:cs="宋体"/>
                      <w:sz w:val="18"/>
                      <w:szCs w:val="18"/>
                    </w:rPr>
                  </w:pPr>
                  <w:r>
                    <w:rPr>
                      <w:rFonts w:hint="eastAsia" w:ascii="宋体" w:hAnsi="宋体" w:cs="宋体"/>
                      <w:b/>
                      <w:sz w:val="18"/>
                      <w:szCs w:val="18"/>
                    </w:rPr>
                    <w:t>产品安全和质量风险：</w:t>
                  </w:r>
                  <w:r>
                    <w:rPr>
                      <w:rFonts w:hint="eastAsia" w:ascii="宋体" w:hAnsi="宋体" w:cs="宋体"/>
                      <w:sz w:val="18"/>
                      <w:szCs w:val="18"/>
                    </w:rPr>
                    <w:t>目前公司原材料供应较为稳定，但是部分原材料的供应商均为国外公司，近两年国际贸易摩擦的加大给公司的采购带来一定的风险。</w:t>
                  </w:r>
                </w:p>
                <w:p>
                  <w:pPr>
                    <w:rPr>
                      <w:szCs w:val="22"/>
                    </w:rPr>
                  </w:pPr>
                  <w:r>
                    <w:rPr>
                      <w:rFonts w:hint="eastAsia" w:ascii="宋体" w:hAnsi="宋体" w:cs="宋体"/>
                      <w:b/>
                      <w:sz w:val="18"/>
                      <w:szCs w:val="18"/>
                    </w:rPr>
                    <w:t>产品安全和质量机遇：</w:t>
                  </w:r>
                  <w:r>
                    <w:rPr>
                      <w:rFonts w:hint="eastAsia" w:ascii="宋体" w:hAnsi="宋体" w:cs="宋体"/>
                      <w:sz w:val="18"/>
                      <w:szCs w:val="18"/>
                    </w:rPr>
                    <w:t>原材料供应变动给公司带来不稳定因素较大。</w:t>
                  </w:r>
                </w:p>
              </w:tc>
              <w:tc>
                <w:tcPr>
                  <w:tcW w:w="3421" w:type="dxa"/>
                  <w:vAlign w:val="center"/>
                </w:tcPr>
                <w:p>
                  <w:pPr>
                    <w:rPr>
                      <w:rFonts w:ascii="宋体" w:hAnsi="宋体" w:cs="宋体"/>
                      <w:sz w:val="18"/>
                      <w:szCs w:val="18"/>
                    </w:rPr>
                  </w:pPr>
                  <w:r>
                    <w:rPr>
                      <w:rFonts w:hint="eastAsia" w:ascii="宋体" w:hAnsi="宋体" w:cs="宋体"/>
                      <w:sz w:val="18"/>
                      <w:szCs w:val="18"/>
                    </w:rPr>
                    <w:t>1.销售部制定好原材料全年采购计划，拓展原材料采购的渠道，保证优质原材料的供应；</w:t>
                  </w:r>
                </w:p>
                <w:p>
                  <w:pPr>
                    <w:rPr>
                      <w:rFonts w:ascii="宋体" w:hAnsi="宋体" w:cs="宋体"/>
                      <w:sz w:val="18"/>
                      <w:szCs w:val="18"/>
                    </w:rPr>
                  </w:pPr>
                  <w:r>
                    <w:rPr>
                      <w:rFonts w:hint="eastAsia" w:ascii="宋体" w:hAnsi="宋体" w:cs="宋体"/>
                      <w:sz w:val="18"/>
                      <w:szCs w:val="18"/>
                    </w:rPr>
                    <w:t>2、公司提供财务支持，对主要供应商的优质原材料保持价格优势，促进原材料的有序采购；</w:t>
                  </w:r>
                </w:p>
                <w:p>
                  <w:pPr>
                    <w:rPr>
                      <w:szCs w:val="22"/>
                    </w:rPr>
                  </w:pPr>
                  <w:r>
                    <w:rPr>
                      <w:rFonts w:hint="eastAsia" w:ascii="宋体" w:hAnsi="宋体" w:cs="宋体"/>
                      <w:sz w:val="18"/>
                      <w:szCs w:val="18"/>
                    </w:rPr>
                    <w:t>3、仓库做好到货原材料的库位安排，保证到货的原材料能及时入库。</w:t>
                  </w:r>
                </w:p>
              </w:tc>
              <w:tc>
                <w:tcPr>
                  <w:tcW w:w="2080" w:type="dxa"/>
                </w:tcPr>
                <w:p>
                  <w:pPr>
                    <w:rPr>
                      <w:highlight w:val="yellow"/>
                    </w:rPr>
                  </w:pPr>
                  <w:r>
                    <w:rPr>
                      <w:rFonts w:hint="eastAsia"/>
                    </w:rPr>
                    <w:t>基本有效</w:t>
                  </w: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Pr>
              <w:rPr>
                <w:highlight w:val="yellow"/>
              </w:rPr>
            </w:pPr>
          </w:p>
          <w:p>
            <w:r>
              <w:rPr>
                <w:rFonts w:hint="eastAsia"/>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rFonts w:asciiTheme="minorEastAsia" w:hAnsiTheme="minorEastAsia" w:eastAsiaTheme="minorEastAsia"/>
                      <w:szCs w:val="21"/>
                    </w:rPr>
                  </w:pPr>
                  <w:r>
                    <w:rPr>
                      <w:rFonts w:hint="eastAsia" w:asciiTheme="minorEastAsia" w:hAnsiTheme="minorEastAsia" w:eastAsiaTheme="minorEastAsia"/>
                      <w:szCs w:val="21"/>
                    </w:rPr>
                    <w:t>主要的机遇描述</w:t>
                  </w:r>
                </w:p>
              </w:tc>
              <w:tc>
                <w:tcPr>
                  <w:tcW w:w="3760" w:type="dxa"/>
                </w:tcPr>
                <w:p>
                  <w:pPr>
                    <w:rPr>
                      <w:rFonts w:asciiTheme="minorEastAsia" w:hAnsiTheme="minorEastAsia" w:eastAsiaTheme="minorEastAsia"/>
                      <w:szCs w:val="21"/>
                    </w:rPr>
                  </w:pPr>
                  <w:r>
                    <w:rPr>
                      <w:rFonts w:hint="eastAsia" w:asciiTheme="minorEastAsia" w:hAnsiTheme="minorEastAsia" w:eastAsiaTheme="minorEastAsia"/>
                      <w:szCs w:val="21"/>
                    </w:rPr>
                    <w:t>应对措施</w:t>
                  </w:r>
                </w:p>
              </w:tc>
              <w:tc>
                <w:tcPr>
                  <w:tcW w:w="2071" w:type="dxa"/>
                </w:tcPr>
                <w:p>
                  <w:pPr>
                    <w:rPr>
                      <w:rFonts w:asciiTheme="minorEastAsia" w:hAnsiTheme="minorEastAsia" w:eastAsiaTheme="minorEastAsia"/>
                      <w:szCs w:val="21"/>
                    </w:rPr>
                  </w:pPr>
                  <w:r>
                    <w:rPr>
                      <w:rFonts w:hint="eastAsia" w:asciiTheme="minorEastAsia" w:hAnsiTheme="minorEastAsia" w:eastAsiaTheme="minor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rPr>
                      <w:rFonts w:ascii="宋体" w:hAnsi="宋体" w:cs="宋体"/>
                      <w:spacing w:val="-6"/>
                      <w:sz w:val="18"/>
                      <w:szCs w:val="18"/>
                    </w:rPr>
                  </w:pPr>
                  <w:r>
                    <w:rPr>
                      <w:rFonts w:hint="eastAsia" w:ascii="宋体" w:hAnsi="宋体" w:cs="宋体"/>
                      <w:spacing w:val="-6"/>
                      <w:sz w:val="18"/>
                      <w:szCs w:val="18"/>
                    </w:rPr>
                    <w:t>完善流程，提高执行力，可以提高公司的管理水平。</w:t>
                  </w:r>
                </w:p>
                <w:p>
                  <w:pPr>
                    <w:rPr>
                      <w:rFonts w:cs="宋体" w:asciiTheme="minorEastAsia" w:hAnsiTheme="minorEastAsia" w:eastAsiaTheme="minorEastAsia"/>
                      <w:color w:val="000000"/>
                      <w:szCs w:val="21"/>
                    </w:rPr>
                  </w:pPr>
                  <w:r>
                    <w:rPr>
                      <w:rFonts w:hint="eastAsia" w:ascii="宋体" w:hAnsi="宋体" w:cs="宋体"/>
                      <w:spacing w:val="-6"/>
                      <w:sz w:val="18"/>
                      <w:szCs w:val="18"/>
                    </w:rPr>
                    <w:t>根据市场和客户需求，研发新产品提高公司的市场竞争力，为公司发展提供新机遇。</w:t>
                  </w:r>
                </w:p>
              </w:tc>
              <w:tc>
                <w:tcPr>
                  <w:tcW w:w="3760" w:type="dxa"/>
                </w:tcPr>
                <w:p>
                  <w:pPr>
                    <w:rPr>
                      <w:rFonts w:ascii="宋体" w:hAnsi="宋体" w:cs="宋体"/>
                      <w:sz w:val="18"/>
                      <w:szCs w:val="18"/>
                    </w:rPr>
                  </w:pPr>
                  <w:r>
                    <w:rPr>
                      <w:rFonts w:hint="eastAsia" w:ascii="宋体" w:hAnsi="宋体" w:cs="宋体"/>
                      <w:sz w:val="18"/>
                      <w:szCs w:val="18"/>
                    </w:rPr>
                    <w:t>1、各级部门必须严格按照流程开展日常工作，对出现的不符合情况及时调整文件，保持流程的可操作性；</w:t>
                  </w:r>
                </w:p>
                <w:p>
                  <w:pPr>
                    <w:widowControl/>
                    <w:jc w:val="left"/>
                    <w:textAlignment w:val="center"/>
                    <w:rPr>
                      <w:rFonts w:ascii="宋体" w:hAnsi="宋体" w:cs="宋体"/>
                      <w:sz w:val="18"/>
                      <w:szCs w:val="18"/>
                    </w:rPr>
                  </w:pPr>
                  <w:r>
                    <w:rPr>
                      <w:rFonts w:hint="eastAsia" w:ascii="宋体" w:hAnsi="宋体" w:cs="宋体"/>
                      <w:sz w:val="18"/>
                      <w:szCs w:val="18"/>
                    </w:rPr>
                    <w:t>2、公司组织定期组织进行流程的评审。</w:t>
                  </w:r>
                </w:p>
                <w:p>
                  <w:pPr>
                    <w:rPr>
                      <w:rFonts w:ascii="宋体" w:hAnsi="宋体" w:cs="宋体"/>
                      <w:sz w:val="18"/>
                      <w:szCs w:val="18"/>
                    </w:rPr>
                  </w:pPr>
                  <w:r>
                    <w:rPr>
                      <w:rFonts w:hint="eastAsia" w:ascii="宋体" w:hAnsi="宋体" w:cs="宋体"/>
                      <w:sz w:val="18"/>
                      <w:szCs w:val="18"/>
                    </w:rPr>
                    <w:t>1、生产部加强生产安排计划的科学性；</w:t>
                  </w:r>
                </w:p>
                <w:p>
                  <w:pPr>
                    <w:rPr>
                      <w:rFonts w:ascii="宋体" w:hAnsi="宋体" w:cs="宋体"/>
                      <w:sz w:val="18"/>
                      <w:szCs w:val="18"/>
                    </w:rPr>
                  </w:pPr>
                  <w:r>
                    <w:rPr>
                      <w:rFonts w:hint="eastAsia" w:ascii="宋体" w:hAnsi="宋体" w:cs="宋体"/>
                      <w:sz w:val="18"/>
                      <w:szCs w:val="18"/>
                    </w:rPr>
                    <w:t>2、生产部加强工艺的管理控制，提高生产一次成功率；</w:t>
                  </w:r>
                </w:p>
                <w:p>
                  <w:pPr>
                    <w:widowControl/>
                    <w:jc w:val="left"/>
                    <w:textAlignment w:val="center"/>
                    <w:rPr>
                      <w:rFonts w:cs="宋体" w:asciiTheme="minorEastAsia" w:hAnsiTheme="minorEastAsia" w:eastAsiaTheme="minorEastAsia"/>
                      <w:color w:val="000000"/>
                      <w:szCs w:val="21"/>
                    </w:rPr>
                  </w:pPr>
                  <w:r>
                    <w:rPr>
                      <w:rFonts w:hint="eastAsia" w:ascii="宋体" w:hAnsi="宋体" w:cs="宋体"/>
                      <w:sz w:val="18"/>
                      <w:szCs w:val="18"/>
                    </w:rPr>
                    <w:t>3、生产部按照公司的年度计划，做好新产品的开发和申报，为公司后续发展提供储备力量。</w:t>
                  </w:r>
                </w:p>
              </w:tc>
              <w:tc>
                <w:tcPr>
                  <w:tcW w:w="2071" w:type="dxa"/>
                </w:tcPr>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基本有效</w:t>
                  </w: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停天然气   </w:t>
            </w:r>
          </w:p>
          <w:p>
            <w:pPr>
              <w:ind w:firstLine="420"/>
              <w:rPr>
                <w:u w:val="single"/>
              </w:rPr>
            </w:pPr>
            <w:r>
              <w:rPr>
                <w:rFonts w:hint="eastAsia"/>
                <w:u w:val="single"/>
              </w:rPr>
              <w:sym w:font="Wingdings" w:char="00A8"/>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停蒸汽   </w:t>
            </w:r>
            <w:r>
              <w:rPr>
                <w:rFonts w:hint="eastAsia"/>
                <w:u w:val="single"/>
              </w:rPr>
              <w:sym w:font="Wingdings" w:char="00A8"/>
            </w:r>
            <w:r>
              <w:rPr>
                <w:rFonts w:hint="eastAsia"/>
                <w:u w:val="single"/>
              </w:rPr>
              <w:t xml:space="preserve"> 其他    </w:t>
            </w:r>
          </w:p>
          <w:p>
            <w:pPr>
              <w:ind w:firstLine="420"/>
              <w:rPr>
                <w:u w:val="single"/>
              </w:rPr>
            </w:pP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tcPr>
          <w:p>
            <w:r>
              <w:rPr>
                <w:rFonts w:hint="eastAsia"/>
                <w:color w:val="000000"/>
                <w:szCs w:val="21"/>
              </w:rPr>
              <w:t>F6.1.2</w:t>
            </w:r>
          </w:p>
        </w:tc>
        <w:tc>
          <w:tcPr>
            <w:tcW w:w="761" w:type="dxa"/>
          </w:tcPr>
          <w:p>
            <w:r>
              <w:rPr>
                <w:rFonts w:hint="eastAsia"/>
              </w:rPr>
              <w:t>运行证据</w:t>
            </w:r>
          </w:p>
        </w:tc>
        <w:tc>
          <w:tcPr>
            <w:tcW w:w="9367"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tcPr>
          <w:p>
            <w:r>
              <w:rPr>
                <w:rFonts w:hint="eastAsia"/>
                <w:color w:val="000000"/>
                <w:szCs w:val="21"/>
              </w:rPr>
              <w:t>F6.1.3</w:t>
            </w:r>
          </w:p>
        </w:tc>
        <w:tc>
          <w:tcPr>
            <w:tcW w:w="761" w:type="dxa"/>
          </w:tcPr>
          <w:p>
            <w:r>
              <w:rPr>
                <w:rFonts w:hint="eastAsia"/>
              </w:rPr>
              <w:t>运行证据</w:t>
            </w:r>
          </w:p>
        </w:tc>
        <w:tc>
          <w:tcPr>
            <w:tcW w:w="9367"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color w:val="000000"/>
                <w:szCs w:val="21"/>
              </w:rPr>
              <w:t>食品安全管理体系目标及其实现的策划</w:t>
            </w:r>
          </w:p>
        </w:tc>
        <w:tc>
          <w:tcPr>
            <w:tcW w:w="952" w:type="dxa"/>
            <w:vMerge w:val="restart"/>
            <w:shd w:val="clear" w:color="auto" w:fill="FFFFFF" w:themeFill="background1"/>
          </w:tcPr>
          <w:p>
            <w:r>
              <w:rPr>
                <w:rFonts w:hint="eastAsia"/>
                <w:color w:val="000000"/>
                <w:szCs w:val="21"/>
              </w:rPr>
              <w:t>F6.2</w:t>
            </w:r>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sym w:font="Wingdings" w:char="00FE"/>
            </w:r>
            <w:r>
              <w:rPr>
                <w:rFonts w:hint="eastAsia"/>
              </w:rPr>
              <w:t>手册第6.2条款、</w:t>
            </w:r>
            <w:r>
              <w:rPr/>
              <w:sym w:font="Wingdings" w:char="00FE"/>
            </w:r>
            <w:r>
              <w:rPr>
                <w:rFonts w:hint="eastAsia"/>
              </w:rPr>
              <w:t>“</w:t>
            </w:r>
            <w:bookmarkStart w:id="1" w:name="_Toc146529956"/>
            <w:bookmarkStart w:id="2" w:name="_Toc145400879"/>
            <w:bookmarkStart w:id="3" w:name="_Toc145402008"/>
            <w:bookmarkStart w:id="4" w:name="_Toc154807529"/>
            <w:bookmarkStart w:id="5" w:name="_Toc149970707"/>
            <w:r>
              <w:rPr>
                <w:rFonts w:hint="eastAsia"/>
              </w:rPr>
              <w:t>食品安全方针与目标</w:t>
            </w:r>
            <w:bookmarkEnd w:id="1"/>
            <w:bookmarkEnd w:id="2"/>
            <w:bookmarkEnd w:id="3"/>
            <w:bookmarkEnd w:id="4"/>
            <w:bookmarkEnd w:id="5"/>
            <w:r>
              <w:rPr>
                <w:rFonts w:hint="eastAsia"/>
              </w:rPr>
              <w:t>”</w:t>
            </w:r>
            <w:r>
              <w:rPr/>
              <w:sym w:font="Wingdings" w:char="00A8"/>
            </w:r>
            <w:r>
              <w:rPr>
                <w:rFonts w:hint="eastAsia"/>
              </w:rPr>
              <w:t>《食品安全目标和考核指标及实施统计表</w:t>
            </w:r>
          </w:p>
          <w:p>
            <w:r>
              <w:rPr>
                <w:rFonts w:hint="eastAsia"/>
              </w:rPr>
              <w:t>》、《分解目标》</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1114"/>
              <w:gridCol w:w="302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1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302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4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年1月-</w:t>
                  </w:r>
                  <w:r>
                    <w:rPr>
                      <w:rFonts w:asciiTheme="minorEastAsia" w:hAnsiTheme="minorEastAsia" w:eastAsiaTheme="minorEastAsia"/>
                      <w:szCs w:val="21"/>
                    </w:rPr>
                    <w:t>6</w:t>
                  </w:r>
                  <w:r>
                    <w:rPr>
                      <w:rFonts w:hint="eastAsia" w:asciiTheme="minorEastAsia" w:hAnsiTheme="minorEastAsia" w:eastAsia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食品包装安全卫生事故发生为0次/年</w:t>
                  </w:r>
                </w:p>
              </w:tc>
              <w:tc>
                <w:tcPr>
                  <w:tcW w:w="1114" w:type="dxa"/>
                  <w:shd w:val="clear" w:color="auto" w:fill="auto"/>
                </w:tcPr>
                <w:p>
                  <w:pPr>
                    <w:rPr>
                      <w:rFonts w:asciiTheme="minorEastAsia" w:hAnsiTheme="minorEastAsia" w:eastAsiaTheme="minorEastAsia"/>
                      <w:szCs w:val="21"/>
                      <w:lang w:val="en-GB"/>
                    </w:rPr>
                  </w:pPr>
                  <w:r>
                    <w:rPr>
                      <w:rFonts w:hint="eastAsia" w:asciiTheme="minorEastAsia" w:hAnsiTheme="minorEastAsia" w:eastAsiaTheme="minorEastAsia"/>
                      <w:szCs w:val="21"/>
                    </w:rPr>
                    <w:t>季度</w:t>
                  </w:r>
                </w:p>
              </w:tc>
              <w:tc>
                <w:tcPr>
                  <w:tcW w:w="3022" w:type="dxa"/>
                  <w:shd w:val="clear" w:color="auto" w:fill="auto"/>
                </w:tcPr>
                <w:p>
                  <w:pPr>
                    <w:jc w:val="center"/>
                    <w:rPr>
                      <w:rFonts w:asciiTheme="minorEastAsia" w:hAnsiTheme="minorEastAsia" w:eastAsiaTheme="minorEastAsia"/>
                      <w:szCs w:val="21"/>
                    </w:rPr>
                  </w:pPr>
                  <w:r>
                    <w:rPr>
                      <w:rFonts w:hint="eastAsia" w:asciiTheme="minorEastAsia" w:hAnsiTheme="minorEastAsia" w:eastAsiaTheme="minorEastAsia"/>
                      <w:szCs w:val="21"/>
                    </w:rPr>
                    <w:t>实际发生次数</w:t>
                  </w:r>
                </w:p>
                <w:p>
                  <w:pPr>
                    <w:jc w:val="center"/>
                    <w:rPr>
                      <w:rFonts w:asciiTheme="minorEastAsia" w:hAnsiTheme="minorEastAsia" w:eastAsiaTheme="minorEastAsia"/>
                      <w:szCs w:val="21"/>
                    </w:rPr>
                  </w:pPr>
                </w:p>
              </w:tc>
              <w:tc>
                <w:tcPr>
                  <w:tcW w:w="241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成品一次交检合格率≥95%</w:t>
                  </w:r>
                </w:p>
              </w:tc>
              <w:tc>
                <w:tcPr>
                  <w:tcW w:w="111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022" w:type="dxa"/>
                  <w:shd w:val="clear" w:color="auto" w:fill="auto"/>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一次检验合格批次/检验总批次*100%</w:t>
                  </w:r>
                </w:p>
              </w:tc>
              <w:tc>
                <w:tcPr>
                  <w:tcW w:w="2410"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顾客满意度≥90分</w:t>
                  </w:r>
                </w:p>
              </w:tc>
              <w:tc>
                <w:tcPr>
                  <w:tcW w:w="111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022" w:type="dxa"/>
                  <w:shd w:val="clear" w:color="auto" w:fill="auto"/>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顾客满意度分数之和／顾客数目</w:t>
                  </w:r>
                </w:p>
              </w:tc>
              <w:tc>
                <w:tcPr>
                  <w:tcW w:w="2410" w:type="dxa"/>
                  <w:shd w:val="clear" w:color="auto" w:fill="auto"/>
                  <w:vAlign w:val="center"/>
                </w:tcPr>
                <w:p>
                  <w:pPr>
                    <w:autoSpaceDN w:val="0"/>
                    <w:jc w:val="center"/>
                    <w:textAlignment w:val="center"/>
                    <w:rPr>
                      <w:rFonts w:asciiTheme="minorEastAsia" w:hAnsiTheme="minorEastAsia" w:eastAsiaTheme="minorEastAsia"/>
                      <w:szCs w:val="21"/>
                    </w:rPr>
                  </w:pPr>
                  <w:r>
                    <w:rPr>
                      <w:rFonts w:asciiTheme="minorEastAsia" w:hAnsiTheme="minorEastAsia" w:eastAsiaTheme="minorEastAsia"/>
                      <w:szCs w:val="21"/>
                    </w:rPr>
                    <w:t>98</w:t>
                  </w:r>
                  <w:r>
                    <w:rPr>
                      <w:rFonts w:hint="eastAsia" w:asciiTheme="minorEastAsia" w:hAnsiTheme="minorEastAsia" w:eastAsiaTheme="minorEastAsia"/>
                      <w:szCs w:val="21"/>
                    </w:rPr>
                    <w:t>分</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color w:val="000000"/>
                <w:szCs w:val="21"/>
              </w:rPr>
            </w:pPr>
            <w:r>
              <w:rPr>
                <w:rFonts w:hint="eastAsia"/>
                <w:color w:val="000000"/>
                <w:szCs w:val="21"/>
              </w:rPr>
              <w:t>变更的策划</w:t>
            </w:r>
          </w:p>
          <w:p/>
        </w:tc>
        <w:tc>
          <w:tcPr>
            <w:tcW w:w="952" w:type="dxa"/>
            <w:vMerge w:val="restart"/>
            <w:shd w:val="clear" w:color="auto" w:fill="FFFFFF" w:themeFill="background1"/>
          </w:tcPr>
          <w:p>
            <w:r>
              <w:rPr>
                <w:rFonts w:hint="eastAsia"/>
                <w:color w:val="000000"/>
                <w:szCs w:val="21"/>
              </w:rPr>
              <w:t>F6.3</w:t>
            </w:r>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如：手册第6.3条款、</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☑其他（自体系建立以来没有发生变更）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资源（总则）</w:t>
            </w:r>
          </w:p>
        </w:tc>
        <w:tc>
          <w:tcPr>
            <w:tcW w:w="952" w:type="dxa"/>
            <w:vMerge w:val="restart"/>
          </w:tcPr>
          <w:p>
            <w:r>
              <w:rPr>
                <w:rFonts w:hint="eastAsia"/>
                <w:color w:val="000000"/>
                <w:szCs w:val="21"/>
              </w:rPr>
              <w:t>F7.1.1</w:t>
            </w:r>
          </w:p>
        </w:tc>
        <w:tc>
          <w:tcPr>
            <w:tcW w:w="761" w:type="dxa"/>
          </w:tcPr>
          <w:p>
            <w:r>
              <w:rPr>
                <w:rFonts w:hint="eastAsia"/>
              </w:rPr>
              <w:t>文件名称</w:t>
            </w:r>
          </w:p>
        </w:tc>
        <w:tc>
          <w:tcPr>
            <w:tcW w:w="9367" w:type="dxa"/>
          </w:tcPr>
          <w:p>
            <w:r>
              <w:rPr>
                <w:rFonts w:hint="eastAsia"/>
              </w:rPr>
              <w:t>如：手册第7.1条款、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pPr>
              <w:ind w:firstLine="210" w:firstLineChars="100"/>
            </w:pPr>
            <w:r>
              <w:rPr>
                <w:rFonts w:hint="eastAsia"/>
              </w:rPr>
              <w:t>建筑面积</w:t>
            </w:r>
            <w:r>
              <w:rPr>
                <w:rFonts w:hint="eastAsia"/>
                <w:u w:val="single"/>
              </w:rPr>
              <w:t xml:space="preserve"> </w:t>
            </w:r>
            <w:r>
              <w:rPr>
                <w:rFonts w:hint="eastAsia"/>
                <w:u w:val="single"/>
                <w:lang w:val="en-US" w:eastAsia="zh-CN"/>
              </w:rPr>
              <w:t>20000</w:t>
            </w:r>
            <w:r>
              <w:rPr>
                <w:rFonts w:hint="eastAsia"/>
              </w:rPr>
              <w:t>平方米,；加工间</w:t>
            </w:r>
            <w:r>
              <w:rPr>
                <w:rFonts w:hint="eastAsia"/>
                <w:u w:val="single"/>
              </w:rPr>
              <w:t xml:space="preserve"> 1 </w:t>
            </w:r>
            <w:r>
              <w:rPr>
                <w:rFonts w:hint="eastAsia"/>
              </w:rPr>
              <w:t>个；库房</w:t>
            </w:r>
            <w:r>
              <w:rPr>
                <w:rFonts w:hint="eastAsia"/>
                <w:u w:val="single"/>
              </w:rPr>
              <w:t xml:space="preserve"> 2 </w:t>
            </w:r>
            <w:r>
              <w:rPr>
                <w:rFonts w:hint="eastAsia"/>
              </w:rPr>
              <w:t>个（4316平</w:t>
            </w:r>
            <w:r>
              <w:t>方米）</w:t>
            </w:r>
            <w:r>
              <w:rPr>
                <w:rFonts w:hint="eastAsia"/>
              </w:rPr>
              <w:t>；化验室</w:t>
            </w:r>
            <w:r>
              <w:rPr>
                <w:rFonts w:hint="eastAsia"/>
                <w:u w:val="single"/>
              </w:rPr>
              <w:t xml:space="preserve"> 1 </w:t>
            </w:r>
            <w:r>
              <w:rPr>
                <w:rFonts w:hint="eastAsia"/>
              </w:rPr>
              <w:t>个；办公楼</w:t>
            </w:r>
            <w:r>
              <w:rPr>
                <w:u w:val="single"/>
              </w:rPr>
              <w:t>1</w:t>
            </w:r>
            <w:r>
              <w:rPr>
                <w:rFonts w:hint="eastAsia"/>
              </w:rPr>
              <w:t>幢；</w:t>
            </w:r>
          </w:p>
          <w:p>
            <w:pPr>
              <w:ind w:firstLine="210" w:firstLineChars="100"/>
              <w:rPr>
                <w:rFonts w:ascii="宋体" w:hAnsi="宋体"/>
                <w:szCs w:val="21"/>
                <w:u w:val="single"/>
              </w:rPr>
            </w:pPr>
            <w:r>
              <w:rPr>
                <w:rFonts w:hint="eastAsia" w:ascii="宋体" w:hAnsi="宋体"/>
                <w:szCs w:val="21"/>
                <w:u w:val="single"/>
              </w:rPr>
              <w:t>查看原料入库、生产加工、成品出库等过程管理，与流程图基本一致。</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sym w:font="Wingdings" w:char="00FE"/>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rFonts w:hint="eastAsia"/>
              </w:rPr>
              <w:sym w:font="Wingdings" w:char="00FE"/>
            </w:r>
            <w:r>
              <w:rPr>
                <w:rFonts w:hint="eastAsia"/>
                <w:color w:val="000000"/>
              </w:rPr>
              <w:t xml:space="preserve">食堂  </w:t>
            </w:r>
            <w:r>
              <w:rPr>
                <w:rFonts w:hint="eastAsia"/>
              </w:rPr>
              <w:sym w:font="Wingdings" w:char="00FE"/>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w:t>
            </w:r>
            <w:bookmarkStart w:id="6" w:name="_GoBack"/>
            <w:r>
              <w:rPr>
                <w:rFonts w:hint="eastAsia"/>
                <w:u w:val="single"/>
              </w:rPr>
              <w:t xml:space="preserve"> </w:t>
            </w:r>
            <w:r>
              <w:rPr>
                <w:rFonts w:hint="eastAsia"/>
                <w:sz w:val="20"/>
                <w:u w:val="single"/>
              </w:rPr>
              <w:t>湿式复合机、</w:t>
            </w:r>
            <w:r>
              <w:rPr>
                <w:rFonts w:hint="eastAsia" w:ascii="宋体" w:hAnsi="宋体" w:cs="宋体"/>
                <w:kern w:val="0"/>
                <w:sz w:val="20"/>
                <w:u w:val="single"/>
              </w:rPr>
              <w:t>干式复合机、</w:t>
            </w:r>
            <w:r>
              <w:rPr>
                <w:rFonts w:ascii="宋体" w:hAnsi="宋体" w:cs="宋体"/>
                <w:kern w:val="0"/>
                <w:sz w:val="20"/>
                <w:u w:val="single"/>
              </w:rPr>
              <w:t>剥离复卷机</w:t>
            </w:r>
            <w:r>
              <w:rPr>
                <w:rFonts w:hint="eastAsia" w:ascii="宋体" w:hAnsi="宋体" w:cs="宋体"/>
                <w:kern w:val="0"/>
                <w:sz w:val="20"/>
                <w:u w:val="single"/>
              </w:rPr>
              <w:t>、铝箔压纹机</w:t>
            </w:r>
            <w:bookmarkEnd w:id="6"/>
            <w:r>
              <w:rPr>
                <w:rFonts w:hint="eastAsia"/>
                <w:u w:val="single"/>
              </w:rPr>
              <w:t xml:space="preserve">        （列举2~4种）</w:t>
            </w:r>
          </w:p>
          <w:p>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不</w:t>
            </w:r>
            <w:r>
              <w:rPr>
                <w:u w:val="single"/>
              </w:rPr>
              <w:t>涉及</w:t>
            </w:r>
            <w:r>
              <w:rPr>
                <w:rFonts w:hint="eastAsia"/>
                <w:u w:val="single"/>
              </w:rPr>
              <w:t xml:space="preserve">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不涉</w:t>
            </w:r>
            <w:r>
              <w:rPr>
                <w:u w:val="single"/>
              </w:rPr>
              <w:t>及</w:t>
            </w:r>
            <w:r>
              <w:rPr>
                <w:rFonts w:hint="eastAsia"/>
                <w:u w:val="single"/>
              </w:rPr>
              <w:t xml:space="preserve">                       </w:t>
            </w:r>
            <w:r>
              <w:rPr>
                <w:rFonts w:hint="eastAsia"/>
              </w:rPr>
              <w:t xml:space="preserve">  </w:t>
            </w:r>
          </w:p>
          <w:p>
            <w:r>
              <w:rPr>
                <w:rFonts w:hint="eastAsia"/>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vMerge w:val="restart"/>
          </w:tcPr>
          <w:p>
            <w:r>
              <w:rPr>
                <w:rFonts w:hint="eastAsia"/>
              </w:rPr>
              <w:t xml:space="preserve">沟通  </w:t>
            </w:r>
          </w:p>
        </w:tc>
        <w:tc>
          <w:tcPr>
            <w:tcW w:w="952" w:type="dxa"/>
            <w:vMerge w:val="restart"/>
          </w:tcPr>
          <w:p>
            <w:r>
              <w:rPr>
                <w:rFonts w:hint="eastAsia"/>
              </w:rPr>
              <w:t xml:space="preserve">F7.4  </w:t>
            </w:r>
          </w:p>
        </w:tc>
        <w:tc>
          <w:tcPr>
            <w:tcW w:w="761" w:type="dxa"/>
          </w:tcPr>
          <w:p>
            <w:r>
              <w:rPr>
                <w:rFonts w:hint="eastAsia"/>
              </w:rPr>
              <w:t>文件名称</w:t>
            </w:r>
          </w:p>
        </w:tc>
        <w:tc>
          <w:tcPr>
            <w:tcW w:w="9368" w:type="dxa"/>
          </w:tcPr>
          <w:p>
            <w:r>
              <w:rPr>
                <w:rFonts w:hint="eastAsia"/>
              </w:rPr>
              <w:t>如：管理手册第7.4章、《内外部沟通控制程序》</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tcPr>
          <w:p/>
        </w:tc>
        <w:tc>
          <w:tcPr>
            <w:tcW w:w="952" w:type="dxa"/>
            <w:vMerge w:val="continue"/>
          </w:tcPr>
          <w:p/>
        </w:tc>
        <w:tc>
          <w:tcPr>
            <w:tcW w:w="761" w:type="dxa"/>
          </w:tcPr>
          <w:p>
            <w:r>
              <w:rPr>
                <w:rFonts w:hint="eastAsia"/>
              </w:rPr>
              <w:t>运行证据</w:t>
            </w:r>
          </w:p>
        </w:tc>
        <w:tc>
          <w:tcPr>
            <w:tcW w:w="9368" w:type="dxa"/>
          </w:tcPr>
          <w:p>
            <w:r>
              <w:rPr>
                <w:rFonts w:hint="eastAsia"/>
              </w:rPr>
              <w:t>组织考虑了合规义务，确保质量/食品安全信息与质量/食品安全管理体系形成的信息一致且真实可信。一般由办公室负责。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☑表单传递 ☑微信 ☑QQ ☑展板 </w:t>
            </w:r>
            <w:r>
              <w:rPr>
                <w:rFonts w:hint="eastAsia"/>
                <w:color w:val="000000"/>
                <w:szCs w:val="21"/>
              </w:rPr>
              <w:sym w:font="Wingdings 2" w:char="0052"/>
            </w:r>
            <w:r>
              <w:rPr>
                <w:rFonts w:hint="eastAsia"/>
                <w:color w:val="000000"/>
                <w:szCs w:val="21"/>
              </w:rPr>
              <w:t>标语</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监视、测量、分析和评价</w:t>
            </w:r>
          </w:p>
          <w:p/>
        </w:tc>
        <w:tc>
          <w:tcPr>
            <w:tcW w:w="952" w:type="dxa"/>
            <w:vMerge w:val="restart"/>
          </w:tcPr>
          <w:p>
            <w:r>
              <w:rPr>
                <w:rFonts w:hint="eastAsia"/>
              </w:rPr>
              <w:t>F9.1.1</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管理手册9.1.1章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r>
              <w:rPr>
                <w:rFonts w:hint="eastAsia"/>
              </w:rPr>
              <w:t>组织对监视和测量的食品安全绩效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评价其食品安全绩效所依据的准则和适当的参数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原辅料及包装材料</w:t>
                  </w:r>
                </w:p>
              </w:tc>
              <w:tc>
                <w:tcPr>
                  <w:tcW w:w="2149" w:type="dxa"/>
                </w:tcPr>
                <w:p>
                  <w:r>
                    <w:rPr>
                      <w:rFonts w:hint="eastAsia"/>
                    </w:rPr>
                    <w:t>索证、入厂检验</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 xml:space="preserve">□每年 </w:t>
                  </w:r>
                  <w:r>
                    <w:rPr>
                      <w:rFonts w:hint="eastAsia"/>
                      <w:color w:val="000000"/>
                      <w:szCs w:val="21"/>
                    </w:rPr>
                    <w:sym w:font="Wingdings 2" w:char="0052"/>
                  </w:r>
                  <w:r>
                    <w:rPr>
                      <w:rFonts w:hint="eastAsia"/>
                    </w:rPr>
                    <w:t>其他（每批）</w:t>
                  </w:r>
                </w:p>
              </w:tc>
              <w:tc>
                <w:tcPr>
                  <w:tcW w:w="1887" w:type="dxa"/>
                  <w:vAlign w:val="center"/>
                </w:tcPr>
                <w:p>
                  <w:pPr>
                    <w:rPr>
                      <w:szCs w:val="22"/>
                    </w:rPr>
                  </w:pPr>
                  <w:r>
                    <w:rPr>
                      <w:rFonts w:hint="eastAsia"/>
                      <w:szCs w:val="22"/>
                    </w:rPr>
                    <w:t>G</w:t>
                  </w:r>
                  <w:r>
                    <w:rPr>
                      <w:szCs w:val="22"/>
                    </w:rPr>
                    <w:t>B/T16958-2008</w:t>
                  </w:r>
                </w:p>
                <w:p>
                  <w:pPr>
                    <w:rPr>
                      <w:szCs w:val="22"/>
                    </w:rPr>
                  </w:pPr>
                  <w:r>
                    <w:rPr>
                      <w:szCs w:val="22"/>
                    </w:rPr>
                    <w:t>YC/T 207-2014</w:t>
                  </w:r>
                </w:p>
                <w:p>
                  <w:pPr>
                    <w:rPr>
                      <w:szCs w:val="22"/>
                    </w:rPr>
                  </w:pPr>
                  <w:r>
                    <w:rPr>
                      <w:szCs w:val="22"/>
                    </w:rPr>
                    <w:t>YQ/T35-2013</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 xml:space="preserve">☑每年 ☑每半年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成品</w:t>
                  </w:r>
                </w:p>
              </w:tc>
              <w:tc>
                <w:tcPr>
                  <w:tcW w:w="2149" w:type="dxa"/>
                </w:tcPr>
                <w:p>
                  <w:r>
                    <w:rPr>
                      <w:rFonts w:hint="eastAsia"/>
                    </w:rPr>
                    <w:t>委托第三方检测</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pPr>
                    <w:rPr>
                      <w:szCs w:val="22"/>
                    </w:rPr>
                  </w:pPr>
                  <w:r>
                    <w:rPr>
                      <w:szCs w:val="22"/>
                    </w:rPr>
                    <w:t>Q/CTQTC36-2016</w:t>
                  </w:r>
                </w:p>
                <w:p>
                  <w:pPr>
                    <w:rPr>
                      <w:szCs w:val="22"/>
                    </w:rPr>
                  </w:pPr>
                  <w:r>
                    <w:rPr>
                      <w:szCs w:val="22"/>
                    </w:rPr>
                    <w:t>YQ/T33-2013</w:t>
                  </w:r>
                </w:p>
                <w:p>
                  <w:pPr>
                    <w:rPr>
                      <w:szCs w:val="22"/>
                    </w:rPr>
                  </w:pPr>
                  <w:r>
                    <w:rPr>
                      <w:szCs w:val="22"/>
                    </w:rPr>
                    <w:t>GB/T7974-2013</w:t>
                  </w:r>
                </w:p>
                <w:p>
                  <w:pPr>
                    <w:rPr>
                      <w:szCs w:val="22"/>
                    </w:rPr>
                  </w:pPr>
                  <w:r>
                    <w:rPr>
                      <w:szCs w:val="22"/>
                    </w:rPr>
                    <w:t>Q/CTQTC7-2015</w:t>
                  </w:r>
                </w:p>
                <w:p>
                  <w:pPr>
                    <w:rPr>
                      <w:szCs w:val="22"/>
                    </w:rPr>
                  </w:pPr>
                  <w:r>
                    <w:rPr>
                      <w:szCs w:val="22"/>
                    </w:rPr>
                    <w:t>YC/T316-2014</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p/>
              </w:tc>
              <w:tc>
                <w:tcPr>
                  <w:tcW w:w="1887" w:type="dxa"/>
                </w:tcPr>
                <w:p>
                  <w:pPr>
                    <w:ind w:firstLine="4095" w:firstLineChars="1950"/>
                    <w:contextualSpacing/>
                    <w:rPr>
                      <w:szCs w:val="22"/>
                    </w:rPr>
                  </w:pPr>
                  <w:r>
                    <w:rPr>
                      <w:rFonts w:hint="eastAsia"/>
                      <w:szCs w:val="22"/>
                    </w:rPr>
                    <w:t>生《</w:t>
                  </w:r>
                  <w:r>
                    <w:rPr>
                      <w:szCs w:val="22"/>
                    </w:rPr>
                    <w:t>纸张来料检验标准》</w:t>
                  </w:r>
                  <w:r>
                    <w:rPr>
                      <w:rFonts w:hint="eastAsia"/>
                      <w:szCs w:val="22"/>
                    </w:rPr>
                    <w:t>、</w:t>
                  </w:r>
                  <w:r>
                    <w:rPr>
                      <w:szCs w:val="22"/>
                    </w:rPr>
                    <w:t>《剥</w:t>
                  </w:r>
                  <w:r>
                    <w:rPr>
                      <w:rFonts w:hint="eastAsia"/>
                      <w:szCs w:val="22"/>
                    </w:rPr>
                    <w:t>离</w:t>
                  </w:r>
                  <w:r>
                    <w:rPr>
                      <w:szCs w:val="22"/>
                    </w:rPr>
                    <w:t>检验记录</w:t>
                  </w:r>
                  <w:r>
                    <w:rPr>
                      <w:rFonts w:hint="eastAsia"/>
                      <w:szCs w:val="22"/>
                    </w:rPr>
                    <w:t>》、《</w:t>
                  </w:r>
                  <w:r>
                    <w:rPr>
                      <w:szCs w:val="22"/>
                    </w:rPr>
                    <w:t>复合检验记录》</w:t>
                  </w:r>
                  <w:r>
                    <w:rPr>
                      <w:rFonts w:hint="eastAsia"/>
                      <w:szCs w:val="22"/>
                    </w:rPr>
                    <w:t>、《</w:t>
                  </w:r>
                  <w:r>
                    <w:rPr>
                      <w:szCs w:val="22"/>
                    </w:rPr>
                    <w:t>质量技术协</w:t>
                  </w:r>
                  <w:r>
                    <w:rPr>
                      <w:rFonts w:hint="eastAsia"/>
                      <w:szCs w:val="22"/>
                    </w:rPr>
                    <w:t>议》</w:t>
                  </w:r>
                </w:p>
                <w:p>
                  <w:pPr>
                    <w:ind w:firstLine="4095" w:firstLineChars="1950"/>
                    <w:contextualSpacing/>
                    <w:rPr>
                      <w:szCs w:val="22"/>
                    </w:rPr>
                  </w:pPr>
                </w:p>
                <w:p>
                  <w:pPr>
                    <w:ind w:firstLine="4095" w:firstLineChars="1950"/>
                    <w:contextualSpacing/>
                    <w:rPr>
                      <w:szCs w:val="22"/>
                    </w:rPr>
                  </w:pPr>
                  <w:r>
                    <w:rPr>
                      <w:rFonts w:hint="eastAsia"/>
                      <w:szCs w:val="22"/>
                    </w:rPr>
                    <w:t>〈</w:t>
                  </w:r>
                </w:p>
                <w:p>
                  <w:pPr>
                    <w:ind w:firstLine="4095" w:firstLineChars="1950"/>
                    <w:contextualSpacing/>
                    <w:rPr>
                      <w:szCs w:val="22"/>
                    </w:rPr>
                  </w:pPr>
                </w:p>
                <w:p>
                  <w:pPr>
                    <w:ind w:firstLine="4095" w:firstLineChars="1950"/>
                    <w:contextualSpacing/>
                    <w:rPr>
                      <w:szCs w:val="22"/>
                    </w:rPr>
                  </w:pPr>
                </w:p>
                <w:p>
                  <w:pPr>
                    <w:ind w:firstLine="4095" w:firstLineChars="1950"/>
                    <w:contextualSpacing/>
                    <w:rPr>
                      <w:szCs w:val="22"/>
                    </w:rPr>
                  </w:pPr>
                </w:p>
              </w:tc>
              <w:tc>
                <w:tcPr>
                  <w:tcW w:w="2034" w:type="dxa"/>
                </w:tcPr>
                <w:p>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sym w:font="Wingdings 2" w:char="0052"/>
                  </w:r>
                  <w:r>
                    <w:rPr>
                      <w:rFonts w:hint="eastAsia"/>
                      <w:color w:val="000000"/>
                      <w:szCs w:val="21"/>
                    </w:rPr>
                    <w:t xml:space="preserve">每年 </w:t>
                  </w:r>
                  <w:r>
                    <w:rPr>
                      <w:rFonts w:hint="eastAsia"/>
                      <w:color w:val="000000"/>
                      <w:szCs w:val="21"/>
                    </w:rPr>
                    <w:sym w:font="Wingdings 2" w:char="0052"/>
                  </w:r>
                  <w:r>
                    <w:rPr>
                      <w:rFonts w:hint="eastAsia"/>
                    </w:rPr>
                    <w:t>每批</w:t>
                  </w:r>
                </w:p>
                <w:p>
                  <w:pPr>
                    <w:widowControl/>
                    <w:spacing w:before="40"/>
                    <w:jc w:val="left"/>
                  </w:pPr>
                  <w:r>
                    <w:rPr>
                      <w:rFonts w:hint="eastAsia"/>
                      <w:color w:val="000000"/>
                      <w:szCs w:val="21"/>
                    </w:rPr>
                    <w:sym w:font="Wingdings 2" w:char="0052"/>
                  </w:r>
                  <w:r>
                    <w:rPr>
                      <w:rFonts w:hint="eastAsia"/>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pPr>
                    <w:rPr>
                      <w:szCs w:val="22"/>
                    </w:rPr>
                  </w:pPr>
                  <w:r>
                    <w:rPr>
                      <w:rFonts w:hint="eastAsia"/>
                      <w:szCs w:val="22"/>
                    </w:rPr>
                    <w:t>ISO22000:2018</w:t>
                  </w:r>
                </w:p>
                <w:p>
                  <w:pPr>
                    <w:rPr>
                      <w:szCs w:val="22"/>
                    </w:rPr>
                  </w:pP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w:t>
                  </w:r>
                  <w:r>
                    <w:t>FSMS</w:t>
                  </w:r>
                  <w:r>
                    <w:rPr>
                      <w:rFonts w:hint="eastAsia"/>
                    </w:rPr>
                    <w:t>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pPr>
                    <w:rPr>
                      <w:szCs w:val="22"/>
                    </w:rPr>
                  </w:pPr>
                  <w:r>
                    <w:rPr>
                      <w:rFonts w:hint="eastAsia"/>
                      <w:szCs w:val="22"/>
                    </w:rPr>
                    <w:t>ISO22000:2018</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顾客满意度调查表</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☑随时</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4" w:type="dxa"/>
            <w:vMerge w:val="restart"/>
          </w:tcPr>
          <w:p>
            <w:r>
              <w:rPr>
                <w:rFonts w:hint="eastAsia"/>
              </w:rPr>
              <w:t>管理评审</w:t>
            </w:r>
          </w:p>
          <w:p/>
        </w:tc>
        <w:tc>
          <w:tcPr>
            <w:tcW w:w="952" w:type="dxa"/>
            <w:vMerge w:val="restart"/>
          </w:tcPr>
          <w:p>
            <w:r>
              <w:rPr>
                <w:rFonts w:hint="eastAsia"/>
              </w:rPr>
              <w:t>F9.3</w:t>
            </w:r>
          </w:p>
          <w:p/>
        </w:tc>
        <w:tc>
          <w:tcPr>
            <w:tcW w:w="761" w:type="dxa"/>
          </w:tcPr>
          <w:p>
            <w:r>
              <w:rPr>
                <w:rFonts w:hint="eastAsia"/>
              </w:rPr>
              <w:t>文件名称</w:t>
            </w:r>
          </w:p>
        </w:tc>
        <w:tc>
          <w:tcPr>
            <w:tcW w:w="9367" w:type="dxa"/>
          </w:tcPr>
          <w:p>
            <w:r>
              <w:rPr>
                <w:rFonts w:hint="eastAsia"/>
              </w:rPr>
              <w:t>如：</w:t>
            </w:r>
            <w:r>
              <w:rPr>
                <w:rFonts w:hint="eastAsia" w:ascii="Calibri" w:hAnsi="Calibri"/>
              </w:rPr>
              <w:t>☑</w:t>
            </w:r>
            <w:r>
              <w:rPr>
                <w:rFonts w:hint="eastAsia"/>
              </w:rPr>
              <w:t>《管理评审程序》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4" w:type="dxa"/>
            <w:vMerge w:val="continue"/>
          </w:tcPr>
          <w:p/>
        </w:tc>
        <w:tc>
          <w:tcPr>
            <w:tcW w:w="952"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0</w:t>
            </w:r>
            <w:r>
              <w:rPr>
                <w:color w:val="000000"/>
                <w:szCs w:val="18"/>
                <w:u w:val="single"/>
              </w:rPr>
              <w:t>7</w:t>
            </w:r>
            <w:r>
              <w:rPr>
                <w:rFonts w:hint="eastAsia"/>
                <w:color w:val="000000"/>
                <w:szCs w:val="18"/>
              </w:rPr>
              <w:t xml:space="preserve">月 </w:t>
            </w:r>
            <w:r>
              <w:rPr>
                <w:rFonts w:hint="eastAsia"/>
                <w:color w:val="000000"/>
                <w:szCs w:val="18"/>
                <w:u w:val="single"/>
              </w:rPr>
              <w:t>0</w:t>
            </w:r>
            <w:r>
              <w:rPr>
                <w:color w:val="000000"/>
                <w:szCs w:val="18"/>
                <w:u w:val="single"/>
              </w:rPr>
              <w:t>6</w:t>
            </w:r>
            <w:r>
              <w:rPr>
                <w:rFonts w:hint="eastAsia"/>
                <w:color w:val="000000"/>
                <w:szCs w:val="18"/>
              </w:rPr>
              <w:t>日实施了管理评审；</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widowControl/>
              <w:spacing w:before="40"/>
              <w:jc w:val="left"/>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spacing w:line="440" w:lineRule="exact"/>
                    <w:rPr>
                      <w:rFonts w:ascii="宋体" w:hAnsi="宋体"/>
                      <w:sz w:val="18"/>
                      <w:szCs w:val="18"/>
                    </w:rPr>
                  </w:pPr>
                  <w:r>
                    <w:rPr>
                      <w:rFonts w:hint="eastAsia" w:ascii="宋体" w:hAnsi="宋体"/>
                      <w:sz w:val="18"/>
                      <w:szCs w:val="18"/>
                    </w:rPr>
                    <w:t>加强I</w:t>
                  </w:r>
                  <w:r>
                    <w:rPr>
                      <w:rFonts w:ascii="宋体" w:hAnsi="宋体"/>
                      <w:sz w:val="18"/>
                      <w:szCs w:val="18"/>
                    </w:rPr>
                    <w:t>SO22000</w:t>
                  </w:r>
                  <w:r>
                    <w:rPr>
                      <w:rFonts w:hint="eastAsia" w:ascii="宋体" w:hAnsi="宋体"/>
                      <w:sz w:val="18"/>
                      <w:szCs w:val="18"/>
                    </w:rPr>
                    <w:t>新版标准培训及三标培训，由总经办负责重点培训：各部门体系认证的负责人，技术负责人，管理人员等。在培训时，重点在于提高基层管理人员的技术理论水平和管理水平，通过骨干教育、培训其他员工，实现全员培训。</w:t>
                  </w:r>
                </w:p>
                <w:p>
                  <w:pPr>
                    <w:spacing w:line="440" w:lineRule="exact"/>
                    <w:rPr>
                      <w:color w:val="000000"/>
                      <w:sz w:val="18"/>
                      <w:szCs w:val="18"/>
                    </w:rPr>
                  </w:pP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jc w:val="left"/>
                    <w:rPr>
                      <w:color w:val="000000"/>
                      <w:szCs w:val="21"/>
                    </w:rPr>
                  </w:pPr>
                  <w:r>
                    <w:rPr>
                      <w:rFonts w:hint="eastAsia" w:ascii="宋体" w:hAnsi="宋体" w:cs="宋体"/>
                      <w:color w:val="000000"/>
                      <w:kern w:val="0"/>
                      <w:sz w:val="20"/>
                      <w:lang w:bidi="ar"/>
                    </w:rPr>
                    <w:t>无</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r>
              <w:rPr>
                <w:rFonts w:hint="eastAsia"/>
              </w:rPr>
              <w:sym w:font="Wingdings" w:char="00FE"/>
            </w:r>
            <w:r>
              <w:rPr>
                <w:rFonts w:hint="eastAsia"/>
              </w:rPr>
              <w:t>改进措施未落实的原因：</w:t>
            </w:r>
            <w:r>
              <w:rPr>
                <w:rFonts w:hint="eastAsia"/>
                <w:u w:val="single"/>
              </w:rPr>
              <w:t xml:space="preserve">   计划2021年全年完成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shd w:val="clear" w:color="auto" w:fill="FFFFFF" w:themeFill="background1"/>
          </w:tcPr>
          <w:p>
            <w:r>
              <w:rPr>
                <w:rFonts w:hint="eastAsia"/>
              </w:rPr>
              <w:t>持续改进</w:t>
            </w:r>
          </w:p>
        </w:tc>
        <w:tc>
          <w:tcPr>
            <w:tcW w:w="952" w:type="dxa"/>
            <w:vMerge w:val="restart"/>
            <w:shd w:val="clear" w:color="auto" w:fill="FFFFFF" w:themeFill="background1"/>
          </w:tcPr>
          <w:p>
            <w:r>
              <w:rPr>
                <w:rFonts w:hint="eastAsia"/>
              </w:rPr>
              <w:t>F10.2</w:t>
            </w:r>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rFonts w:hint="eastAsia"/>
              </w:rPr>
              <w:sym w:font="Wingdings" w:char="00FE"/>
            </w:r>
            <w:r>
              <w:rPr>
                <w:rFonts w:hint="eastAsia"/>
              </w:rPr>
              <w:t>管理手册10.3条款</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A8"/>
            </w:r>
            <w:r>
              <w:rPr>
                <w:rFonts w:hint="eastAsia"/>
              </w:rPr>
              <w:t xml:space="preserve"> 改进措施已落实</w:t>
            </w:r>
          </w:p>
          <w:p>
            <w:pPr>
              <w:rPr>
                <w:u w:val="single"/>
              </w:rPr>
            </w:pPr>
            <w:r>
              <w:rPr>
                <w:rFonts w:hint="eastAsia"/>
              </w:rPr>
              <w:sym w:font="Wingdings" w:char="00FE"/>
            </w:r>
            <w:r>
              <w:rPr>
                <w:rFonts w:hint="eastAsia"/>
              </w:rPr>
              <w:t xml:space="preserve"> 改进措施未落实的原因：</w:t>
            </w:r>
            <w:r>
              <w:rPr>
                <w:rFonts w:hint="eastAsia"/>
                <w:u w:val="single"/>
              </w:rPr>
              <w:t xml:space="preserve">  计划2021年全年完成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90" w:type="dxa"/>
            <w:vMerge w:val="continue"/>
            <w:shd w:val="clear" w:color="auto" w:fill="FFFFFF" w:themeFill="background1"/>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26AD1"/>
    <w:rsid w:val="0003373A"/>
    <w:rsid w:val="000400E2"/>
    <w:rsid w:val="00055004"/>
    <w:rsid w:val="00062E46"/>
    <w:rsid w:val="0007137A"/>
    <w:rsid w:val="000B6D88"/>
    <w:rsid w:val="000D035B"/>
    <w:rsid w:val="000E6B21"/>
    <w:rsid w:val="00103241"/>
    <w:rsid w:val="00110F1B"/>
    <w:rsid w:val="00111F25"/>
    <w:rsid w:val="001126B5"/>
    <w:rsid w:val="00120E8B"/>
    <w:rsid w:val="001215BE"/>
    <w:rsid w:val="001339CB"/>
    <w:rsid w:val="00151222"/>
    <w:rsid w:val="00162F05"/>
    <w:rsid w:val="00172A27"/>
    <w:rsid w:val="00187390"/>
    <w:rsid w:val="00187B1F"/>
    <w:rsid w:val="00190C3D"/>
    <w:rsid w:val="001A2D7F"/>
    <w:rsid w:val="001E2EB9"/>
    <w:rsid w:val="0020258E"/>
    <w:rsid w:val="00245374"/>
    <w:rsid w:val="00275EEE"/>
    <w:rsid w:val="002939AD"/>
    <w:rsid w:val="002F5D15"/>
    <w:rsid w:val="00302C11"/>
    <w:rsid w:val="00307E64"/>
    <w:rsid w:val="00314AF6"/>
    <w:rsid w:val="0033207A"/>
    <w:rsid w:val="00337922"/>
    <w:rsid w:val="00340867"/>
    <w:rsid w:val="00356087"/>
    <w:rsid w:val="003774F0"/>
    <w:rsid w:val="00380621"/>
    <w:rsid w:val="00380837"/>
    <w:rsid w:val="00395BA8"/>
    <w:rsid w:val="003A198A"/>
    <w:rsid w:val="003A6AE8"/>
    <w:rsid w:val="003B0C87"/>
    <w:rsid w:val="00410914"/>
    <w:rsid w:val="00412171"/>
    <w:rsid w:val="004158C2"/>
    <w:rsid w:val="004177C7"/>
    <w:rsid w:val="004263F7"/>
    <w:rsid w:val="00433D0D"/>
    <w:rsid w:val="00470670"/>
    <w:rsid w:val="004724DC"/>
    <w:rsid w:val="0048186C"/>
    <w:rsid w:val="0048201E"/>
    <w:rsid w:val="004A4B05"/>
    <w:rsid w:val="004D012D"/>
    <w:rsid w:val="004D4C6D"/>
    <w:rsid w:val="004D7166"/>
    <w:rsid w:val="004E7D22"/>
    <w:rsid w:val="0050288D"/>
    <w:rsid w:val="005158BA"/>
    <w:rsid w:val="00517B9B"/>
    <w:rsid w:val="0052165A"/>
    <w:rsid w:val="00536930"/>
    <w:rsid w:val="00553344"/>
    <w:rsid w:val="00564E53"/>
    <w:rsid w:val="00572483"/>
    <w:rsid w:val="005D5659"/>
    <w:rsid w:val="00600C20"/>
    <w:rsid w:val="006155F0"/>
    <w:rsid w:val="00617895"/>
    <w:rsid w:val="00624691"/>
    <w:rsid w:val="006369DF"/>
    <w:rsid w:val="00644FE2"/>
    <w:rsid w:val="00651851"/>
    <w:rsid w:val="006531C3"/>
    <w:rsid w:val="00662771"/>
    <w:rsid w:val="0067640C"/>
    <w:rsid w:val="00687B81"/>
    <w:rsid w:val="0069775F"/>
    <w:rsid w:val="006B4135"/>
    <w:rsid w:val="006E678B"/>
    <w:rsid w:val="006E7B1D"/>
    <w:rsid w:val="00702C49"/>
    <w:rsid w:val="00706165"/>
    <w:rsid w:val="00732BB6"/>
    <w:rsid w:val="00733AF3"/>
    <w:rsid w:val="00737E74"/>
    <w:rsid w:val="0074288D"/>
    <w:rsid w:val="00774563"/>
    <w:rsid w:val="007757F3"/>
    <w:rsid w:val="00784061"/>
    <w:rsid w:val="007A08D1"/>
    <w:rsid w:val="007A7F92"/>
    <w:rsid w:val="007C1B48"/>
    <w:rsid w:val="007C251F"/>
    <w:rsid w:val="007E050D"/>
    <w:rsid w:val="007E3B15"/>
    <w:rsid w:val="007E6AEB"/>
    <w:rsid w:val="007F4422"/>
    <w:rsid w:val="00820B94"/>
    <w:rsid w:val="0086070A"/>
    <w:rsid w:val="00892320"/>
    <w:rsid w:val="008973EE"/>
    <w:rsid w:val="008B2066"/>
    <w:rsid w:val="008E318D"/>
    <w:rsid w:val="008E686A"/>
    <w:rsid w:val="00905985"/>
    <w:rsid w:val="00930807"/>
    <w:rsid w:val="00971600"/>
    <w:rsid w:val="00983C02"/>
    <w:rsid w:val="009868DA"/>
    <w:rsid w:val="009973B4"/>
    <w:rsid w:val="009A6186"/>
    <w:rsid w:val="009B79B7"/>
    <w:rsid w:val="009C28C1"/>
    <w:rsid w:val="009E2827"/>
    <w:rsid w:val="009F7EED"/>
    <w:rsid w:val="00A30CCE"/>
    <w:rsid w:val="00A63811"/>
    <w:rsid w:val="00A80636"/>
    <w:rsid w:val="00A90839"/>
    <w:rsid w:val="00AC336D"/>
    <w:rsid w:val="00AE1EC1"/>
    <w:rsid w:val="00AE46F3"/>
    <w:rsid w:val="00AF0AAB"/>
    <w:rsid w:val="00AF3571"/>
    <w:rsid w:val="00B6108C"/>
    <w:rsid w:val="00B97B87"/>
    <w:rsid w:val="00BB6E34"/>
    <w:rsid w:val="00BC4A1F"/>
    <w:rsid w:val="00BE01CF"/>
    <w:rsid w:val="00BF597E"/>
    <w:rsid w:val="00BF6290"/>
    <w:rsid w:val="00C2373F"/>
    <w:rsid w:val="00C41E75"/>
    <w:rsid w:val="00C51A36"/>
    <w:rsid w:val="00C55228"/>
    <w:rsid w:val="00C63768"/>
    <w:rsid w:val="00C650BA"/>
    <w:rsid w:val="00C77034"/>
    <w:rsid w:val="00C82BD2"/>
    <w:rsid w:val="00C96C18"/>
    <w:rsid w:val="00CA78BA"/>
    <w:rsid w:val="00CE1C9D"/>
    <w:rsid w:val="00CE315A"/>
    <w:rsid w:val="00D06F59"/>
    <w:rsid w:val="00D124CD"/>
    <w:rsid w:val="00D55349"/>
    <w:rsid w:val="00D601EF"/>
    <w:rsid w:val="00D64E7C"/>
    <w:rsid w:val="00D74CBC"/>
    <w:rsid w:val="00D81062"/>
    <w:rsid w:val="00D8388C"/>
    <w:rsid w:val="00D83B02"/>
    <w:rsid w:val="00DF0F8A"/>
    <w:rsid w:val="00E34551"/>
    <w:rsid w:val="00E45570"/>
    <w:rsid w:val="00E6224C"/>
    <w:rsid w:val="00E83EBD"/>
    <w:rsid w:val="00E877EB"/>
    <w:rsid w:val="00EA37D1"/>
    <w:rsid w:val="00EB0164"/>
    <w:rsid w:val="00EB0AD6"/>
    <w:rsid w:val="00EB34D6"/>
    <w:rsid w:val="00ED0F62"/>
    <w:rsid w:val="00EE5B78"/>
    <w:rsid w:val="00EF30B1"/>
    <w:rsid w:val="00F312C9"/>
    <w:rsid w:val="00F410DB"/>
    <w:rsid w:val="00F44514"/>
    <w:rsid w:val="00F50DAF"/>
    <w:rsid w:val="00F51DFC"/>
    <w:rsid w:val="00F7511A"/>
    <w:rsid w:val="00F76DD5"/>
    <w:rsid w:val="00F9727B"/>
    <w:rsid w:val="00FB4A35"/>
    <w:rsid w:val="00FB5D06"/>
    <w:rsid w:val="00FD5243"/>
    <w:rsid w:val="00FD7E24"/>
    <w:rsid w:val="00FF2438"/>
    <w:rsid w:val="01260C71"/>
    <w:rsid w:val="01274DB4"/>
    <w:rsid w:val="0148246F"/>
    <w:rsid w:val="01A177D4"/>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4E2389D"/>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6E3805"/>
    <w:rsid w:val="0977604F"/>
    <w:rsid w:val="09933EF9"/>
    <w:rsid w:val="09AA0CA5"/>
    <w:rsid w:val="09DC02FD"/>
    <w:rsid w:val="09FA6045"/>
    <w:rsid w:val="0A0D6F0D"/>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933901"/>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47866"/>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1B012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44129"/>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BB036D"/>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406C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652AA3"/>
    <w:rsid w:val="21A07B88"/>
    <w:rsid w:val="21A34258"/>
    <w:rsid w:val="21A576DD"/>
    <w:rsid w:val="21B31BF6"/>
    <w:rsid w:val="21D24208"/>
    <w:rsid w:val="21E11F3F"/>
    <w:rsid w:val="21EA5593"/>
    <w:rsid w:val="226B2F60"/>
    <w:rsid w:val="227D2F04"/>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27AD4"/>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6E2027"/>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B345E0"/>
    <w:rsid w:val="2FC82DC8"/>
    <w:rsid w:val="2FE823A5"/>
    <w:rsid w:val="2FEA1C57"/>
    <w:rsid w:val="30015004"/>
    <w:rsid w:val="300172B8"/>
    <w:rsid w:val="301E343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6F1CDE"/>
    <w:rsid w:val="378D2491"/>
    <w:rsid w:val="37A3423F"/>
    <w:rsid w:val="37A66325"/>
    <w:rsid w:val="37AF435B"/>
    <w:rsid w:val="37B82B0E"/>
    <w:rsid w:val="37D8509F"/>
    <w:rsid w:val="380178E9"/>
    <w:rsid w:val="38363F4B"/>
    <w:rsid w:val="385969A9"/>
    <w:rsid w:val="386866FF"/>
    <w:rsid w:val="38803663"/>
    <w:rsid w:val="389A539F"/>
    <w:rsid w:val="38A048C7"/>
    <w:rsid w:val="38B37216"/>
    <w:rsid w:val="38BD5C7F"/>
    <w:rsid w:val="38C5580C"/>
    <w:rsid w:val="38EC325F"/>
    <w:rsid w:val="38F948C4"/>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88101D"/>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1C0838"/>
    <w:rsid w:val="403F19EE"/>
    <w:rsid w:val="40571F31"/>
    <w:rsid w:val="405F4BF0"/>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6D20DE"/>
    <w:rsid w:val="427A1188"/>
    <w:rsid w:val="42942F0B"/>
    <w:rsid w:val="42C02986"/>
    <w:rsid w:val="42C26D29"/>
    <w:rsid w:val="432A5E11"/>
    <w:rsid w:val="433B1167"/>
    <w:rsid w:val="4352128B"/>
    <w:rsid w:val="435F500F"/>
    <w:rsid w:val="43C730CD"/>
    <w:rsid w:val="43CF2854"/>
    <w:rsid w:val="44087BCA"/>
    <w:rsid w:val="44350F69"/>
    <w:rsid w:val="447F43E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72228"/>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AB23E7"/>
    <w:rsid w:val="4CB62537"/>
    <w:rsid w:val="4CD2365B"/>
    <w:rsid w:val="4D0F484F"/>
    <w:rsid w:val="4D352804"/>
    <w:rsid w:val="4D374D03"/>
    <w:rsid w:val="4D3F76B9"/>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02769E"/>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1F295D"/>
    <w:rsid w:val="552A2893"/>
    <w:rsid w:val="55436287"/>
    <w:rsid w:val="556B045B"/>
    <w:rsid w:val="557D4E77"/>
    <w:rsid w:val="55B04E1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04B1"/>
    <w:rsid w:val="575E2B20"/>
    <w:rsid w:val="57A14CB5"/>
    <w:rsid w:val="57F55B90"/>
    <w:rsid w:val="580F191D"/>
    <w:rsid w:val="581B6507"/>
    <w:rsid w:val="58276F84"/>
    <w:rsid w:val="58310954"/>
    <w:rsid w:val="58584813"/>
    <w:rsid w:val="58876040"/>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AC1A52"/>
    <w:rsid w:val="5AD64AF2"/>
    <w:rsid w:val="5AF377C8"/>
    <w:rsid w:val="5B0449BC"/>
    <w:rsid w:val="5B513157"/>
    <w:rsid w:val="5B517209"/>
    <w:rsid w:val="5B534520"/>
    <w:rsid w:val="5B544EB3"/>
    <w:rsid w:val="5B6A33DD"/>
    <w:rsid w:val="5B7C5AEB"/>
    <w:rsid w:val="5BA144BF"/>
    <w:rsid w:val="5BD84182"/>
    <w:rsid w:val="5BF04FFA"/>
    <w:rsid w:val="5C241AEE"/>
    <w:rsid w:val="5C4D2649"/>
    <w:rsid w:val="5C6F6375"/>
    <w:rsid w:val="5C741B1E"/>
    <w:rsid w:val="5C8A22BA"/>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86ED5"/>
    <w:rsid w:val="61744854"/>
    <w:rsid w:val="61857CB5"/>
    <w:rsid w:val="619A179D"/>
    <w:rsid w:val="61C47B95"/>
    <w:rsid w:val="61E77A7E"/>
    <w:rsid w:val="61EE7A69"/>
    <w:rsid w:val="62257ECD"/>
    <w:rsid w:val="622A4138"/>
    <w:rsid w:val="62385483"/>
    <w:rsid w:val="62385A6C"/>
    <w:rsid w:val="625901DA"/>
    <w:rsid w:val="62876D77"/>
    <w:rsid w:val="62CA4AF4"/>
    <w:rsid w:val="62E4371E"/>
    <w:rsid w:val="62FD1DFD"/>
    <w:rsid w:val="632045D1"/>
    <w:rsid w:val="6342544F"/>
    <w:rsid w:val="63645E75"/>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0C192E"/>
    <w:rsid w:val="6542498D"/>
    <w:rsid w:val="655D358A"/>
    <w:rsid w:val="65600ACC"/>
    <w:rsid w:val="65662197"/>
    <w:rsid w:val="658C79F9"/>
    <w:rsid w:val="65A33DF6"/>
    <w:rsid w:val="65B451D1"/>
    <w:rsid w:val="65BD4108"/>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567A54"/>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EC03CE"/>
    <w:rsid w:val="69F96768"/>
    <w:rsid w:val="6A176492"/>
    <w:rsid w:val="6A287F98"/>
    <w:rsid w:val="6A617707"/>
    <w:rsid w:val="6A657B3D"/>
    <w:rsid w:val="6A68684F"/>
    <w:rsid w:val="6A886720"/>
    <w:rsid w:val="6AB40496"/>
    <w:rsid w:val="6ABD1D5E"/>
    <w:rsid w:val="6AC0289E"/>
    <w:rsid w:val="6AF33939"/>
    <w:rsid w:val="6B0F60AF"/>
    <w:rsid w:val="6B795D62"/>
    <w:rsid w:val="6B894EA4"/>
    <w:rsid w:val="6B981EF4"/>
    <w:rsid w:val="6BC747F5"/>
    <w:rsid w:val="6BD35CE4"/>
    <w:rsid w:val="6BF1529E"/>
    <w:rsid w:val="6BF66D35"/>
    <w:rsid w:val="6C1272FC"/>
    <w:rsid w:val="6C2B02FA"/>
    <w:rsid w:val="6C3014BE"/>
    <w:rsid w:val="6C38001D"/>
    <w:rsid w:val="6C5D414F"/>
    <w:rsid w:val="6C77423E"/>
    <w:rsid w:val="6C9C2F85"/>
    <w:rsid w:val="6C9D6944"/>
    <w:rsid w:val="6CDE17FD"/>
    <w:rsid w:val="6CF21452"/>
    <w:rsid w:val="6D1D2C91"/>
    <w:rsid w:val="6D232D3C"/>
    <w:rsid w:val="6D2F5D1E"/>
    <w:rsid w:val="6D5B4A2E"/>
    <w:rsid w:val="6D792112"/>
    <w:rsid w:val="6DA004EB"/>
    <w:rsid w:val="6DA16646"/>
    <w:rsid w:val="6DE309B5"/>
    <w:rsid w:val="6DFC47DD"/>
    <w:rsid w:val="6E641038"/>
    <w:rsid w:val="6EB36C33"/>
    <w:rsid w:val="6EBD0EA6"/>
    <w:rsid w:val="6EBF38BA"/>
    <w:rsid w:val="6EE97CE2"/>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17D5E"/>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663B44"/>
    <w:rsid w:val="753E2D2E"/>
    <w:rsid w:val="753F2F7D"/>
    <w:rsid w:val="75A744DB"/>
    <w:rsid w:val="75CD0955"/>
    <w:rsid w:val="75DB13A5"/>
    <w:rsid w:val="75E552E3"/>
    <w:rsid w:val="76190159"/>
    <w:rsid w:val="76346E4E"/>
    <w:rsid w:val="7648538B"/>
    <w:rsid w:val="76531223"/>
    <w:rsid w:val="765D1805"/>
    <w:rsid w:val="7663632F"/>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21206"/>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CE5D2C"/>
    <w:rsid w:val="7AF6556E"/>
    <w:rsid w:val="7B1F77A4"/>
    <w:rsid w:val="7B292799"/>
    <w:rsid w:val="7B3F5420"/>
    <w:rsid w:val="7BCF2874"/>
    <w:rsid w:val="7C0471A6"/>
    <w:rsid w:val="7C090682"/>
    <w:rsid w:val="7C27141B"/>
    <w:rsid w:val="7C42064D"/>
    <w:rsid w:val="7C6A6CA8"/>
    <w:rsid w:val="7CB31FBB"/>
    <w:rsid w:val="7CE34119"/>
    <w:rsid w:val="7CEC5EE7"/>
    <w:rsid w:val="7CED21D3"/>
    <w:rsid w:val="7CF04E00"/>
    <w:rsid w:val="7D41026F"/>
    <w:rsid w:val="7D59343F"/>
    <w:rsid w:val="7D67119E"/>
    <w:rsid w:val="7D6C098F"/>
    <w:rsid w:val="7DA65D72"/>
    <w:rsid w:val="7DB8415C"/>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libri Light" w:hAnsi="Calibri Light"/>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text|1"/>
    <w:basedOn w:val="1"/>
    <w:qFormat/>
    <w:uiPriority w:val="0"/>
    <w:pPr>
      <w:spacing w:after="80"/>
    </w:pPr>
    <w:rPr>
      <w:rFonts w:ascii="MingLiU" w:hAnsi="MingLiU" w:eastAsia="MingLiU" w:cs="MingLiU"/>
      <w:sz w:val="20"/>
      <w:lang w:val="zh-TW" w:eastAsia="zh-TW" w:bidi="zh-TW"/>
    </w:rPr>
  </w:style>
  <w:style w:type="paragraph" w:customStyle="1" w:styleId="1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09E9B-E436-4BFF-9737-8C8E0AD469D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1232</Words>
  <Characters>7024</Characters>
  <Lines>58</Lines>
  <Paragraphs>16</Paragraphs>
  <TotalTime>164</TotalTime>
  <ScaleCrop>false</ScaleCrop>
  <LinksUpToDate>false</LinksUpToDate>
  <CharactersWithSpaces>8240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2021-08-06T06:22:11Z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7A51C4699B7A42E2ACFA80AF17A53084</vt:lpwstr>
  </property>
</Properties>
</file>