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 xml:space="preserve">受审核部门：管理层 </w:t>
      </w:r>
      <w:r>
        <w:rPr>
          <w:rFonts w:hint="eastAsia"/>
          <w:sz w:val="24"/>
          <w:szCs w:val="24"/>
          <w:lang w:eastAsia="zh-CN"/>
        </w:rPr>
        <w:t>综合部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生产部、技术部</w:t>
      </w:r>
      <w:r>
        <w:rPr>
          <w:rFonts w:hint="eastAsia"/>
          <w:sz w:val="24"/>
          <w:szCs w:val="24"/>
        </w:rPr>
        <w:t xml:space="preserve">  陪同人员：</w:t>
      </w:r>
      <w:r>
        <w:rPr>
          <w:rFonts w:hint="eastAsia"/>
          <w:sz w:val="24"/>
          <w:szCs w:val="24"/>
          <w:lang w:eastAsia="zh-CN"/>
        </w:rPr>
        <w:t>张健豪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审核员：张心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审核时间:</w:t>
      </w:r>
      <w:bookmarkStart w:id="0" w:name="审核开始日"/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  <w:lang w:val="en-US" w:eastAsia="zh-CN"/>
        </w:rPr>
        <w:t>07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24</w:t>
      </w:r>
      <w:r>
        <w:rPr>
          <w:rFonts w:hint="eastAsia"/>
          <w:color w:val="000000"/>
          <w:szCs w:val="21"/>
        </w:rPr>
        <w:t>日</w:t>
      </w:r>
      <w:bookmarkEnd w:id="0"/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bookmarkStart w:id="1" w:name="组织名称"/>
            <w:r>
              <w:rPr>
                <w:color w:val="000000"/>
                <w:szCs w:val="21"/>
              </w:rPr>
              <w:t>重庆市綦江区宏利汽配有限公司</w:t>
            </w:r>
            <w:bookmarkEnd w:id="1"/>
            <w:r>
              <w:rPr>
                <w:rFonts w:hint="eastAsia" w:ascii="宋体" w:hAnsi="宋体"/>
              </w:rPr>
              <w:t>成立于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/>
              </w:rPr>
              <w:t>，坐落于</w:t>
            </w:r>
            <w:bookmarkStart w:id="2" w:name="生产地址"/>
            <w:r>
              <w:t>重庆市綦江区三江街道黄荆村6社</w:t>
            </w:r>
            <w:bookmarkEnd w:id="2"/>
            <w:r>
              <w:rPr>
                <w:rFonts w:hint="eastAsia" w:ascii="宋体" w:hAnsi="宋体"/>
              </w:rPr>
              <w:t>，公司主要经营</w:t>
            </w:r>
            <w:bookmarkStart w:id="3" w:name="审核范围"/>
            <w:r>
              <w:rPr>
                <w:rFonts w:hint="eastAsia" w:ascii="宋体" w:hAnsi="宋体"/>
                <w:szCs w:val="21"/>
              </w:rPr>
              <w:t>汽车零部件（轴、齿轮）的锻件加工</w:t>
            </w:r>
            <w:bookmarkEnd w:id="3"/>
            <w:r>
              <w:rPr>
                <w:rFonts w:hint="eastAsia"/>
                <w:szCs w:val="22"/>
              </w:rPr>
              <w:t>，目前生产经营状况良好。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该公司目前成立了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个部门：</w:t>
            </w:r>
            <w:r>
              <w:rPr>
                <w:rFonts w:hint="eastAsia"/>
                <w:szCs w:val="22"/>
                <w:lang w:eastAsia="zh-CN"/>
              </w:rPr>
              <w:t>综合部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  <w:lang w:eastAsia="zh-CN"/>
              </w:rPr>
              <w:t>生产部、技术部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核实：生产经营场所为：</w:t>
            </w:r>
            <w:r>
              <w:rPr>
                <w:rFonts w:hint="eastAsia" w:ascii="宋体" w:hAnsi="宋体"/>
                <w:szCs w:val="21"/>
              </w:rPr>
              <w:t xml:space="preserve">汽车零部件（轴、齿轮）的锻件加工 </w:t>
            </w:r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经确</w:t>
            </w:r>
            <w:r>
              <w:rPr>
                <w:rFonts w:hint="eastAsia"/>
                <w:color w:val="000000" w:themeColor="text1"/>
                <w:szCs w:val="22"/>
              </w:rPr>
              <w:t>认，认证范围为</w:t>
            </w:r>
            <w:r>
              <w:rPr>
                <w:rFonts w:hint="eastAsia" w:ascii="宋体" w:hAnsi="宋体"/>
                <w:szCs w:val="21"/>
              </w:rPr>
              <w:t xml:space="preserve">汽车零部件（轴、齿轮）的锻件加工 </w:t>
            </w:r>
            <w:r>
              <w:rPr>
                <w:rFonts w:hint="eastAsia"/>
                <w:color w:val="000000" w:themeColor="text1"/>
                <w:szCs w:val="22"/>
              </w:rPr>
              <w:t>，与申请范围一致。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现场人数确认为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27人，</w:t>
            </w:r>
            <w:r>
              <w:rPr>
                <w:rFonts w:hint="eastAsia"/>
                <w:szCs w:val="22"/>
              </w:rPr>
              <w:t>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询</w:t>
            </w:r>
            <w:r>
              <w:rPr>
                <w:rFonts w:hint="eastAsia"/>
                <w:color w:val="000000" w:themeColor="text1"/>
                <w:szCs w:val="22"/>
              </w:rPr>
              <w:t>问，主要设备为</w:t>
            </w:r>
            <w:r>
              <w:rPr>
                <w:rFonts w:hint="eastAsia"/>
                <w:szCs w:val="22"/>
              </w:rPr>
              <w:t>圆钢切断机、卧式带锯床、闭式单点压力机、电动螺旋压力机、空气锤、盘式摩擦压力机、箱式电炉等。原材料主要为</w:t>
            </w:r>
            <w:r>
              <w:rPr>
                <w:rFonts w:hint="eastAsia"/>
                <w:szCs w:val="22"/>
                <w:lang w:val="en-US" w:eastAsia="zh-CN"/>
              </w:rPr>
              <w:t>钢材(来料加工）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pStyle w:val="2"/>
              <w:ind w:firstLine="420" w:firstLineChars="200"/>
              <w:rPr>
                <w:rFonts w:hint="default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现场核实人数为27人，与申报人数一致。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关键过程：</w:t>
            </w:r>
            <w:r>
              <w:rPr>
                <w:rFonts w:hint="eastAsia"/>
                <w:szCs w:val="22"/>
                <w:lang w:eastAsia="zh-CN"/>
              </w:rPr>
              <w:t>锻压</w:t>
            </w:r>
            <w:r>
              <w:rPr>
                <w:rFonts w:hint="eastAsia"/>
                <w:szCs w:val="22"/>
              </w:rPr>
              <w:t>过程，特殊过程：</w:t>
            </w:r>
            <w:r>
              <w:rPr>
                <w:rFonts w:hint="eastAsia"/>
                <w:szCs w:val="22"/>
                <w:lang w:eastAsia="zh-CN"/>
              </w:rPr>
              <w:t>热处理、锻压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2"/>
              </w:rPr>
              <w:t>体系运行时间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2021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03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01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日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组织实际与管理体系文件化信息描述基本一致。有管理层、</w:t>
            </w:r>
            <w:r>
              <w:rPr>
                <w:rFonts w:hint="eastAsia"/>
                <w:szCs w:val="22"/>
                <w:lang w:eastAsia="zh-CN"/>
              </w:rPr>
              <w:t>综合部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  <w:lang w:eastAsia="zh-CN"/>
              </w:rPr>
              <w:t>生产部、技术部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产品流程见《工艺流程图》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查，管理体系文件名称：质量手册，程序文件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个。</w:t>
            </w:r>
          </w:p>
        </w:tc>
        <w:tc>
          <w:tcPr>
            <w:tcW w:w="1185" w:type="dxa"/>
          </w:tcPr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szCs w:val="22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081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GB/T 3077-1999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《合金结构钢》、JB/T 10423-2004《摩托车 齿轮零件、组件 技术条件》、DB22/T 1712-2012《汽车轴距左右差快速检测仪通用技术条件》、轴系锻件技术条件CB/T 4312-2013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等标准及客户技术要求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年暂无抽检。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3687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生产工艺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不适用条款的确认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外包的识别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质量目标（QMS）</w:t>
            </w:r>
          </w:p>
        </w:tc>
        <w:tc>
          <w:tcPr>
            <w:tcW w:w="9081" w:type="dxa"/>
          </w:tcPr>
          <w:p>
            <w:pPr>
              <w:spacing w:line="360" w:lineRule="auto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汽车零部件（轴、齿轮）的锻件加工流程：</w:t>
            </w:r>
          </w:p>
          <w:p>
            <w:pPr>
              <w:spacing w:line="360" w:lineRule="auto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锯料/剪料→加热→锻压生产→热处理（适用时）→检验→成品入库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</w:rPr>
              <w:t>关键过程：</w:t>
            </w:r>
            <w:r>
              <w:rPr>
                <w:rFonts w:hint="eastAsia" w:ascii="宋体" w:hAnsi="宋体" w:cs="Times New Roman"/>
                <w:lang w:eastAsia="zh-CN"/>
              </w:rPr>
              <w:t>锻压</w:t>
            </w:r>
            <w:r>
              <w:rPr>
                <w:rFonts w:hint="eastAsia" w:ascii="宋体" w:hAnsi="宋体" w:cs="Times New Roman"/>
              </w:rPr>
              <w:t>，特殊过程：</w:t>
            </w:r>
            <w:r>
              <w:rPr>
                <w:rFonts w:hint="eastAsia" w:ascii="宋体" w:hAnsi="宋体" w:cs="Times New Roman"/>
                <w:lang w:eastAsia="zh-CN"/>
              </w:rPr>
              <w:t>锻压、热处理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pacing w:line="300" w:lineRule="auto"/>
              <w:ind w:leftChars="0" w:firstLine="420" w:firstLineChars="200"/>
              <w:textAlignment w:val="baseline"/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Lucida Sans"/>
                <w:sz w:val="21"/>
                <w:szCs w:val="21"/>
              </w:rPr>
              <w:t>根据公司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生产服务特点，标准中8.3条款不适用。公司的产品按顾客提供图纸及技术要求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相关标准进行生产，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工艺成熟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固定。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整个生产过程不涉及设计新产品的内容。8.3条款的不适用不影响组织提供满足顾客要求及法律法规要求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和服务的能力及责任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adjustRightInd w:val="0"/>
              <w:spacing w:line="300" w:lineRule="auto"/>
              <w:ind w:leftChars="0" w:firstLine="420" w:firstLineChars="200"/>
              <w:textAlignment w:val="baseline"/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无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4"/>
              <w:tabs>
                <w:tab w:val="left" w:pos="1260"/>
              </w:tabs>
              <w:ind w:left="852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  <w:t>a.产品一次检验合格率≥95%；</w:t>
            </w:r>
          </w:p>
          <w:p>
            <w:pPr>
              <w:pStyle w:val="4"/>
              <w:tabs>
                <w:tab w:val="left" w:pos="1260"/>
              </w:tabs>
              <w:ind w:left="852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  <w:t>b.产品按期交付率≥98%；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840" w:firstLineChars="400"/>
              <w:jc w:val="lef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  <w:t>c.顾客满意度90分以上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color w:val="1D41D5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  <w:t>钢材（来料加工）等。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检验</w:t>
            </w:r>
            <w:r>
              <w:rPr>
                <w:rFonts w:hint="eastAsia"/>
                <w:szCs w:val="21"/>
              </w:rPr>
              <w:t>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主要设备</w:t>
            </w:r>
            <w:r>
              <w:rPr>
                <w:rFonts w:hint="eastAsia"/>
                <w:color w:val="000000" w:themeColor="text1"/>
                <w:szCs w:val="21"/>
              </w:rPr>
              <w:t>为</w:t>
            </w:r>
            <w:r>
              <w:rPr>
                <w:rFonts w:hint="eastAsia"/>
                <w:szCs w:val="21"/>
              </w:rPr>
              <w:t>圆钢切断机、卧式带锯床、闭式单点压力机、电动螺旋压力机、空气锤、盘式摩擦压力机、箱式电炉等</w:t>
            </w:r>
            <w:r>
              <w:rPr>
                <w:rFonts w:hint="eastAsia"/>
                <w:color w:val="000000" w:themeColor="text1"/>
                <w:szCs w:val="21"/>
              </w:rPr>
              <w:t>。可以满足</w:t>
            </w:r>
            <w:r>
              <w:rPr>
                <w:rFonts w:hint="eastAsia" w:ascii="宋体" w:hAnsi="宋体"/>
                <w:szCs w:val="21"/>
              </w:rPr>
              <w:t>汽车零部件（轴、齿轮）的锻件加工</w:t>
            </w:r>
            <w:r>
              <w:rPr>
                <w:rFonts w:hint="eastAsia"/>
                <w:szCs w:val="21"/>
              </w:rPr>
              <w:t>需要。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行车4台，其中一台为3吨以下，3台</w:t>
            </w:r>
            <w:r>
              <w:rPr>
                <w:rFonts w:hint="eastAsia" w:ascii="宋体" w:hAnsi="宋体"/>
                <w:szCs w:val="21"/>
              </w:rPr>
              <w:t>出示</w:t>
            </w:r>
            <w:r>
              <w:rPr>
                <w:rFonts w:hint="eastAsia" w:ascii="宋体" w:hAnsi="宋体"/>
                <w:szCs w:val="21"/>
                <w:lang w:eastAsia="zh-CN"/>
              </w:rPr>
              <w:t>年检报告（详见附件）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主要检测设备有游标卡尺</w:t>
            </w:r>
            <w:r>
              <w:rPr>
                <w:rFonts w:hint="eastAsia" w:ascii="宋体" w:hAnsi="宋体"/>
                <w:szCs w:val="21"/>
                <w:lang w:eastAsia="zh-CN"/>
              </w:rPr>
              <w:t>、硬度计</w:t>
            </w:r>
            <w:r>
              <w:rPr>
                <w:rFonts w:hint="eastAsia" w:ascii="宋体" w:hAnsi="宋体"/>
                <w:szCs w:val="21"/>
              </w:rPr>
              <w:t>等，提供</w:t>
            </w:r>
            <w:r>
              <w:rPr>
                <w:rFonts w:hint="eastAsia" w:ascii="宋体" w:hAnsi="宋体"/>
                <w:szCs w:val="21"/>
                <w:lang w:eastAsia="zh-CN"/>
              </w:rPr>
              <w:t>游标卡尺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/>
                <w:szCs w:val="21"/>
              </w:rPr>
              <w:t>校准证书</w:t>
            </w:r>
            <w:r>
              <w:rPr>
                <w:rFonts w:hint="eastAsia" w:ascii="宋体" w:hAnsi="宋体"/>
                <w:szCs w:val="21"/>
                <w:lang w:eastAsia="zh-CN"/>
              </w:rPr>
              <w:t>，不能提供硬度计的有效校准证书。</w:t>
            </w:r>
          </w:p>
        </w:tc>
        <w:tc>
          <w:tcPr>
            <w:tcW w:w="1185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7.1.5</w:t>
            </w:r>
          </w:p>
        </w:tc>
        <w:tc>
          <w:tcPr>
            <w:tcW w:w="1185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</w:tc>
        <w:tc>
          <w:tcPr>
            <w:tcW w:w="908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方针：</w:t>
            </w:r>
            <w:r>
              <w:rPr>
                <w:rFonts w:hint="eastAsia"/>
                <w:szCs w:val="21"/>
                <w:lang w:eastAsia="zh-CN"/>
              </w:rPr>
              <w:t>质量第一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用户至上；持续改进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服务周到；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内审时间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6月10日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审组：</w:t>
            </w:r>
            <w:r>
              <w:rPr>
                <w:rFonts w:hint="eastAsia" w:cs="Times New Roman"/>
                <w:szCs w:val="21"/>
                <w:lang w:eastAsia="zh-CN"/>
              </w:rPr>
              <w:t>组长：</w:t>
            </w:r>
            <w:bookmarkStart w:id="4" w:name="_GoBack"/>
            <w:bookmarkEnd w:id="4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赵军（综合部 ）            </w:t>
            </w:r>
            <w:r>
              <w:rPr>
                <w:rFonts w:hint="eastAsia" w:cs="Times New Roman"/>
                <w:szCs w:val="21"/>
                <w:lang w:eastAsia="zh-CN"/>
              </w:rPr>
              <w:t>组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 xml:space="preserve">员：罗玉昌（生产部）   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见有：《内审不符合项报告》1份，涉及</w:t>
            </w:r>
            <w:r>
              <w:rPr>
                <w:rFonts w:hint="eastAsia"/>
                <w:szCs w:val="21"/>
                <w:lang w:eastAsia="zh-CN"/>
              </w:rPr>
              <w:t>生产部</w:t>
            </w:r>
            <w:r>
              <w:rPr>
                <w:rFonts w:hint="eastAsia"/>
                <w:szCs w:val="21"/>
                <w:lang w:val="en-US" w:eastAsia="zh-CN"/>
              </w:rPr>
              <w:t>8.5.1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条款。对不符合事实描述为“识别的特殊过程为热处理，但未能提供对其实施确认的记录”针对以上不符合项，已及时采取纠正措施后，经内审员验证关闭。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有《内部审核报告》，有审核结论。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081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管理评审于202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加强</w:t>
            </w:r>
            <w:r>
              <w:t>GB/T19001</w:t>
            </w:r>
            <w:r>
              <w:rPr>
                <w:rFonts w:hint="eastAsia"/>
              </w:rPr>
              <w:t>标准和质量管理体系文件的学习培训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。由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组织培训，以上改进措施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eastAsia="zh-CN"/>
              </w:rPr>
              <w:t>已经在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val="en-US" w:eastAsia="zh-CN"/>
              </w:rPr>
              <w:t>2021年6月底完成，提供相关培训记录及改进措施实施计划记录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081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重点审核部门：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生产部、技术部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重点审核场所：办公区域、生产场所。</w:t>
            </w: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p/>
    <w:p>
      <w:pPr>
        <w:pStyle w:val="6"/>
      </w:pPr>
    </w:p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05E"/>
    <w:rsid w:val="0012678C"/>
    <w:rsid w:val="002A4C04"/>
    <w:rsid w:val="00387A7D"/>
    <w:rsid w:val="009F68FD"/>
    <w:rsid w:val="00B40A5B"/>
    <w:rsid w:val="00B54F1D"/>
    <w:rsid w:val="00DE405E"/>
    <w:rsid w:val="027A0BFE"/>
    <w:rsid w:val="10942254"/>
    <w:rsid w:val="1B5C1792"/>
    <w:rsid w:val="1F6B291F"/>
    <w:rsid w:val="21FA2ADB"/>
    <w:rsid w:val="26715C18"/>
    <w:rsid w:val="281E1F3F"/>
    <w:rsid w:val="29725B74"/>
    <w:rsid w:val="2CD525DF"/>
    <w:rsid w:val="307D530A"/>
    <w:rsid w:val="310F49B1"/>
    <w:rsid w:val="33A81264"/>
    <w:rsid w:val="34611EE1"/>
    <w:rsid w:val="3698651F"/>
    <w:rsid w:val="37A132AE"/>
    <w:rsid w:val="3C061C9C"/>
    <w:rsid w:val="3C136591"/>
    <w:rsid w:val="473708A2"/>
    <w:rsid w:val="4C05739C"/>
    <w:rsid w:val="4C832275"/>
    <w:rsid w:val="515D3202"/>
    <w:rsid w:val="56B24052"/>
    <w:rsid w:val="5B7F1E8E"/>
    <w:rsid w:val="5F6E6E9A"/>
    <w:rsid w:val="601962B8"/>
    <w:rsid w:val="64E94529"/>
    <w:rsid w:val="689376C8"/>
    <w:rsid w:val="68DF715B"/>
    <w:rsid w:val="6BCC4A57"/>
    <w:rsid w:val="757979A6"/>
    <w:rsid w:val="787E2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rPr>
      <w:rFonts w:ascii="宋体" w:hAnsi="Courier New"/>
      <w:szCs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1888</Characters>
  <Lines>15</Lines>
  <Paragraphs>4</Paragraphs>
  <TotalTime>13</TotalTime>
  <ScaleCrop>false</ScaleCrop>
  <LinksUpToDate>false</LinksUpToDate>
  <CharactersWithSpaces>2215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zx</cp:lastModifiedBy>
  <dcterms:modified xsi:type="dcterms:W3CDTF">2021-08-05T08:02:10Z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F0E87BA4C88545D7B8C33D83E789BD90</vt:lpwstr>
  </property>
</Properties>
</file>