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重庆市聚泽汽车饰品有限公司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04.04.02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周航宇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2"/>
                <w:szCs w:val="22"/>
              </w:rPr>
              <w:t>汽车椅套、脚垫、内饰改装件的生产</w:t>
            </w:r>
            <w:bookmarkEnd w:id="6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汽车椅套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脚垫</w:t>
            </w:r>
            <w:r>
              <w:rPr>
                <w:rFonts w:hint="eastAsia"/>
                <w:sz w:val="18"/>
                <w:szCs w:val="18"/>
                <w:lang w:eastAsia="zh-CN"/>
              </w:rPr>
              <w:t>生产工艺流程：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原料检验--—裁剪--缝合、跑边线、包边--检验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内饰改装件</w:t>
            </w:r>
            <w:r>
              <w:rPr>
                <w:rFonts w:hint="eastAsia"/>
                <w:sz w:val="18"/>
                <w:szCs w:val="18"/>
                <w:lang w:eastAsia="zh-CN"/>
              </w:rPr>
              <w:t>生产工艺流程：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原料检验--—裁剪--缝合、跑边线、包边、削边打孔—组装包覆--检验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生产过程的风险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：尺寸、外观的要求。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控制措施：按图纸及作业指导书要求进行控制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汽车内饰用聚氨酯束状超细纤维合成革QB/T4674-2014、地毯复合型汽车脚垫CABl028-2014、《汽车皮革类方向盘套》CAB-1018-2018、GB 8410-2006《汽车内饰材料的燃烧特性》、QC/T 236-1997《汽车内饰材料性能的试验方法》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检验内容：尺寸、外观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22860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2021年07月29日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2021年07月29日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AC0827"/>
    <w:rsid w:val="7DD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2021-07-26T02:10:20Z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6039771124EC46ECB9A9DFF03357F111</vt:lpwstr>
  </property>
</Properties>
</file>