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广汉市盛鸿达建材有限公司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商务洽谈----签订合同-----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产品----产品交付----售后服务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固体废弃物的排放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潜在火灾</w:t>
            </w:r>
            <w:r>
              <w:rPr>
                <w:rFonts w:hint="eastAsia" w:ascii="宋体" w:hAnsi="宋体"/>
                <w:sz w:val="24"/>
                <w:lang w:eastAsia="zh-CN"/>
              </w:rPr>
              <w:t>；按运行程序控制、按目标指标管理方案控制、应急预案控制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触电、火灾；按运行程序控制、按目标指标管理方案控制、应急预案控制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环境保护法、中华人民共和国消防法、中华人民共和国固体废物污染环境防治法、中华人民共和国环境噪声污染防治法、中华人民共和国大气污染防治法、中华人民共和国节约能源法、环境空气质量标准 GB3095-2012、大气污染物综合排放标准 GB16297-1996、污水综合排放标准 GB8978-1996、工业企业厂界环境噪声排放标准 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142240</wp:posOffset>
            </wp:positionV>
            <wp:extent cx="401955" cy="361950"/>
            <wp:effectExtent l="0" t="0" r="9525" b="381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109855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2021年7月24日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2021年7月24日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9F62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2021-07-27T10:16:20Z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3970C2E524574DA1AD412BA4C3C248F5</vt:lpwstr>
  </property>
</Properties>
</file>