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5"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671" w:type="dxa"/>
            <w:vAlign w:val="center"/>
          </w:tcPr>
          <w:p>
            <w:pPr>
              <w:rPr>
                <w:rFonts w:hint="default" w:eastAsia="宋体"/>
                <w:b/>
                <w:bCs/>
                <w:sz w:val="24"/>
                <w:szCs w:val="24"/>
                <w:lang w:val="en-US" w:eastAsia="zh-CN"/>
              </w:rPr>
            </w:pPr>
            <w:r>
              <w:rPr>
                <w:rFonts w:hint="eastAsia"/>
                <w:b/>
                <w:bCs/>
                <w:sz w:val="24"/>
                <w:szCs w:val="24"/>
              </w:rPr>
              <w:t>受审核部门：</w:t>
            </w:r>
            <w:r>
              <w:rPr>
                <w:rFonts w:hint="eastAsia"/>
                <w:b/>
                <w:bCs/>
                <w:sz w:val="24"/>
                <w:szCs w:val="24"/>
                <w:lang w:val="en-US" w:eastAsia="zh-CN"/>
              </w:rPr>
              <w:t xml:space="preserve">管理层     </w:t>
            </w:r>
            <w:r>
              <w:rPr>
                <w:rFonts w:hint="eastAsia"/>
                <w:b/>
                <w:bCs/>
                <w:sz w:val="24"/>
                <w:szCs w:val="24"/>
              </w:rPr>
              <w:t>主管领导：</w:t>
            </w:r>
            <w:r>
              <w:rPr>
                <w:rFonts w:hint="eastAsia"/>
                <w:b/>
                <w:bCs/>
                <w:sz w:val="24"/>
                <w:szCs w:val="24"/>
                <w:lang w:val="en-US" w:eastAsia="zh-CN"/>
              </w:rPr>
              <w:t xml:space="preserve">姚健    管理者代表：余雷     </w:t>
            </w:r>
            <w:r>
              <w:rPr>
                <w:rFonts w:hint="eastAsia"/>
                <w:b/>
                <w:bCs/>
                <w:sz w:val="24"/>
                <w:szCs w:val="24"/>
              </w:rPr>
              <w:t>陪同人员：</w:t>
            </w:r>
            <w:r>
              <w:rPr>
                <w:rFonts w:hint="eastAsia"/>
                <w:b/>
                <w:bCs/>
                <w:sz w:val="24"/>
                <w:szCs w:val="24"/>
                <w:lang w:val="en-US" w:eastAsia="zh-CN"/>
              </w:rPr>
              <w:t xml:space="preserve">余雷 </w:t>
            </w:r>
          </w:p>
        </w:tc>
        <w:tc>
          <w:tcPr>
            <w:tcW w:w="7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before="120"/>
              <w:rPr>
                <w:rFonts w:hint="default" w:eastAsia="宋体"/>
                <w:b/>
                <w:bCs/>
                <w:lang w:val="en-US" w:eastAsia="zh-CN"/>
              </w:rPr>
            </w:pPr>
            <w:r>
              <w:rPr>
                <w:rFonts w:hint="eastAsia"/>
                <w:b/>
                <w:bCs/>
                <w:sz w:val="24"/>
                <w:szCs w:val="24"/>
              </w:rPr>
              <w:t>审核员：</w:t>
            </w:r>
            <w:r>
              <w:rPr>
                <w:rFonts w:hint="eastAsia"/>
                <w:b/>
                <w:bCs/>
                <w:sz w:val="24"/>
                <w:szCs w:val="24"/>
                <w:lang w:val="en-US" w:eastAsia="zh-CN"/>
              </w:rPr>
              <w:t xml:space="preserve">张磊           </w:t>
            </w:r>
            <w:r>
              <w:rPr>
                <w:rFonts w:hint="eastAsia"/>
                <w:b/>
                <w:bCs/>
                <w:sz w:val="24"/>
                <w:szCs w:val="24"/>
              </w:rPr>
              <w:t>审核时间：</w:t>
            </w:r>
            <w:r>
              <w:rPr>
                <w:rFonts w:hint="eastAsia"/>
                <w:b/>
                <w:bCs/>
                <w:sz w:val="24"/>
                <w:szCs w:val="24"/>
                <w:lang w:val="en-US" w:eastAsia="zh-CN"/>
              </w:rPr>
              <w:t>2021.7.28</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lang w:eastAsia="zh-CN"/>
              </w:rPr>
            </w:pPr>
            <w:r>
              <w:rPr>
                <w:rFonts w:hint="eastAsia"/>
                <w:b/>
                <w:bCs/>
                <w:sz w:val="24"/>
                <w:szCs w:val="24"/>
              </w:rPr>
              <w:t>审核条款：</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r>
              <w:rPr>
                <w:rFonts w:hint="eastAsia" w:cs="Times New Roman"/>
                <w:b w:val="0"/>
                <w:bCs/>
                <w:sz w:val="21"/>
                <w:szCs w:val="21"/>
                <w:lang w:eastAsia="zh-CN"/>
              </w:rPr>
              <w:t>、</w:t>
            </w:r>
            <w:r>
              <w:rPr>
                <w:rFonts w:hint="eastAsia" w:cs="Times New Roman"/>
                <w:b w:val="0"/>
                <w:bCs/>
                <w:sz w:val="21"/>
                <w:szCs w:val="21"/>
                <w:lang w:val="en-US" w:eastAsia="zh-CN"/>
              </w:rPr>
              <w:t>环境/职业健康安全资金投入情况。</w:t>
            </w:r>
          </w:p>
          <w:p>
            <w:pPr>
              <w:spacing w:before="120"/>
              <w:jc w:val="both"/>
              <w:rPr>
                <w:rFonts w:hint="eastAsia"/>
                <w:b/>
                <w:bCs/>
                <w:sz w:val="24"/>
                <w:szCs w:val="24"/>
              </w:rPr>
            </w:pPr>
            <w:r>
              <w:rPr>
                <w:rFonts w:hint="default" w:ascii="Times New Roman" w:hAnsi="Times New Roman" w:eastAsia="宋体" w:cs="Times New Roman"/>
                <w:b w:val="0"/>
                <w:bCs/>
                <w:sz w:val="21"/>
                <w:szCs w:val="21"/>
                <w:lang w:val="en-US" w:eastAsia="zh-CN"/>
              </w:rPr>
              <w:t>EO</w:t>
            </w:r>
            <w:r>
              <w:rPr>
                <w:rFonts w:hint="default" w:ascii="Times New Roman" w:hAnsi="Times New Roman" w:eastAsia="宋体" w:cs="Times New Roman"/>
                <w:b w:val="0"/>
                <w:bCs/>
                <w:sz w:val="21"/>
                <w:szCs w:val="21"/>
              </w:rPr>
              <w:t>4.1/4.2/4.3/4.4/5.1/5.2/5.3/6.1/6.2/6.3/7.1/9.1.1/9.3/10.1/10.3</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before="120"/>
              <w:rPr>
                <w:rFonts w:hint="eastAsia"/>
                <w:sz w:val="24"/>
                <w:szCs w:val="24"/>
              </w:rPr>
            </w:pPr>
            <w:r>
              <w:rPr>
                <w:rFonts w:hint="eastAsia"/>
                <w:sz w:val="24"/>
                <w:szCs w:val="24"/>
              </w:rPr>
              <w:t>理解组织及其环境</w:t>
            </w:r>
          </w:p>
        </w:tc>
        <w:tc>
          <w:tcPr>
            <w:tcW w:w="1095" w:type="dxa"/>
          </w:tcPr>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:4.1</w:t>
            </w:r>
          </w:p>
        </w:tc>
        <w:tc>
          <w:tcPr>
            <w:tcW w:w="10671" w:type="dxa"/>
          </w:tcPr>
          <w:p>
            <w:pPr>
              <w:spacing w:line="560" w:lineRule="exact"/>
              <w:rPr>
                <w:rFonts w:hint="eastAsia" w:cs="Times New Roman" w:asciiTheme="majorEastAsia" w:hAnsiTheme="majorEastAsia" w:eastAsiaTheme="majorEastAsia"/>
                <w:b w:val="0"/>
                <w:bCs/>
                <w:color w:val="000000"/>
                <w:sz w:val="24"/>
                <w:szCs w:val="24"/>
                <w:lang w:eastAsia="zh-CN"/>
              </w:rPr>
            </w:pPr>
            <w:r>
              <w:rPr>
                <w:rFonts w:hint="eastAsia" w:cs="Times New Roman" w:asciiTheme="majorEastAsia" w:hAnsiTheme="majorEastAsia" w:eastAsiaTheme="majorEastAsia"/>
                <w:b w:val="0"/>
                <w:bCs/>
                <w:color w:val="000000"/>
                <w:sz w:val="24"/>
                <w:szCs w:val="24"/>
                <w:lang w:eastAsia="zh-CN"/>
              </w:rPr>
              <w:t>公司背景：滁州市赢聚高分子材料有限公司始建于2016年，经过几年的努力和发展，赢聚高分子已经成为聚氨酯C.A.S.E.领域的创新者，公司主要人员由在聚氨酯领域工作多年的专家和多位一线技术应用工程师构成。2018年12月在山东临沂郯城化工园区成立全资子公司山东赢聚高分子材料有限公司。</w:t>
            </w:r>
            <w:r>
              <w:rPr>
                <w:rFonts w:hint="eastAsia" w:cs="Times New Roman" w:asciiTheme="majorEastAsia" w:hAnsiTheme="majorEastAsia" w:eastAsiaTheme="majorEastAsia"/>
                <w:b w:val="0"/>
                <w:bCs/>
                <w:color w:val="000000"/>
                <w:sz w:val="24"/>
                <w:szCs w:val="24"/>
                <w:lang w:eastAsia="zh-CN"/>
              </w:rPr>
              <w:cr/>
            </w:r>
            <w:r>
              <w:rPr>
                <w:rFonts w:hint="eastAsia" w:cs="Times New Roman" w:asciiTheme="majorEastAsia" w:hAnsiTheme="majorEastAsia" w:eastAsiaTheme="majorEastAsia"/>
                <w:b w:val="0"/>
                <w:bCs/>
                <w:color w:val="000000"/>
                <w:sz w:val="24"/>
                <w:szCs w:val="24"/>
                <w:lang w:eastAsia="zh-CN"/>
              </w:rPr>
              <w:t>主营业务：滁州市赢聚高分子材料有限公司是研发、生产和销售为一体的科技技术型公司，主要产品包括聚氨酯化妆棉粉扑、聚氨酯预聚体、聚氨酯密封胶、聚氨酯发泡胶、聚氨酯弹性体等，公司基于多年的聚氨酯应用经验和领先技术，为客户提供整体解决方案，应用领域广泛涵盖新能源、天然气、钢铁、造纸、矿山、美妆、研磨、医疗、制鞋、海洋等多个行业。</w:t>
            </w:r>
          </w:p>
          <w:p>
            <w:pPr>
              <w:spacing w:line="560" w:lineRule="exact"/>
              <w:rPr>
                <w:rFonts w:hint="eastAsia" w:cs="Times New Roman" w:asciiTheme="majorEastAsia" w:hAnsiTheme="majorEastAsia" w:eastAsiaTheme="majorEastAsia"/>
                <w:b w:val="0"/>
                <w:bCs/>
                <w:color w:val="000000"/>
                <w:sz w:val="24"/>
                <w:szCs w:val="24"/>
                <w:lang w:eastAsia="zh-CN"/>
              </w:rPr>
            </w:pPr>
            <w:r>
              <w:rPr>
                <w:rFonts w:hint="eastAsia" w:cs="Times New Roman" w:asciiTheme="majorEastAsia" w:hAnsiTheme="majorEastAsia" w:eastAsiaTheme="majorEastAsia"/>
                <w:b w:val="0"/>
                <w:bCs/>
                <w:color w:val="000000"/>
                <w:sz w:val="24"/>
                <w:szCs w:val="24"/>
                <w:lang w:eastAsia="zh-CN"/>
              </w:rPr>
              <w:t>荣誉业绩：公司正在申请为国家级高新技术企业、安徽省战略性新兴产业骨干培育企业、滁州市创新型试点企业,公司高分子材料及核心加工装备工程技术研究中心被认定为安徽省企业技术中心和安徽省工程技术研究中心，具有极强的自主创新能力。公司具有对外贸易经营权。目前已形成各类专利15项、其中发明专利5项。</w:t>
            </w:r>
            <w:r>
              <w:rPr>
                <w:rFonts w:hint="eastAsia" w:cs="Times New Roman" w:asciiTheme="majorEastAsia" w:hAnsiTheme="majorEastAsia" w:eastAsiaTheme="majorEastAsia"/>
                <w:b w:val="0"/>
                <w:bCs/>
                <w:color w:val="000000"/>
                <w:sz w:val="24"/>
                <w:szCs w:val="24"/>
                <w:lang w:eastAsia="zh-CN"/>
              </w:rPr>
              <w:cr/>
            </w:r>
            <w:r>
              <w:rPr>
                <w:rFonts w:hint="eastAsia" w:cs="Times New Roman" w:asciiTheme="majorEastAsia" w:hAnsiTheme="majorEastAsia" w:eastAsiaTheme="majorEastAsia"/>
                <w:b w:val="0"/>
                <w:bCs/>
                <w:color w:val="000000"/>
                <w:sz w:val="24"/>
                <w:szCs w:val="24"/>
                <w:lang w:eastAsia="zh-CN"/>
              </w:rPr>
              <w:t>核心竞争力：滁州赢聚拥有丰富的市场和产品经验，在特定某些子应用行业处于市场领导地位，拥有产品品牌麦迪森，我们的核心竞争力是个性化的定制和整体解决方案，以高品质的产品为客户提供专业周到的服务。</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before="120"/>
              <w:rPr>
                <w:rFonts w:hint="eastAsia"/>
                <w:sz w:val="24"/>
                <w:szCs w:val="24"/>
              </w:rPr>
            </w:pPr>
            <w:r>
              <w:rPr>
                <w:rFonts w:hint="eastAsia"/>
                <w:sz w:val="24"/>
                <w:szCs w:val="24"/>
              </w:rPr>
              <w:t>理解相关方的需求和期望</w:t>
            </w:r>
          </w:p>
        </w:tc>
        <w:tc>
          <w:tcPr>
            <w:tcW w:w="1095" w:type="dxa"/>
          </w:tcPr>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:4.2</w:t>
            </w:r>
          </w:p>
        </w:tc>
        <w:tc>
          <w:tcPr>
            <w:tcW w:w="10671" w:type="dxa"/>
          </w:tcPr>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客户</w:t>
            </w:r>
            <w:r>
              <w:rPr>
                <w:rFonts w:hint="eastAsia" w:asciiTheme="majorEastAsia" w:hAnsiTheme="majorEastAsia" w:eastAsiaTheme="majorEastAsia"/>
                <w:color w:val="000000"/>
                <w:sz w:val="24"/>
                <w:szCs w:val="24"/>
                <w:lang w:eastAsia="zh-CN"/>
              </w:rPr>
              <w:t>：作为对公司发展有最直接影响的相关方，公司办公室负责直接与客户对话，了解其需求和期望，包括对产品 ，交货工期以及技术服务及服务价格等方面的要求，公司通过优化技术服务及销售流程，提高技术服务效率，加大技术服务力度等种种措施，力求可以提高技术服务产品 ，降低成本，加快技术服务速度，满足顾客的要求和提高顾客满意度；</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供应商</w:t>
            </w:r>
            <w:r>
              <w:rPr>
                <w:rFonts w:hint="eastAsia" w:asciiTheme="majorEastAsia" w:hAnsiTheme="majorEastAsia" w:eastAsiaTheme="majorEastAsia"/>
                <w:color w:val="000000"/>
                <w:sz w:val="24"/>
                <w:szCs w:val="24"/>
                <w:lang w:eastAsia="zh-CN"/>
              </w:rPr>
              <w:t>：作为产品辅助设施 的源头，公司加大对由供应商提供的办公翻译设施相关的硬件产品以及其他的外包过程产品进行 控制，保证使用的产品 过关；</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员工：员工的技术服务工作能力极大的影响到技术服务 及设计能力，公司建立健全各种奖惩措施，加大培训教育力度，提高员工的企业认知度及技术服务和提供产品的 意识，从各个方面提高员工的技术服务积极性，保障公司的持续稳定发展；</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审核机构及政府机关</w:t>
            </w:r>
            <w:r>
              <w:rPr>
                <w:rFonts w:hint="eastAsia" w:asciiTheme="majorEastAsia" w:hAnsiTheme="majorEastAsia" w:eastAsiaTheme="majorEastAsia"/>
                <w:color w:val="000000"/>
                <w:sz w:val="24"/>
                <w:szCs w:val="24"/>
                <w:lang w:eastAsia="zh-CN"/>
              </w:rPr>
              <w:t>：公司建立 管理体系，每年申请由正规的审核认证机构对公司 管理进行审核，通过审核出的问题提高管理体系的有效性，并得到持续改进。通过与政府机关的监督，公司遵纪守法，不偷税不漏税，健康文明发展公司考虑了以下相关方：</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a) 直接顾客； </w:t>
            </w:r>
          </w:p>
          <w:p>
            <w:pPr>
              <w:spacing w:line="560" w:lineRule="exact"/>
              <w:rPr>
                <w:rFonts w:hint="eastAsia"/>
                <w:sz w:val="24"/>
                <w:szCs w:val="24"/>
              </w:rPr>
            </w:pPr>
            <w:r>
              <w:rPr>
                <w:rFonts w:hint="eastAsia" w:asciiTheme="majorEastAsia" w:hAnsiTheme="majorEastAsia" w:eastAsiaTheme="majorEastAsia"/>
                <w:color w:val="000000"/>
                <w:sz w:val="24"/>
                <w:szCs w:val="24"/>
                <w:lang w:eastAsia="zh-CN"/>
              </w:rPr>
              <w:t xml:space="preserve">b) 外部提供方； </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rPr>
            </w:pPr>
            <w:r>
              <w:rPr>
                <w:rFonts w:hint="eastAsia"/>
                <w:sz w:val="24"/>
                <w:szCs w:val="24"/>
              </w:rPr>
              <w:t>确定管理体系的范围</w:t>
            </w:r>
          </w:p>
        </w:tc>
        <w:tc>
          <w:tcPr>
            <w:tcW w:w="1095" w:type="dxa"/>
          </w:tcPr>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:4.3</w:t>
            </w:r>
          </w:p>
        </w:tc>
        <w:tc>
          <w:tcPr>
            <w:tcW w:w="10671" w:type="dxa"/>
          </w:tcPr>
          <w:p>
            <w:pPr>
              <w:spacing w:line="560" w:lineRule="exact"/>
              <w:rPr>
                <w:rFonts w:hint="default" w:cs="Times New Roman" w:asciiTheme="majorEastAsia" w:hAnsiTheme="majorEastAsia" w:eastAsiaTheme="majorEastAsia"/>
                <w:b w:val="0"/>
                <w:bCs/>
                <w:color w:val="000000"/>
                <w:sz w:val="24"/>
                <w:szCs w:val="24"/>
                <w:lang w:val="en-US" w:eastAsia="zh-CN"/>
              </w:rPr>
            </w:pPr>
            <w:r>
              <w:rPr>
                <w:rFonts w:hint="eastAsia" w:cs="Times New Roman" w:asciiTheme="majorEastAsia" w:hAnsiTheme="majorEastAsia" w:eastAsiaTheme="majorEastAsia"/>
                <w:b w:val="0"/>
                <w:bCs/>
                <w:color w:val="000000"/>
                <w:sz w:val="24"/>
                <w:szCs w:val="24"/>
                <w:lang w:val="en-US" w:eastAsia="zh-CN"/>
              </w:rPr>
              <w:t>公司认证的范围是：</w:t>
            </w:r>
          </w:p>
          <w:p>
            <w:pPr>
              <w:spacing w:line="560" w:lineRule="exact"/>
              <w:rPr>
                <w:rFonts w:hint="eastAsia" w:cs="Times New Roman" w:asciiTheme="majorEastAsia" w:hAnsiTheme="majorEastAsia" w:eastAsiaTheme="majorEastAsia"/>
                <w:b w:val="0"/>
                <w:bCs/>
                <w:color w:val="000000"/>
                <w:sz w:val="24"/>
                <w:szCs w:val="24"/>
                <w:lang w:eastAsia="zh-CN"/>
              </w:rPr>
            </w:pPr>
            <w:bookmarkStart w:id="0" w:name="审核范围"/>
            <w:r>
              <w:rPr>
                <w:rFonts w:hint="eastAsia" w:cs="Times New Roman" w:asciiTheme="majorEastAsia" w:hAnsiTheme="majorEastAsia" w:eastAsiaTheme="majorEastAsia"/>
                <w:b w:val="0"/>
                <w:bCs/>
                <w:color w:val="000000"/>
                <w:sz w:val="24"/>
                <w:szCs w:val="24"/>
                <w:lang w:eastAsia="zh-CN"/>
              </w:rPr>
              <w:t>E：聚氨酯化妆品用粉扑的生产及相关环境管理活动；</w:t>
            </w:r>
          </w:p>
          <w:p>
            <w:pPr>
              <w:spacing w:line="560" w:lineRule="exact"/>
              <w:rPr>
                <w:rFonts w:hint="eastAsia" w:cs="Times New Roman" w:asciiTheme="majorEastAsia" w:hAnsiTheme="majorEastAsia" w:eastAsiaTheme="majorEastAsia"/>
                <w:b w:val="0"/>
                <w:bCs/>
                <w:color w:val="000000"/>
                <w:sz w:val="24"/>
                <w:szCs w:val="24"/>
                <w:lang w:val="en-US" w:eastAsia="zh-CN"/>
              </w:rPr>
            </w:pPr>
            <w:r>
              <w:rPr>
                <w:rFonts w:hint="eastAsia" w:cs="Times New Roman" w:asciiTheme="majorEastAsia" w:hAnsiTheme="majorEastAsia" w:eastAsiaTheme="majorEastAsia"/>
                <w:b w:val="0"/>
                <w:bCs/>
                <w:color w:val="000000"/>
                <w:sz w:val="24"/>
                <w:szCs w:val="24"/>
                <w:lang w:eastAsia="zh-CN"/>
              </w:rPr>
              <w:t>O：聚氨酯化妆品用粉扑的生产及相关职业健康安全管理活动</w:t>
            </w:r>
            <w:bookmarkEnd w:id="0"/>
            <w:r>
              <w:rPr>
                <w:rFonts w:hint="eastAsia" w:cs="Times New Roman" w:asciiTheme="majorEastAsia" w:hAnsiTheme="majorEastAsia" w:eastAsiaTheme="majorEastAsia"/>
                <w:b w:val="0"/>
                <w:bCs/>
                <w:color w:val="000000"/>
                <w:sz w:val="24"/>
                <w:szCs w:val="24"/>
                <w:lang w:eastAsia="zh-CN"/>
              </w:rPr>
              <w:t>；</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rPr>
            </w:pPr>
            <w:r>
              <w:rPr>
                <w:rFonts w:hint="eastAsia"/>
                <w:sz w:val="24"/>
                <w:szCs w:val="24"/>
              </w:rPr>
              <w:t>管理体系及其过程</w:t>
            </w:r>
          </w:p>
        </w:tc>
        <w:tc>
          <w:tcPr>
            <w:tcW w:w="1095" w:type="dxa"/>
          </w:tcPr>
          <w:p>
            <w:pPr>
              <w:spacing w:line="560" w:lineRule="exact"/>
              <w:rPr>
                <w:rFonts w:hint="eastAsia"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E</w:t>
            </w:r>
            <w:r>
              <w:rPr>
                <w:rFonts w:hint="eastAsia" w:asciiTheme="majorEastAsia" w:hAnsiTheme="majorEastAsia" w:eastAsiaTheme="majorEastAsia"/>
                <w:color w:val="000000"/>
                <w:sz w:val="24"/>
                <w:szCs w:val="24"/>
                <w:lang w:val="en-US" w:eastAsia="zh-CN"/>
              </w:rPr>
              <w:t>S</w:t>
            </w:r>
            <w:r>
              <w:rPr>
                <w:rFonts w:hint="eastAsia" w:asciiTheme="majorEastAsia" w:hAnsiTheme="majorEastAsia" w:eastAsiaTheme="majorEastAsia"/>
                <w:color w:val="000000"/>
                <w:sz w:val="24"/>
                <w:szCs w:val="24"/>
                <w:lang w:eastAsia="zh-CN"/>
              </w:rPr>
              <w:t>:4.4</w:t>
            </w:r>
          </w:p>
        </w:tc>
        <w:tc>
          <w:tcPr>
            <w:tcW w:w="10671" w:type="dxa"/>
            <w:vAlign w:val="top"/>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zh-CN" w:eastAsia="zh-CN"/>
              </w:rPr>
              <w:t>本公司按照 ISO14001:2015《环境管理体系要求及使用指南》和GB/T45001-2020idtISO45001:2018《职业健康安全管理体系</w:t>
            </w:r>
            <w:r>
              <w:rPr>
                <w:rFonts w:hint="eastAsia" w:asciiTheme="majorEastAsia" w:hAnsiTheme="majorEastAsia" w:eastAsiaTheme="majorEastAsia"/>
                <w:color w:val="000000"/>
                <w:sz w:val="24"/>
                <w:szCs w:val="24"/>
                <w:lang w:val="en-US" w:eastAsia="zh-CN"/>
              </w:rPr>
              <w:t xml:space="preserve">  </w:t>
            </w:r>
            <w:r>
              <w:rPr>
                <w:rFonts w:hint="eastAsia" w:asciiTheme="majorEastAsia" w:hAnsiTheme="majorEastAsia" w:eastAsiaTheme="majorEastAsia"/>
                <w:color w:val="000000"/>
                <w:sz w:val="24"/>
                <w:szCs w:val="24"/>
                <w:lang w:val="zh-CN" w:eastAsia="zh-CN"/>
              </w:rPr>
              <w:t>要求及使用指南》标准的要求，</w:t>
            </w:r>
            <w:r>
              <w:rPr>
                <w:rFonts w:hint="eastAsia" w:asciiTheme="majorEastAsia" w:hAnsiTheme="majorEastAsia" w:eastAsiaTheme="majorEastAsia"/>
                <w:color w:val="000000"/>
                <w:sz w:val="24"/>
                <w:szCs w:val="24"/>
                <w:lang w:val="en-US" w:eastAsia="zh-CN"/>
              </w:rPr>
              <w:t>建立了</w:t>
            </w:r>
            <w:r>
              <w:rPr>
                <w:rFonts w:hint="eastAsia" w:asciiTheme="majorEastAsia" w:hAnsiTheme="majorEastAsia" w:eastAsiaTheme="majorEastAsia"/>
                <w:color w:val="000000"/>
                <w:sz w:val="24"/>
                <w:szCs w:val="24"/>
                <w:lang w:val="zh-CN" w:eastAsia="zh-CN"/>
              </w:rPr>
              <w:t>环境/职业健康安全管理体系,</w:t>
            </w:r>
            <w:r>
              <w:rPr>
                <w:rFonts w:hint="eastAsia" w:asciiTheme="majorEastAsia" w:hAnsiTheme="majorEastAsia" w:eastAsiaTheme="majorEastAsia"/>
                <w:color w:val="000000"/>
                <w:sz w:val="24"/>
                <w:szCs w:val="24"/>
                <w:lang w:val="en-US" w:eastAsia="zh-CN"/>
              </w:rPr>
              <w:t>过程及其相互作用，并形成文件，本公司全体员工将有效地贯彻执行并持续改进其有效性。</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eastAsia="zh-CN"/>
              </w:rPr>
              <w:t>管理体系及其过程</w:t>
            </w:r>
            <w:r>
              <w:rPr>
                <w:rFonts w:hint="eastAsia" w:asciiTheme="majorEastAsia" w:hAnsiTheme="majorEastAsia" w:eastAsiaTheme="majorEastAsia"/>
                <w:color w:val="000000"/>
                <w:sz w:val="24"/>
                <w:szCs w:val="24"/>
                <w:lang w:val="en-US" w:eastAsia="zh-CN"/>
              </w:rPr>
              <w:t>为：</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公司与2019年下半年对环境/职业健康安全管理体系进行策划，识别了各个过程、环境因素、危险源等，编制了管理手册、程序文件、支持性文件及记录，于</w:t>
            </w:r>
            <w:r>
              <w:rPr>
                <w:rFonts w:hint="eastAsia" w:asciiTheme="majorEastAsia" w:hAnsiTheme="majorEastAsia" w:eastAsiaTheme="majorEastAsia"/>
                <w:color w:val="000000"/>
                <w:sz w:val="24"/>
                <w:szCs w:val="24"/>
                <w:lang w:val="zh-CN" w:eastAsia="zh-CN"/>
              </w:rPr>
              <w:t>20</w:t>
            </w:r>
            <w:r>
              <w:rPr>
                <w:rFonts w:hint="eastAsia" w:asciiTheme="majorEastAsia" w:hAnsiTheme="majorEastAsia" w:eastAsiaTheme="majorEastAsia"/>
                <w:color w:val="000000"/>
                <w:sz w:val="24"/>
                <w:szCs w:val="24"/>
                <w:lang w:val="en-US" w:eastAsia="zh-CN"/>
              </w:rPr>
              <w:t>20</w:t>
            </w:r>
            <w:r>
              <w:rPr>
                <w:rFonts w:hint="eastAsia" w:asciiTheme="majorEastAsia" w:hAnsiTheme="majorEastAsia" w:eastAsiaTheme="majorEastAsia"/>
                <w:color w:val="000000"/>
                <w:sz w:val="24"/>
                <w:szCs w:val="24"/>
                <w:lang w:val="zh-CN" w:eastAsia="zh-CN"/>
              </w:rPr>
              <w:t>年1月</w:t>
            </w:r>
            <w:r>
              <w:rPr>
                <w:rFonts w:hint="eastAsia" w:asciiTheme="majorEastAsia" w:hAnsiTheme="majorEastAsia" w:eastAsiaTheme="majorEastAsia"/>
                <w:color w:val="000000"/>
                <w:sz w:val="24"/>
                <w:szCs w:val="24"/>
                <w:lang w:val="en-US" w:eastAsia="zh-CN"/>
              </w:rPr>
              <w:t>2</w:t>
            </w:r>
            <w:r>
              <w:rPr>
                <w:rFonts w:hint="eastAsia" w:asciiTheme="majorEastAsia" w:hAnsiTheme="majorEastAsia" w:eastAsiaTheme="majorEastAsia"/>
                <w:color w:val="000000"/>
                <w:sz w:val="24"/>
                <w:szCs w:val="24"/>
                <w:lang w:val="zh-CN" w:eastAsia="zh-CN"/>
              </w:rPr>
              <w:t>日发布、 20</w:t>
            </w:r>
            <w:r>
              <w:rPr>
                <w:rFonts w:hint="eastAsia" w:asciiTheme="majorEastAsia" w:hAnsiTheme="majorEastAsia" w:eastAsiaTheme="majorEastAsia"/>
                <w:color w:val="000000"/>
                <w:sz w:val="24"/>
                <w:szCs w:val="24"/>
                <w:lang w:val="en-US" w:eastAsia="zh-CN"/>
              </w:rPr>
              <w:t>20</w:t>
            </w:r>
            <w:r>
              <w:rPr>
                <w:rFonts w:hint="eastAsia" w:asciiTheme="majorEastAsia" w:hAnsiTheme="majorEastAsia" w:eastAsiaTheme="majorEastAsia"/>
                <w:color w:val="000000"/>
                <w:sz w:val="24"/>
                <w:szCs w:val="24"/>
                <w:lang w:val="zh-CN" w:eastAsia="zh-CN"/>
              </w:rPr>
              <w:t>年1月</w:t>
            </w:r>
            <w:r>
              <w:rPr>
                <w:rFonts w:hint="eastAsia" w:asciiTheme="majorEastAsia" w:hAnsiTheme="majorEastAsia" w:eastAsiaTheme="majorEastAsia"/>
                <w:color w:val="000000"/>
                <w:sz w:val="24"/>
                <w:szCs w:val="24"/>
                <w:lang w:val="en-US" w:eastAsia="zh-CN"/>
              </w:rPr>
              <w:t>2</w:t>
            </w:r>
            <w:r>
              <w:rPr>
                <w:rFonts w:hint="eastAsia" w:asciiTheme="majorEastAsia" w:hAnsiTheme="majorEastAsia" w:eastAsiaTheme="majorEastAsia"/>
                <w:color w:val="000000"/>
                <w:sz w:val="24"/>
                <w:szCs w:val="24"/>
                <w:lang w:val="zh-CN" w:eastAsia="zh-CN"/>
              </w:rPr>
              <w:t>日实施。</w:t>
            </w:r>
            <w:r>
              <w:rPr>
                <w:rFonts w:hint="eastAsia" w:asciiTheme="majorEastAsia" w:hAnsiTheme="majorEastAsia" w:eastAsiaTheme="majorEastAsia"/>
                <w:color w:val="000000"/>
                <w:sz w:val="24"/>
                <w:szCs w:val="24"/>
                <w:lang w:val="en-US" w:eastAsia="zh-CN"/>
              </w:rPr>
              <w:t>经过半年多的运行，管理体系运行正常。</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rPr>
            </w:pPr>
            <w:r>
              <w:rPr>
                <w:rFonts w:hint="eastAsia"/>
                <w:sz w:val="24"/>
                <w:szCs w:val="24"/>
              </w:rPr>
              <w:t>领导作用和承诺</w:t>
            </w:r>
          </w:p>
        </w:tc>
        <w:tc>
          <w:tcPr>
            <w:tcW w:w="1095" w:type="dxa"/>
          </w:tcPr>
          <w:p>
            <w:pPr>
              <w:spacing w:line="560" w:lineRule="exact"/>
              <w:rPr>
                <w:rFonts w:hint="eastAsia"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E</w:t>
            </w:r>
            <w:r>
              <w:rPr>
                <w:rFonts w:hint="eastAsia" w:asciiTheme="majorEastAsia" w:hAnsiTheme="majorEastAsia" w:eastAsiaTheme="majorEastAsia"/>
                <w:color w:val="000000"/>
                <w:sz w:val="24"/>
                <w:szCs w:val="24"/>
                <w:lang w:val="en-US" w:eastAsia="zh-CN"/>
              </w:rPr>
              <w:t>S</w:t>
            </w:r>
            <w:r>
              <w:rPr>
                <w:rFonts w:hint="eastAsia" w:asciiTheme="majorEastAsia" w:hAnsiTheme="majorEastAsia" w:eastAsiaTheme="majorEastAsia"/>
                <w:color w:val="000000"/>
                <w:sz w:val="24"/>
                <w:szCs w:val="24"/>
                <w:lang w:eastAsia="zh-CN"/>
              </w:rPr>
              <w:t>:5.1</w:t>
            </w:r>
          </w:p>
        </w:tc>
        <w:tc>
          <w:tcPr>
            <w:tcW w:w="10671" w:type="dxa"/>
            <w:vAlign w:val="top"/>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公司最高管理者通过以下活动证实其对环境职业健康安全管理体系的领导作用和承诺：</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1、对 环境职业健康安全管理体系的有效性承担责任；</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2、确保制定 环境职业健康安全管理体系的 、环境、职业健康安全方针和环境、职业健康安全方针目标,并与公司环境和战略方向相一致；</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3、确保 环境职业健康安全管理体系要求融入与公司的业务过程；</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4、促进使用过程方法和基于风险的思维；</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5、确保获得 环境职业健康安全管理体系所需的资源；</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6、沟通有效的 环境职业健康安全管理和符合 环境职业健康安全管理体系要求的重要性；</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7、确保实现 环境职业健康安全管理体系的预期结果；</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8、促使、指导和支持员工努力提高 环境职业健康安全管理体系的有效性；</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9、推动改进；</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 xml:space="preserve"> 10、支持其他管理者履行其相关领域的职责。</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公司最高管理者通过确定、理解并持续满足顾客要求以及适用的法律法规要求；确定和应对能够影响服务符合性以及增强顾客满意能力的风险和机遇；</w:t>
            </w:r>
            <w:r>
              <w:rPr>
                <w:rFonts w:hint="eastAsia" w:asciiTheme="majorEastAsia" w:hAnsiTheme="majorEastAsia" w:eastAsiaTheme="majorEastAsia"/>
                <w:color w:val="000000"/>
                <w:sz w:val="24"/>
                <w:szCs w:val="24"/>
                <w:lang w:val="en-US" w:eastAsia="zh-CN"/>
              </w:rPr>
              <w:br w:type="textWrapping"/>
            </w:r>
            <w:r>
              <w:rPr>
                <w:rFonts w:hint="eastAsia" w:asciiTheme="majorEastAsia" w:hAnsiTheme="majorEastAsia" w:eastAsiaTheme="majorEastAsia"/>
                <w:color w:val="000000"/>
                <w:sz w:val="24"/>
                <w:szCs w:val="24"/>
                <w:lang w:val="en-US" w:eastAsia="zh-CN"/>
              </w:rPr>
              <w:t>始终致力于增强顾客满意。</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公司最高管理者组织相关部门制订发展规划、管理承诺、管理方针及管理目标，积极开展精神文明创建和争优创先活动，提高员工队伍整体素质。</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rPr>
                <w:rFonts w:hint="eastAsia"/>
                <w:sz w:val="24"/>
                <w:szCs w:val="24"/>
              </w:rPr>
            </w:pPr>
            <w:r>
              <w:rPr>
                <w:rFonts w:hint="eastAsia"/>
                <w:sz w:val="24"/>
                <w:szCs w:val="24"/>
                <w:lang w:val="en-US" w:eastAsia="zh-CN"/>
              </w:rPr>
              <w:t>管理</w:t>
            </w:r>
            <w:r>
              <w:rPr>
                <w:rFonts w:hint="eastAsia"/>
                <w:sz w:val="24"/>
                <w:szCs w:val="24"/>
              </w:rPr>
              <w:t>方针</w:t>
            </w:r>
          </w:p>
        </w:tc>
        <w:tc>
          <w:tcPr>
            <w:tcW w:w="1095" w:type="dxa"/>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ES:5.2</w:t>
            </w:r>
          </w:p>
        </w:tc>
        <w:tc>
          <w:tcPr>
            <w:tcW w:w="10671" w:type="dxa"/>
          </w:tcPr>
          <w:p>
            <w:pPr>
              <w:spacing w:line="560" w:lineRule="exact"/>
              <w:rPr>
                <w:rFonts w:hint="eastAsia" w:asciiTheme="majorEastAsia" w:hAnsiTheme="majorEastAsia" w:eastAsiaTheme="majorEastAsia"/>
                <w:color w:val="000000"/>
                <w:sz w:val="24"/>
                <w:szCs w:val="24"/>
                <w:lang w:val="zh-CN" w:eastAsia="zh-CN"/>
              </w:rPr>
            </w:pPr>
            <w:r>
              <w:rPr>
                <w:rFonts w:hint="eastAsia" w:asciiTheme="majorEastAsia" w:hAnsiTheme="majorEastAsia" w:eastAsiaTheme="majorEastAsia"/>
                <w:color w:val="000000"/>
                <w:sz w:val="24"/>
                <w:szCs w:val="24"/>
                <w:lang w:val="zh-CN" w:eastAsia="zh-CN"/>
              </w:rPr>
              <w:t>公司的环境/职业健康安全方针是：</w:t>
            </w:r>
            <w:r>
              <w:rPr>
                <w:rFonts w:hint="eastAsia" w:asciiTheme="majorEastAsia" w:hAnsiTheme="majorEastAsia" w:eastAsiaTheme="majorEastAsia"/>
                <w:color w:val="000000"/>
                <w:sz w:val="24"/>
                <w:szCs w:val="24"/>
                <w:lang w:val="en-US" w:eastAsia="zh-CN"/>
              </w:rPr>
              <w:t>顾客至上   为本  科学管理  求实创新；环境和谐  安全健康  预防为主  城信守法  持续改正  持续改进</w:t>
            </w:r>
            <w:r>
              <w:rPr>
                <w:rFonts w:hint="eastAsia" w:asciiTheme="majorEastAsia" w:hAnsiTheme="majorEastAsia" w:eastAsiaTheme="majorEastAsia"/>
                <w:color w:val="000000"/>
                <w:sz w:val="24"/>
                <w:szCs w:val="24"/>
                <w:lang w:val="zh-CN" w:eastAsia="zh-CN"/>
              </w:rPr>
              <w:t>。</w:t>
            </w:r>
          </w:p>
          <w:p>
            <w:pPr>
              <w:spacing w:line="560" w:lineRule="exact"/>
              <w:rPr>
                <w:rFonts w:hint="eastAsia" w:asciiTheme="majorEastAsia" w:hAnsiTheme="majorEastAsia" w:eastAsiaTheme="majorEastAsia"/>
                <w:color w:val="000000"/>
                <w:sz w:val="24"/>
                <w:szCs w:val="24"/>
                <w:lang w:val="zh-CN" w:eastAsia="zh-CN"/>
              </w:rPr>
            </w:pPr>
            <w:r>
              <w:rPr>
                <w:rFonts w:hint="eastAsia" w:asciiTheme="majorEastAsia" w:hAnsiTheme="majorEastAsia" w:eastAsiaTheme="majorEastAsia"/>
                <w:color w:val="000000"/>
                <w:sz w:val="24"/>
                <w:szCs w:val="24"/>
                <w:lang w:val="zh-CN" w:eastAsia="zh-CN"/>
              </w:rPr>
              <w:t>公司的环境/职业健康安全方针已经形成文件并获得保持。总经理作为公司的最高管理者</w:t>
            </w:r>
            <w:r>
              <w:rPr>
                <w:rFonts w:hint="eastAsia" w:asciiTheme="majorEastAsia" w:hAnsiTheme="majorEastAsia" w:eastAsiaTheme="majorEastAsia"/>
                <w:color w:val="000000"/>
                <w:sz w:val="24"/>
                <w:szCs w:val="24"/>
                <w:lang w:val="en-US" w:eastAsia="zh-CN"/>
              </w:rPr>
              <w:t>进行制定和批准</w:t>
            </w:r>
            <w:r>
              <w:rPr>
                <w:rFonts w:hint="eastAsia" w:asciiTheme="majorEastAsia" w:hAnsiTheme="majorEastAsia" w:eastAsiaTheme="majorEastAsia"/>
                <w:color w:val="000000"/>
                <w:sz w:val="24"/>
                <w:szCs w:val="24"/>
                <w:lang w:val="zh-CN" w:eastAsia="zh-CN"/>
              </w:rPr>
              <w:t>，通过培训、教育或会议等方式在公司内部沟通、推广环境/职业健康安全方针，使公司各级人员理解环境/职业健康安全方针并应用。适宜时，可作为宣传向有关相关方提供。</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组织的岗位、职责和权限</w:t>
            </w:r>
          </w:p>
        </w:tc>
        <w:tc>
          <w:tcPr>
            <w:tcW w:w="1095" w:type="dxa"/>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ES:5.3</w:t>
            </w:r>
          </w:p>
        </w:tc>
        <w:tc>
          <w:tcPr>
            <w:tcW w:w="10671" w:type="dxa"/>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为了有效的实施 、环境、职业健康安全管理，本公司确定了公司结构：</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——公司总经理、体系负责人为公司的管理层。</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——公司设置管理部门如下：办公室、生产技术部、供销部。</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公司规定了各级各岗位人员职责、权限和相互关系，并在公司内对各级员工进行了必要的传达；公司规定了各岗位职责及权限，对本公司各主要岗位职责权限进行了确定。以：</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a) 确保 、环境、职业健康安全管理体系符合本标准的要求；</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b) 确保各过程获得其预期输出；</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c) 报告 、环境、职业健康安全管理体系绩效及其改进机遇，特别向总经理报告；</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d) 确保在整个公司推动以顾客为关注焦点；</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e) 确保在策划和实施 、环境、职业健康安全管理体系变更时，保持其完整性。</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岗位职责及权限见管理手册。</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应对风险和机遇的措施</w:t>
            </w:r>
          </w:p>
          <w:p>
            <w:pPr>
              <w:spacing w:before="120"/>
              <w:rPr>
                <w:rFonts w:hint="eastAsia"/>
                <w:sz w:val="24"/>
                <w:szCs w:val="24"/>
                <w:lang w:val="en-US" w:eastAsia="zh-CN"/>
              </w:rPr>
            </w:pPr>
          </w:p>
          <w:p>
            <w:pPr>
              <w:spacing w:before="120"/>
              <w:rPr>
                <w:rFonts w:hint="eastAsia"/>
                <w:sz w:val="24"/>
                <w:szCs w:val="24"/>
                <w:lang w:val="en-US" w:eastAsia="zh-CN"/>
              </w:rPr>
            </w:pPr>
            <w:r>
              <w:rPr>
                <w:rFonts w:hint="eastAsia"/>
                <w:sz w:val="24"/>
                <w:szCs w:val="24"/>
                <w:lang w:val="en-US" w:eastAsia="zh-CN"/>
              </w:rPr>
              <w:t>策划措施</w:t>
            </w:r>
          </w:p>
        </w:tc>
        <w:tc>
          <w:tcPr>
            <w:tcW w:w="1095" w:type="dxa"/>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ES:6.1.1/6.1.4</w:t>
            </w:r>
          </w:p>
        </w:tc>
        <w:tc>
          <w:tcPr>
            <w:tcW w:w="10671" w:type="dxa"/>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公司运行风险分析及相应措施</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1、政策风险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 xml:space="preserve">     按照市政规划为了防止未来有可能发生改变的政策，本公司一方面为扩大业务做准备，另一方面如果政策发生改变，公司可以随即将加工业务线转移，不至于耽误公司业务，影响公司的发展。</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2、资源风险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3、产品风险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我公司按照市场和客户要求进行技术服务和销售，公司会组织多部门进行市场调查，多方收集信息，进行技术论证，当结果显示可行时，会先展开小规模投产实验。无明显错误或缺陷时，继续加大销售。</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4、财务风险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本公司至少有足够3个月的资金储备，公司内部实行款到发货，不实行欠款服务。</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5、服务安全风险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本公司配备有多个灭火器及防火措施，并组织专门人员定期对销售过程、销售设备环境等进行检查，消除安全隐患，防止发生火灾等不确定性风险。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本公司要求人员上岗前需经过岗前培训，培训包括安全管理办法及检验设备操作指导，并实施考核，考核通过者方可正式上岗。防止因对过程或设备的不熟悉而发生的人为错误影响监督或发生安全事故。</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6、产品过程风险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 xml:space="preserve">    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6、管理风险</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管理一个公司主要是建立一个团队，要有健全的规章制度，让每一个员工都在可控状态下工作，给每个员工创造发展的空间，让每个职责部门的领导对自己所领导的部门承担全部权利和义务。</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公司办公室负责管理人员的登记造册、技能培训、人员招聘等，并加大培训力度多方储备人才，防止因人员的突然流失而造成工作的停滞，造成损失。</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四、风险的评估</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对于以上涉及到的主要风险，一旦发生，均可能对公司的发展造成巨大损失，所以我们应时刻监视并评价相关环境因素，尽可能的规避风险发生或降低发生概率。</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spacing w:before="120"/>
              <w:rPr>
                <w:rFonts w:hint="eastAsia"/>
                <w:sz w:val="24"/>
                <w:szCs w:val="24"/>
                <w:lang w:val="en-US" w:eastAsia="zh-CN"/>
              </w:rPr>
            </w:pPr>
            <w:r>
              <w:rPr>
                <w:rFonts w:hint="eastAsia"/>
                <w:sz w:val="24"/>
                <w:szCs w:val="24"/>
                <w:lang w:val="en-US" w:eastAsia="zh-CN"/>
              </w:rPr>
              <w:t>目标及其实现的策划</w:t>
            </w:r>
          </w:p>
        </w:tc>
        <w:tc>
          <w:tcPr>
            <w:tcW w:w="1095" w:type="dxa"/>
          </w:tcPr>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ES:6.2</w:t>
            </w:r>
          </w:p>
        </w:tc>
        <w:tc>
          <w:tcPr>
            <w:tcW w:w="10671" w:type="dxa"/>
          </w:tcPr>
          <w:p>
            <w:pPr>
              <w:spacing w:line="560" w:lineRule="exact"/>
              <w:rPr>
                <w:rFonts w:hint="eastAsia" w:asciiTheme="majorEastAsia" w:hAnsiTheme="majorEastAsia" w:eastAsiaTheme="majorEastAsia"/>
                <w:color w:val="000000"/>
                <w:sz w:val="24"/>
                <w:szCs w:val="24"/>
                <w:lang w:val="zh-CN" w:eastAsia="zh-CN"/>
              </w:rPr>
            </w:pPr>
            <w:r>
              <w:rPr>
                <w:rFonts w:hint="eastAsia" w:asciiTheme="majorEastAsia" w:hAnsiTheme="majorEastAsia" w:eastAsiaTheme="majorEastAsia"/>
                <w:color w:val="000000"/>
                <w:sz w:val="24"/>
                <w:szCs w:val="24"/>
                <w:lang w:val="zh-CN" w:eastAsia="zh-CN"/>
              </w:rPr>
              <w:t>公司管理层以公司的环境/职业健康安全方针为框架，结合公司的实际运营情况，制定公司的环境/职业健康安全目标，为：</w:t>
            </w:r>
          </w:p>
          <w:p>
            <w:pPr>
              <w:spacing w:line="560" w:lineRule="exact"/>
              <w:rPr>
                <w:rFonts w:hint="eastAsia" w:asciiTheme="majorEastAsia" w:hAnsiTheme="majorEastAsia" w:eastAsiaTheme="majorEastAsia"/>
                <w:color w:val="000000"/>
                <w:sz w:val="24"/>
                <w:szCs w:val="24"/>
                <w:lang w:val="zh-CN" w:eastAsia="zh-CN"/>
              </w:rPr>
            </w:pPr>
            <w:r>
              <w:rPr>
                <w:rFonts w:hint="eastAsia" w:asciiTheme="majorEastAsia" w:hAnsiTheme="majorEastAsia" w:eastAsiaTheme="majorEastAsia"/>
                <w:color w:val="000000"/>
                <w:sz w:val="24"/>
                <w:szCs w:val="24"/>
                <w:lang w:val="zh-CN" w:eastAsia="zh-CN"/>
              </w:rPr>
              <w:t>1)</w:t>
            </w:r>
            <w:r>
              <w:rPr>
                <w:rFonts w:hint="eastAsia" w:asciiTheme="majorEastAsia" w:hAnsiTheme="majorEastAsia" w:eastAsiaTheme="majorEastAsia"/>
                <w:color w:val="000000"/>
                <w:sz w:val="24"/>
                <w:szCs w:val="24"/>
                <w:lang w:val="en-US" w:eastAsia="zh-CN"/>
              </w:rPr>
              <w:t>产品一次交验合格率≥98%</w:t>
            </w:r>
          </w:p>
          <w:p>
            <w:pPr>
              <w:spacing w:line="560" w:lineRule="exact"/>
              <w:rPr>
                <w:rFonts w:hint="eastAsia" w:asciiTheme="majorEastAsia" w:hAnsiTheme="majorEastAsia" w:eastAsiaTheme="majorEastAsia"/>
                <w:color w:val="000000"/>
                <w:sz w:val="24"/>
                <w:szCs w:val="24"/>
                <w:lang w:val="zh-CN" w:eastAsia="zh-CN"/>
              </w:rPr>
            </w:pPr>
            <w:r>
              <w:rPr>
                <w:rFonts w:hint="eastAsia" w:asciiTheme="majorEastAsia" w:hAnsiTheme="majorEastAsia" w:eastAsiaTheme="majorEastAsia"/>
                <w:color w:val="000000"/>
                <w:sz w:val="24"/>
                <w:szCs w:val="24"/>
                <w:lang w:val="zh-CN" w:eastAsia="zh-CN"/>
              </w:rPr>
              <w:t>2)</w:t>
            </w:r>
            <w:r>
              <w:rPr>
                <w:rFonts w:hint="eastAsia" w:asciiTheme="majorEastAsia" w:hAnsiTheme="majorEastAsia" w:eastAsiaTheme="majorEastAsia"/>
                <w:color w:val="000000"/>
                <w:sz w:val="24"/>
                <w:szCs w:val="24"/>
                <w:lang w:val="en-US" w:eastAsia="zh-CN"/>
              </w:rPr>
              <w:t>顾客满意度≥90%</w:t>
            </w:r>
            <w:r>
              <w:rPr>
                <w:rFonts w:hint="eastAsia" w:asciiTheme="majorEastAsia" w:hAnsiTheme="majorEastAsia" w:eastAsiaTheme="majorEastAsia"/>
                <w:color w:val="000000"/>
                <w:sz w:val="24"/>
                <w:szCs w:val="24"/>
                <w:lang w:val="zh-CN" w:eastAsia="zh-CN"/>
              </w:rPr>
              <w:t>。</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zh-CN" w:eastAsia="zh-CN"/>
              </w:rPr>
              <w:t>3)</w:t>
            </w:r>
            <w:r>
              <w:rPr>
                <w:rFonts w:hint="eastAsia" w:asciiTheme="majorEastAsia" w:hAnsiTheme="majorEastAsia" w:eastAsiaTheme="majorEastAsia"/>
                <w:color w:val="000000"/>
                <w:sz w:val="24"/>
                <w:szCs w:val="24"/>
                <w:lang w:val="en-US" w:eastAsia="zh-CN"/>
              </w:rPr>
              <w:t>火灾发生0</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4）安全事故0</w:t>
            </w:r>
          </w:p>
          <w:p>
            <w:pPr>
              <w:spacing w:line="560" w:lineRule="exact"/>
              <w:rPr>
                <w:rFonts w:hint="default"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5）固废处理率100%</w:t>
            </w:r>
          </w:p>
          <w:p>
            <w:pPr>
              <w:spacing w:line="560" w:lineRule="exact"/>
              <w:rPr>
                <w:rFonts w:hint="eastAsia" w:asciiTheme="majorEastAsia" w:hAnsiTheme="majorEastAsia" w:eastAsiaTheme="majorEastAsia"/>
                <w:color w:val="000000"/>
                <w:sz w:val="24"/>
                <w:szCs w:val="24"/>
                <w:lang w:val="en-US" w:eastAsia="zh-CN"/>
              </w:rPr>
            </w:pPr>
            <w:r>
              <w:rPr>
                <w:rFonts w:hint="eastAsia" w:asciiTheme="majorEastAsia" w:hAnsiTheme="majorEastAsia" w:eastAsiaTheme="majorEastAsia"/>
                <w:color w:val="000000"/>
                <w:sz w:val="24"/>
                <w:szCs w:val="24"/>
                <w:lang w:val="en-US" w:eastAsia="zh-CN"/>
              </w:rPr>
              <w:t>管理目标按季度于2021年7</w:t>
            </w:r>
            <w:r>
              <w:rPr>
                <w:rFonts w:hint="eastAsia" w:asciiTheme="majorEastAsia" w:hAnsiTheme="majorEastAsia" w:eastAsiaTheme="majorEastAsia"/>
                <w:color w:val="000000"/>
                <w:sz w:val="24"/>
                <w:szCs w:val="24"/>
                <w:lang w:val="zh-CN" w:eastAsia="zh-CN"/>
              </w:rPr>
              <w:t>月</w:t>
            </w:r>
            <w:r>
              <w:rPr>
                <w:rFonts w:hint="eastAsia" w:asciiTheme="majorEastAsia" w:hAnsiTheme="majorEastAsia" w:eastAsiaTheme="majorEastAsia"/>
                <w:color w:val="000000"/>
                <w:sz w:val="24"/>
                <w:szCs w:val="24"/>
                <w:lang w:val="en-US" w:eastAsia="zh-CN"/>
              </w:rPr>
              <w:t>1</w:t>
            </w:r>
            <w:r>
              <w:rPr>
                <w:rFonts w:hint="eastAsia" w:asciiTheme="majorEastAsia" w:hAnsiTheme="majorEastAsia" w:eastAsiaTheme="majorEastAsia"/>
                <w:color w:val="000000"/>
                <w:sz w:val="24"/>
                <w:szCs w:val="24"/>
                <w:lang w:val="zh-CN" w:eastAsia="zh-CN"/>
              </w:rPr>
              <w:t>日</w:t>
            </w:r>
            <w:r>
              <w:rPr>
                <w:rFonts w:hint="eastAsia" w:asciiTheme="majorEastAsia" w:hAnsiTheme="majorEastAsia" w:eastAsiaTheme="majorEastAsia"/>
                <w:color w:val="000000"/>
                <w:sz w:val="24"/>
                <w:szCs w:val="24"/>
                <w:lang w:val="en-US" w:eastAsia="zh-CN"/>
              </w:rPr>
              <w:t>进行，目标完成情况良好。</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spacing w:before="120"/>
              <w:rPr>
                <w:rFonts w:hint="eastAsia"/>
                <w:sz w:val="24"/>
                <w:szCs w:val="24"/>
                <w:lang w:val="en-US" w:eastAsia="zh-CN"/>
              </w:rPr>
            </w:pPr>
            <w:r>
              <w:rPr>
                <w:rFonts w:hint="eastAsia"/>
                <w:sz w:val="24"/>
                <w:szCs w:val="24"/>
                <w:lang w:val="en-US" w:eastAsia="zh-CN"/>
              </w:rPr>
              <w:t>资源</w:t>
            </w:r>
          </w:p>
        </w:tc>
        <w:tc>
          <w:tcPr>
            <w:tcW w:w="1095" w:type="dxa"/>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ES:7.1</w:t>
            </w:r>
          </w:p>
        </w:tc>
        <w:tc>
          <w:tcPr>
            <w:tcW w:w="10671" w:type="dxa"/>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公司位于</w:t>
            </w:r>
            <w:r>
              <w:rPr>
                <w:rFonts w:hint="eastAsia" w:ascii="宋体" w:hAnsi="宋体" w:cs="宋体"/>
                <w:kern w:val="0"/>
                <w:sz w:val="24"/>
              </w:rPr>
              <w:t>安徽省滁州市开发区城东工业园经二路嘉明机电1号厂房</w:t>
            </w:r>
            <w:r>
              <w:rPr>
                <w:rFonts w:hint="eastAsia" w:ascii="宋体" w:hAnsi="宋体" w:cs="宋体"/>
                <w:kern w:val="0"/>
                <w:sz w:val="24"/>
                <w:lang w:eastAsia="zh-CN"/>
              </w:rPr>
              <w:t>，</w:t>
            </w:r>
            <w:r>
              <w:rPr>
                <w:rFonts w:hint="eastAsia" w:ascii="宋体" w:hAnsi="宋体" w:cs="宋体"/>
                <w:kern w:val="0"/>
                <w:sz w:val="24"/>
                <w:lang w:val="en-US" w:eastAsia="zh-CN"/>
              </w:rPr>
              <w:t>厂房面积余吾2400平方米，，有办公设备电脑、办公桌椅和橱柜，有具有专业技能的人员10人。有本公司的销售网络和客户群。</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公司确定并提供为建立、实施、保持和持续改进 、环境、职业健康安全管理体系所需的资源。公司考虑：</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a) 现有内部资源的能力和约束；b) 需要从外部供方获取的资源。</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 xml:space="preserve">人员：公司确定并提供所需要的人员，以有效实施管理体系并运行和控制其过程。 </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办公室负责提出所需设备的配置申请，由办公室汇总核定，经体系负责人审核，报总经理批准后，由技术部购置。新购进设备由技术部组织验收后，建账、建卡进行管理。各使用部门按《机械设备管理程序》办理手续后使用。</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办公室负责对监视和测量设备的控制管理工作，建立《监视和测量设备台账》，负责组织监视和测量设备的周期检定工作，具体执行《监视和测量资源控制程序》。</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办公室负责提供必备的办公设备，如电话机、传真机、复印机、扫描仪、计算机、打印机等。</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水电供应由办公室负责，各部门按《节能降耗控制程序》的规定使用水、电等能源资源。</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 xml:space="preserve">过程运行环境 </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公司应确保为服务全过程提供符合要求的工作环境，保证服务 并预防环境污染。在雨季或冬季销售时，制定冬、雨季检测措施，保证工作环境符合要求。</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总体环境</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各部门负责保持各自办公室的环境卫生。各种废弃物的处理按《服务过程控制程序》和《废弃物控制程序》执行，办公室负责监督检查。每个员工都有责任创造和谐、舒适的工作环境。</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销售环境;a.噪声污染控制由办公室组织按《噪声控制程序》的有关规定进行控制。b.销售现场粉尘、垃圾、污水排放控制，由生产部按《服务过程控制程序》的有关规定执行。c.各部门依据有关操作规定和规程组织服务，具体执行《服务过程控制程序》和《环境运行控制程序》。d.办公室负责提供涉及环境保护的设备、设施和用品。e创造良好的工作环境，努力提高工作效率。办公室负责环境状况的监督检查。</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 xml:space="preserve"> 此外，创造无歧视、和谐稳定、无对抗的工作氛围，采取措施舒缓心理压力、预防过度疲劳、保护个人情感也是过程运行环境管理的重要组成部分。</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Pr>
          <w:p>
            <w:pPr>
              <w:spacing w:before="120"/>
              <w:rPr>
                <w:rFonts w:hint="eastAsia"/>
                <w:sz w:val="24"/>
                <w:szCs w:val="24"/>
                <w:lang w:val="en-US" w:eastAsia="zh-CN"/>
              </w:rPr>
            </w:pPr>
            <w:r>
              <w:rPr>
                <w:rFonts w:hint="eastAsia"/>
                <w:sz w:val="24"/>
                <w:szCs w:val="24"/>
                <w:lang w:val="en-US" w:eastAsia="zh-CN"/>
              </w:rPr>
              <w:t>监视、测量、分析和评价</w:t>
            </w:r>
          </w:p>
        </w:tc>
        <w:tc>
          <w:tcPr>
            <w:tcW w:w="1095" w:type="dxa"/>
          </w:tcPr>
          <w:p>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ES:9.1.1</w:t>
            </w:r>
          </w:p>
          <w:p>
            <w:pPr>
              <w:spacing w:line="360" w:lineRule="auto"/>
              <w:ind w:firstLine="240" w:firstLineChars="100"/>
              <w:rPr>
                <w:rFonts w:hint="eastAsia" w:ascii="宋体" w:hAnsi="宋体" w:cs="宋体"/>
                <w:kern w:val="0"/>
                <w:sz w:val="24"/>
                <w:lang w:val="en-US" w:eastAsia="zh-CN"/>
              </w:rPr>
            </w:pPr>
          </w:p>
        </w:tc>
        <w:tc>
          <w:tcPr>
            <w:tcW w:w="10671" w:type="dxa"/>
          </w:tcPr>
          <w:p>
            <w:pPr>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val="en-US" w:eastAsia="zh-CN"/>
              </w:rPr>
              <w:t>公司策划的监视、测量、分析和评价的内容有：</w:t>
            </w:r>
          </w:p>
          <w:p>
            <w:pPr>
              <w:spacing w:line="360" w:lineRule="auto"/>
              <w:ind w:firstLine="240" w:firstLineChars="100"/>
              <w:rPr>
                <w:rFonts w:hint="eastAsia" w:ascii="宋体" w:hAnsi="宋体" w:cs="宋体"/>
                <w:kern w:val="0"/>
                <w:sz w:val="24"/>
                <w:lang w:val="zh-CN" w:eastAsia="zh-CN"/>
              </w:rPr>
            </w:pPr>
            <w:r>
              <w:rPr>
                <w:rFonts w:hint="eastAsia" w:ascii="宋体" w:hAnsi="宋体" w:cs="宋体"/>
                <w:kern w:val="0"/>
                <w:sz w:val="24"/>
                <w:lang w:val="zh-CN" w:eastAsia="zh-CN"/>
              </w:rPr>
              <w:t>1)</w:t>
            </w:r>
            <w:r>
              <w:rPr>
                <w:rFonts w:hint="eastAsia" w:ascii="宋体" w:hAnsi="宋体" w:cs="宋体"/>
                <w:kern w:val="0"/>
                <w:sz w:val="24"/>
                <w:lang w:val="en-US" w:eastAsia="zh-CN"/>
              </w:rPr>
              <w:t>产品一次交验合格率≥98%</w:t>
            </w:r>
          </w:p>
          <w:p>
            <w:pPr>
              <w:spacing w:line="360" w:lineRule="auto"/>
              <w:ind w:firstLine="240" w:firstLineChars="100"/>
              <w:rPr>
                <w:rFonts w:hint="eastAsia" w:ascii="宋体" w:hAnsi="宋体" w:cs="宋体"/>
                <w:kern w:val="0"/>
                <w:sz w:val="24"/>
                <w:lang w:val="zh-CN" w:eastAsia="zh-CN"/>
              </w:rPr>
            </w:pPr>
            <w:r>
              <w:rPr>
                <w:rFonts w:hint="eastAsia" w:ascii="宋体" w:hAnsi="宋体" w:cs="宋体"/>
                <w:kern w:val="0"/>
                <w:sz w:val="24"/>
                <w:lang w:val="zh-CN" w:eastAsia="zh-CN"/>
              </w:rPr>
              <w:t>2)</w:t>
            </w:r>
            <w:r>
              <w:rPr>
                <w:rFonts w:hint="eastAsia" w:ascii="宋体" w:hAnsi="宋体" w:cs="宋体"/>
                <w:kern w:val="0"/>
                <w:sz w:val="24"/>
                <w:lang w:val="en-US" w:eastAsia="zh-CN"/>
              </w:rPr>
              <w:t>顾客满意度≥90%</w:t>
            </w:r>
            <w:r>
              <w:rPr>
                <w:rFonts w:hint="eastAsia" w:ascii="宋体" w:hAnsi="宋体" w:cs="宋体"/>
                <w:kern w:val="0"/>
                <w:sz w:val="24"/>
                <w:lang w:val="zh-CN" w:eastAsia="zh-CN"/>
              </w:rPr>
              <w:t>。</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zh-CN" w:eastAsia="zh-CN"/>
              </w:rPr>
              <w:t>3)</w:t>
            </w:r>
            <w:r>
              <w:rPr>
                <w:rFonts w:hint="eastAsia" w:ascii="宋体" w:hAnsi="宋体" w:cs="宋体"/>
                <w:kern w:val="0"/>
                <w:sz w:val="24"/>
                <w:lang w:val="en-US" w:eastAsia="zh-CN"/>
              </w:rPr>
              <w:t>火灾发生0</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4）安全事故0</w:t>
            </w:r>
          </w:p>
          <w:p>
            <w:pPr>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val="en-US" w:eastAsia="zh-CN"/>
              </w:rPr>
              <w:t>5）固废处理率100%</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监视、测量、分析和评价满足标准要求；</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r>
              <w:rPr>
                <w:rFonts w:hint="eastAsia"/>
                <w:sz w:val="24"/>
                <w:szCs w:val="24"/>
                <w:lang w:val="en-US" w:eastAsia="zh-CN"/>
              </w:rPr>
              <w:t xml:space="preserve"> </w:t>
            </w:r>
          </w:p>
          <w:p>
            <w:pPr>
              <w:pStyle w:val="2"/>
              <w:rPr>
                <w:rFonts w:hint="default"/>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管理评审</w:t>
            </w:r>
          </w:p>
        </w:tc>
        <w:tc>
          <w:tcPr>
            <w:tcW w:w="1095" w:type="dxa"/>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 xml:space="preserve">Q:9.3 </w:t>
            </w:r>
          </w:p>
          <w:p>
            <w:pPr>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val="en-US" w:eastAsia="zh-CN"/>
              </w:rPr>
              <w:t>ES:9.3</w:t>
            </w:r>
          </w:p>
          <w:p>
            <w:pPr>
              <w:spacing w:line="360" w:lineRule="auto"/>
              <w:ind w:firstLine="240" w:firstLineChars="100"/>
              <w:rPr>
                <w:rFonts w:hint="eastAsia" w:ascii="宋体" w:hAnsi="宋体" w:cs="宋体"/>
                <w:kern w:val="0"/>
                <w:sz w:val="24"/>
                <w:lang w:val="en-US" w:eastAsia="zh-CN"/>
              </w:rPr>
            </w:pPr>
          </w:p>
        </w:tc>
        <w:tc>
          <w:tcPr>
            <w:tcW w:w="10671" w:type="dxa"/>
            <w:vAlign w:val="top"/>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查按照策划的要求，于2021年6月30日由总经理主持进行了管理评审，提供了会议签到表。</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出示各部门输入资料：各部门领导做了本部门的体系运行工作汇报。</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管理评审提出的改进措施正在实施过程中。</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提供了《环境、职业健康安全管理体系管理评审计划》，明确了评审目的、地点、参加评审的人员、评审的内容和各部门需准备的评审材料。</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查实施：</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查按照策划的要求，于2021.6.30由总经理主持进行了管理评审。提供了会议签到表 。</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出示各部门输入资料：部门领导做了本部门的体系运行工作汇报。</w:t>
            </w:r>
          </w:p>
          <w:p>
            <w:pPr>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val="en-US" w:eastAsia="zh-CN"/>
              </w:rPr>
              <w:t>改进的建议： 1. 加强员工对标准的理解；</w:t>
            </w:r>
          </w:p>
          <w:p>
            <w:pPr>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val="en-US" w:eastAsia="zh-CN"/>
              </w:rPr>
              <w:t xml:space="preserve">           2. 提升产品 控制过程。</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管理评审提出的改进措施正在实施中，计划7月内完成。</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改进总则</w:t>
            </w:r>
          </w:p>
        </w:tc>
        <w:tc>
          <w:tcPr>
            <w:tcW w:w="1095" w:type="dxa"/>
          </w:tcPr>
          <w:p>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ES：10.1</w:t>
            </w:r>
          </w:p>
          <w:p>
            <w:pPr>
              <w:spacing w:line="360" w:lineRule="auto"/>
              <w:ind w:firstLine="240" w:firstLineChars="100"/>
              <w:rPr>
                <w:rFonts w:hint="eastAsia" w:ascii="宋体" w:hAnsi="宋体" w:cs="宋体"/>
                <w:kern w:val="0"/>
                <w:sz w:val="24"/>
                <w:lang w:val="en-US" w:eastAsia="zh-CN"/>
              </w:rPr>
            </w:pPr>
          </w:p>
        </w:tc>
        <w:tc>
          <w:tcPr>
            <w:tcW w:w="10671" w:type="dxa"/>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公司确定并选择改进机会，采取必要措施，满足顾客要求和增强顾客满意。这些包括：</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a) 改进服务，以满足要求并关注未来的需求和期望；</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b) 纠正、预防或减少不利影响；</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c) 改进 、环境、职业健康安全管理体系绩效和有效性。</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改进内容包括纠正、纠正措施、持续改进、突变、创新或重组等。</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持续改进</w:t>
            </w:r>
          </w:p>
        </w:tc>
        <w:tc>
          <w:tcPr>
            <w:tcW w:w="1095" w:type="dxa"/>
          </w:tcPr>
          <w:p>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ES:10.3</w:t>
            </w:r>
          </w:p>
          <w:p>
            <w:pPr>
              <w:spacing w:line="360" w:lineRule="auto"/>
              <w:ind w:firstLine="240" w:firstLineChars="100"/>
              <w:rPr>
                <w:rFonts w:hint="eastAsia" w:ascii="宋体" w:hAnsi="宋体" w:cs="宋体"/>
                <w:kern w:val="0"/>
                <w:sz w:val="24"/>
                <w:lang w:val="en-US" w:eastAsia="zh-CN"/>
              </w:rPr>
            </w:pPr>
          </w:p>
        </w:tc>
        <w:tc>
          <w:tcPr>
            <w:tcW w:w="10671" w:type="dxa"/>
            <w:vAlign w:val="top"/>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在日常管理和内审、管评中对不断出现的客户和公司内外部的需求，作为持续改进的对象并予以实施。</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p>
            <w:pPr>
              <w:pStyle w:val="2"/>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工作人员的协商和参与</w:t>
            </w:r>
          </w:p>
        </w:tc>
        <w:tc>
          <w:tcPr>
            <w:tcW w:w="1095" w:type="dxa"/>
          </w:tcPr>
          <w:p>
            <w:pPr>
              <w:spacing w:line="360" w:lineRule="auto"/>
              <w:ind w:firstLine="240" w:firstLineChars="100"/>
              <w:rPr>
                <w:rFonts w:hint="default" w:ascii="宋体" w:hAnsi="宋体" w:cs="宋体"/>
                <w:kern w:val="0"/>
                <w:sz w:val="24"/>
                <w:lang w:val="en-US" w:eastAsia="zh-CN"/>
              </w:rPr>
            </w:pPr>
            <w:r>
              <w:rPr>
                <w:rFonts w:hint="eastAsia" w:ascii="宋体" w:hAnsi="宋体" w:cs="宋体"/>
                <w:kern w:val="0"/>
                <w:sz w:val="24"/>
                <w:lang w:val="en-US" w:eastAsia="zh-CN"/>
              </w:rPr>
              <w:t>S:5.4</w:t>
            </w:r>
          </w:p>
          <w:p>
            <w:pPr>
              <w:spacing w:line="360" w:lineRule="auto"/>
              <w:ind w:firstLine="240" w:firstLineChars="100"/>
              <w:rPr>
                <w:rFonts w:hint="eastAsia" w:ascii="宋体" w:hAnsi="宋体" w:cs="宋体"/>
                <w:kern w:val="0"/>
                <w:sz w:val="24"/>
                <w:lang w:val="en-US" w:eastAsia="zh-CN"/>
              </w:rPr>
            </w:pPr>
          </w:p>
        </w:tc>
        <w:tc>
          <w:tcPr>
            <w:tcW w:w="10671" w:type="dxa"/>
          </w:tcPr>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 xml:space="preserve">公司建立、实施和保持了工作人员的协商和参与程序，用于所有适用的层次和职能的工作人员协商和参与 </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 xml:space="preserve">开发、策划、实施、绩效评价和处置工作，以改进职业健康安全管理体系。如果有工作人员代表，以工作人员代表的方式。 </w:t>
            </w:r>
          </w:p>
          <w:p>
            <w:pPr>
              <w:spacing w:line="360" w:lineRule="auto"/>
              <w:ind w:firstLine="240" w:firstLineChars="100"/>
              <w:rPr>
                <w:rFonts w:hint="eastAsia" w:ascii="宋体" w:hAnsi="宋体" w:cs="宋体"/>
                <w:kern w:val="0"/>
                <w:sz w:val="24"/>
                <w:lang w:val="en-US" w:eastAsia="zh-CN"/>
              </w:rPr>
            </w:pPr>
            <w:r>
              <w:rPr>
                <w:rFonts w:hint="eastAsia" w:ascii="宋体" w:hAnsi="宋体" w:cs="宋体"/>
                <w:kern w:val="0"/>
                <w:sz w:val="24"/>
                <w:lang w:val="en-US" w:eastAsia="zh-CN"/>
              </w:rPr>
              <w:t>经询查，公司有微信群，员工可以随时发表个人对工作的建议和意见，有合理化建议书，可以发表公司在职业健康安全方面的号的建议。</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tcPr>
          <w:p>
            <w:pPr>
              <w:spacing w:before="120"/>
              <w:rPr>
                <w:rFonts w:hint="eastAsia"/>
                <w:sz w:val="24"/>
                <w:szCs w:val="24"/>
                <w:lang w:val="en-US" w:eastAsia="zh-CN"/>
              </w:rPr>
            </w:pPr>
            <w:r>
              <w:rPr>
                <w:rFonts w:hint="eastAsia"/>
                <w:sz w:val="24"/>
                <w:szCs w:val="24"/>
                <w:lang w:val="en-US" w:eastAsia="zh-CN"/>
              </w:rPr>
              <w:t>资质验证/范围再确认/初审阶段问题验证/投诉或事故/政府主管部门监督抽查情况</w:t>
            </w:r>
          </w:p>
        </w:tc>
        <w:tc>
          <w:tcPr>
            <w:tcW w:w="1095" w:type="dxa"/>
          </w:tcPr>
          <w:p>
            <w:pPr>
              <w:spacing w:before="120"/>
              <w:rPr>
                <w:rFonts w:hint="eastAsia"/>
                <w:sz w:val="24"/>
                <w:szCs w:val="24"/>
                <w:lang w:val="en-US" w:eastAsia="zh-CN"/>
              </w:rPr>
            </w:pP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提供营业执照91341100MA2N11BF25，营业期限为2016年10月09日至长期。</w:t>
            </w:r>
          </w:p>
          <w:p>
            <w:pPr>
              <w:pStyle w:val="2"/>
              <w:rPr>
                <w:rFonts w:hint="default"/>
                <w:lang w:val="en-US" w:eastAsia="zh-CN"/>
              </w:rPr>
            </w:pPr>
            <w:r>
              <w:rPr>
                <w:rFonts w:hint="eastAsia" w:ascii="华文中宋" w:hAnsi="华文中宋" w:eastAsia="华文中宋" w:cs="Times New Roman"/>
                <w:color w:val="000000"/>
                <w:sz w:val="24"/>
                <w:szCs w:val="24"/>
                <w:lang w:val="en-US" w:eastAsia="zh-CN"/>
              </w:rPr>
              <w:t xml:space="preserve">  提供固定污染源排污登记回执，登记编号：91341100MA2N11BF25001X</w:t>
            </w:r>
            <w:bookmarkStart w:id="1" w:name="_GoBack"/>
            <w:bookmarkEnd w:id="1"/>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范围再确认：</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E：聚氨酯化妆品用粉扑的生产及相关环境管理活动；</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O：聚氨酯化妆品用粉扑的生产及相关职业健康安全管理活动；</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初审阶段问题验证：初审阶段问题已经整改完毕。</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经询查，公司没有 环境安全事故及投诉情况；没有政府主管部门监督抽查情况。</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spacing w:before="120"/>
              <w:rPr>
                <w:rFonts w:hint="eastAsia"/>
                <w:sz w:val="24"/>
                <w:szCs w:val="24"/>
                <w:lang w:val="en-US" w:eastAsia="zh-CN"/>
              </w:rPr>
            </w:pPr>
            <w:r>
              <w:rPr>
                <w:rFonts w:hint="eastAsia"/>
                <w:sz w:val="24"/>
                <w:szCs w:val="24"/>
                <w:lang w:val="en-US" w:eastAsia="zh-CN"/>
              </w:rPr>
              <w:t>环境/职业健康安全资金投入情况。</w:t>
            </w:r>
          </w:p>
        </w:tc>
        <w:tc>
          <w:tcPr>
            <w:tcW w:w="1095" w:type="dxa"/>
          </w:tcPr>
          <w:p>
            <w:pPr>
              <w:spacing w:before="120"/>
              <w:rPr>
                <w:rFonts w:hint="eastAsia"/>
                <w:sz w:val="24"/>
                <w:szCs w:val="24"/>
                <w:lang w:val="en-US" w:eastAsia="zh-CN"/>
              </w:rPr>
            </w:pPr>
          </w:p>
        </w:tc>
        <w:tc>
          <w:tcPr>
            <w:tcW w:w="10671" w:type="dxa"/>
          </w:tcPr>
          <w:p>
            <w:pPr>
              <w:spacing w:before="120"/>
              <w:rPr>
                <w:rFonts w:hint="default"/>
                <w:sz w:val="24"/>
                <w:szCs w:val="24"/>
                <w:lang w:val="en-US" w:eastAsia="zh-CN"/>
              </w:rPr>
            </w:pPr>
            <w:r>
              <w:rPr>
                <w:rFonts w:hint="eastAsia"/>
                <w:sz w:val="24"/>
                <w:szCs w:val="24"/>
                <w:lang w:val="en-US" w:eastAsia="zh-CN"/>
              </w:rPr>
              <w:t>环境/职业健康安全资金投入18.5万元其中：绿化植被0.5万元、环保设备10万、办公设施1万元、劳保用品1万元、员工健康安全体检1万元、资质认证5万元。</w:t>
            </w:r>
          </w:p>
        </w:tc>
        <w:tc>
          <w:tcPr>
            <w:tcW w:w="783" w:type="dxa"/>
          </w:tcPr>
          <w:p>
            <w:pPr>
              <w:spacing w:before="120"/>
              <w:rPr>
                <w:rFonts w:hint="eastAsia"/>
                <w:lang w:val="en-US" w:eastAsia="zh-CN"/>
              </w:rPr>
            </w:pPr>
          </w:p>
          <w:p>
            <w:pPr>
              <w:pStyle w:val="2"/>
              <w:rPr>
                <w:rFonts w:hint="default"/>
                <w:lang w:val="en-US" w:eastAsia="zh-CN"/>
              </w:rPr>
            </w:pPr>
            <w:r>
              <w:rPr>
                <w:rFonts w:hint="eastAsia"/>
                <w:sz w:val="24"/>
                <w:szCs w:val="24"/>
                <w:lang w:val="en-US" w:eastAsia="zh-CN"/>
              </w:rPr>
              <w:t xml:space="preserve">  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0A5691"/>
    <w:rsid w:val="2D424A3C"/>
    <w:rsid w:val="3048367F"/>
    <w:rsid w:val="32C27B60"/>
    <w:rsid w:val="35AD3F57"/>
    <w:rsid w:val="3DA07AD8"/>
    <w:rsid w:val="462336CA"/>
    <w:rsid w:val="5BDC29FF"/>
    <w:rsid w:val="68F452C7"/>
    <w:rsid w:val="6AC804E8"/>
    <w:rsid w:val="6B8F6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2021-07-28T02:49:30Z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EFAA8BA159244174AD18FA25187B5A80</vt:lpwstr>
  </property>
</Properties>
</file>