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河北鸿美通讯器材有限公司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2"/>
          <w:rFonts w:hint="eastAsia" w:ascii="楷体" w:hAnsi="楷体" w:eastAsia="楷体"/>
          <w:b/>
          <w:sz w:val="36"/>
          <w:szCs w:val="36"/>
        </w:rPr>
        <w:t>www.china-isc.org.cn</w:t>
      </w:r>
      <w:r>
        <w:fldChar w:fldCharType="end"/>
      </w: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9"/>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刘玉兰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刘红杰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Q:29.12.00</w:t>
            </w:r>
          </w:p>
          <w:p>
            <w:pPr>
              <w:spacing w:line="240" w:lineRule="exact"/>
              <w:jc w:val="center"/>
              <w:rPr>
                <w:b/>
                <w:color w:val="000000" w:themeColor="text1"/>
                <w:sz w:val="20"/>
                <w:szCs w:val="20"/>
              </w:rPr>
            </w:pPr>
            <w:r>
              <w:rPr>
                <w:b/>
                <w:color w:val="000000" w:themeColor="text1"/>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张星</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Q:29.12.00</w:t>
            </w:r>
          </w:p>
          <w:p>
            <w:pPr>
              <w:spacing w:line="240" w:lineRule="exact"/>
              <w:jc w:val="center"/>
              <w:rPr>
                <w:b/>
                <w:color w:val="000000" w:themeColor="text1"/>
                <w:sz w:val="20"/>
                <w:szCs w:val="20"/>
              </w:rPr>
            </w:pPr>
            <w:r>
              <w:rPr>
                <w:b/>
                <w:color w:val="000000" w:themeColor="text1"/>
                <w:sz w:val="20"/>
                <w:szCs w:val="20"/>
              </w:rPr>
              <w:t>E:29.12.00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rFonts w:hint="eastAsia" w:eastAsia="宋体"/>
                <w:b/>
                <w:color w:val="000000" w:themeColor="text1"/>
                <w:lang w:val="en-US" w:eastAsia="zh-CN"/>
              </w:rPr>
            </w:pPr>
            <w:r>
              <w:rPr>
                <w:rFonts w:hint="eastAsia"/>
                <w:b/>
                <w:color w:val="000000" w:themeColor="text1"/>
                <w:lang w:val="en-US" w:eastAsia="zh-CN"/>
              </w:rPr>
              <w:t>无</w:t>
            </w: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3"/>
        <w:numPr>
          <w:ilvl w:val="0"/>
          <w:numId w:val="1"/>
        </w:numPr>
        <w:ind w:left="-142" w:hanging="709" w:firstLineChars="0"/>
        <w:rPr>
          <w:rFonts w:ascii="宋体" w:hAnsi="宋体"/>
          <w:b/>
          <w:color w:val="000000" w:themeColor="text1"/>
          <w:spacing w:val="-10"/>
          <w:sz w:val="20"/>
          <w:szCs w:val="20"/>
        </w:rPr>
      </w:pPr>
      <w:r>
        <w:rPr>
          <w:rFonts w:hint="eastAsia" w:ascii="宋体" w:hAnsi="宋体"/>
          <w:b/>
          <w:color w:val="000000" w:themeColor="text1"/>
          <w:sz w:val="26"/>
          <w:szCs w:val="26"/>
        </w:rPr>
        <w:t>审核准则</w:t>
      </w:r>
      <w:bookmarkStart w:id="4" w:name="审核依据"/>
    </w:p>
    <w:p>
      <w:pPr>
        <w:pStyle w:val="13"/>
        <w:numPr>
          <w:ilvl w:val="0"/>
          <w:numId w:val="0"/>
        </w:numPr>
        <w:ind w:left="-851" w:leftChars="0"/>
        <w:rPr>
          <w:rFonts w:hint="eastAsia" w:ascii="宋体" w:hAnsi="宋体"/>
          <w:b/>
          <w:color w:val="000000" w:themeColor="text1"/>
          <w:spacing w:val="-10"/>
          <w:sz w:val="20"/>
          <w:szCs w:val="20"/>
        </w:rPr>
      </w:pPr>
      <w:r>
        <w:rPr>
          <w:rFonts w:hint="eastAsia" w:ascii="宋体" w:hAnsi="宋体"/>
          <w:b/>
          <w:color w:val="000000" w:themeColor="text1"/>
          <w:spacing w:val="-10"/>
          <w:sz w:val="20"/>
          <w:szCs w:val="20"/>
        </w:rPr>
        <w:t>Q：GB/T19001-2016/ISO9001:2015,E：GB/T 24001-2016/ISO14001:2015,O：GB/T45001-2020 / ISO45001：2018</w:t>
      </w:r>
      <w:bookmarkEnd w:id="4"/>
    </w:p>
    <w:p>
      <w:pPr>
        <w:pStyle w:val="13"/>
        <w:numPr>
          <w:ilvl w:val="0"/>
          <w:numId w:val="0"/>
        </w:numPr>
        <w:ind w:left="-851" w:leftChars="0"/>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河北鸿美通讯器材有限公司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12</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任丘市麻家坞镇南马庄</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061000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任丘市麻家坞镇南马庄</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061000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周亚磊</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13784751238</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吕玥桥</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周亚磊</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Q：通讯线路铁件、通讯箱体、塑料管材、水泥标志桩、钢管、井具、木杆、跳线、皮线光缆保护盒、五金电料、钢材、电子产品的销售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E：通讯线路铁件、通讯箱体、塑料管材、水泥标志桩、钢管、井具、木杆、跳线、皮线光缆保护盒、五金电料、钢材、电子产品的销售所涉及场所的相关环境管理活动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O：通讯线路铁件、通讯箱体、塑料管材、水泥标志桩、钢管、井具、木杆、跳线、皮线光缆保护盒、五金电料、钢材、电子产品的销售所涉及场所的相关职业健康安全管理活动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Q：29.12.00</w:t>
            </w:r>
          </w:p>
          <w:p>
            <w:pPr>
              <w:spacing w:line="320" w:lineRule="exact"/>
              <w:rPr>
                <w:rFonts w:ascii="宋体" w:hAnsi="宋体"/>
                <w:b/>
                <w:color w:val="000000" w:themeColor="text1"/>
                <w:sz w:val="20"/>
                <w:szCs w:val="20"/>
              </w:rPr>
            </w:pPr>
            <w:r>
              <w:rPr>
                <w:rFonts w:ascii="宋体" w:hAnsi="宋体"/>
                <w:b/>
                <w:color w:val="000000" w:themeColor="text1"/>
                <w:sz w:val="20"/>
                <w:szCs w:val="20"/>
              </w:rPr>
              <w:t>E：29.12.00</w:t>
            </w:r>
          </w:p>
          <w:p>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hint="default" w:ascii="宋体" w:hAnsi="宋体" w:eastAsia="宋体"/>
                <w:b/>
                <w:color w:val="000000" w:themeColor="text1"/>
                <w:sz w:val="20"/>
                <w:szCs w:val="20"/>
                <w:lang w:val="en-US" w:eastAsia="zh-CN"/>
              </w:rPr>
            </w:pPr>
            <w:bookmarkStart w:id="19" w:name="体系运行时间"/>
            <w:bookmarkEnd w:id="19"/>
            <w:r>
              <w:rPr>
                <w:rFonts w:hint="eastAsia" w:ascii="宋体" w:hAnsi="宋体"/>
                <w:b/>
                <w:color w:val="000000" w:themeColor="text1"/>
                <w:sz w:val="20"/>
                <w:szCs w:val="20"/>
                <w:lang w:val="en-US" w:eastAsia="zh-CN"/>
              </w:rPr>
              <w:t>2021.1.1</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widowControl/>
              <w:jc w:val="left"/>
              <w:rPr>
                <w:rFonts w:ascii="宋体" w:hAnsi="宋体"/>
                <w:b/>
                <w:color w:val="000000" w:themeColor="text1"/>
                <w:spacing w:val="-20"/>
                <w:sz w:val="20"/>
                <w:szCs w:val="20"/>
              </w:rPr>
            </w:pPr>
          </w:p>
          <w:p>
            <w:pP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8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882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jc w:val="left"/>
              <w:rPr>
                <w:rFonts w:ascii="宋体" w:hAnsi="宋体"/>
                <w:b/>
                <w:color w:val="000000" w:themeColor="text1"/>
                <w:sz w:val="20"/>
                <w:szCs w:val="20"/>
              </w:rPr>
            </w:pPr>
            <w:r>
              <w:rPr>
                <w:rFonts w:hint="eastAsia" w:ascii="宋体" w:hAnsi="宋体" w:eastAsia="宋体" w:cs="宋体"/>
                <w:b w:val="0"/>
                <w:bCs/>
                <w:sz w:val="21"/>
                <w:szCs w:val="21"/>
                <w:highlight w:val="none"/>
              </w:rPr>
              <w:t>管理层：</w:t>
            </w:r>
          </w:p>
        </w:tc>
        <w:tc>
          <w:tcPr>
            <w:tcW w:w="8829" w:type="dxa"/>
          </w:tcPr>
          <w:p>
            <w:pPr>
              <w:keepNext w:val="0"/>
              <w:keepLines w:val="0"/>
              <w:pageBreakBefore w:val="0"/>
              <w:widowControl w:val="0"/>
              <w:kinsoku/>
              <w:wordWrap/>
              <w:overflowPunct/>
              <w:topLinePunct w:val="0"/>
              <w:autoSpaceDE/>
              <w:autoSpaceDN/>
              <w:bidi w:val="0"/>
              <w:spacing w:line="340" w:lineRule="exac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组织及其环境；相关方的需求和希望；管理体系的范围；管理体系及其过程；领导作用和承诺；以顾客为关注焦点；管理方针；组织的岗位、职责权限；应对风险和机会的策划；目标和实现计划；变更的策划；资源提供；</w:t>
            </w:r>
            <w:r>
              <w:rPr>
                <w:rFonts w:hint="eastAsia" w:ascii="宋体" w:hAnsi="宋体" w:eastAsia="宋体" w:cs="宋体"/>
                <w:b w:val="0"/>
                <w:bCs/>
                <w:sz w:val="21"/>
                <w:szCs w:val="21"/>
                <w:highlight w:val="none"/>
                <w:lang w:val="en-US" w:eastAsia="zh-CN"/>
              </w:rPr>
              <w:t>合规义务；</w:t>
            </w:r>
            <w:r>
              <w:rPr>
                <w:rFonts w:hint="eastAsia" w:ascii="宋体" w:hAnsi="宋体" w:eastAsia="宋体" w:cs="宋体"/>
                <w:b w:val="0"/>
                <w:bCs/>
                <w:sz w:val="21"/>
                <w:szCs w:val="21"/>
                <w:highlight w:val="none"/>
              </w:rPr>
              <w:t>危险源辨识、风险评价；合规性评价；监视和测量总则；管理评审；总则；持续改进</w:t>
            </w:r>
          </w:p>
          <w:p>
            <w:pPr>
              <w:keepNext w:val="0"/>
              <w:keepLines w:val="0"/>
              <w:pageBreakBefore w:val="0"/>
              <w:widowControl w:val="0"/>
              <w:kinsoku/>
              <w:wordWrap/>
              <w:overflowPunct/>
              <w:topLinePunct w:val="0"/>
              <w:autoSpaceDE/>
              <w:autoSpaceDN/>
              <w:bidi w:val="0"/>
              <w:spacing w:line="340" w:lineRule="exac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QEO</w:t>
            </w:r>
            <w:r>
              <w:rPr>
                <w:rFonts w:hint="eastAsia" w:ascii="宋体" w:hAnsi="宋体" w:eastAsia="宋体" w:cs="宋体"/>
                <w:b w:val="0"/>
                <w:bCs/>
                <w:sz w:val="21"/>
                <w:szCs w:val="21"/>
                <w:highlight w:val="none"/>
              </w:rPr>
              <w:t>4.1/4.2/4.3/4.4/5.1/5.2/5.3/6.1/6.2/7.1/9.1.1/9.3/10.1/10.3/</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Q</w:t>
            </w:r>
            <w:r>
              <w:rPr>
                <w:rFonts w:hint="eastAsia" w:ascii="宋体" w:hAnsi="宋体" w:eastAsia="宋体" w:cs="宋体"/>
                <w:b w:val="0"/>
                <w:bCs/>
                <w:sz w:val="21"/>
                <w:szCs w:val="21"/>
                <w:highlight w:val="none"/>
              </w:rPr>
              <w:t>6.3</w:t>
            </w:r>
          </w:p>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jc w:val="left"/>
              <w:rPr>
                <w:rFonts w:ascii="宋体" w:hAnsi="宋体"/>
                <w:b/>
                <w:color w:val="000000" w:themeColor="text1"/>
                <w:sz w:val="20"/>
                <w:szCs w:val="20"/>
              </w:rPr>
            </w:pPr>
            <w:r>
              <w:rPr>
                <w:rFonts w:hint="eastAsia" w:ascii="宋体" w:hAnsi="宋体" w:eastAsia="宋体" w:cs="宋体"/>
                <w:sz w:val="21"/>
                <w:szCs w:val="21"/>
                <w:highlight w:val="none"/>
                <w:lang w:val="en-US" w:eastAsia="zh-CN"/>
              </w:rPr>
              <w:t>采购部：</w:t>
            </w:r>
          </w:p>
        </w:tc>
        <w:tc>
          <w:tcPr>
            <w:tcW w:w="8829" w:type="dxa"/>
          </w:tcPr>
          <w:p>
            <w:pPr>
              <w:keepNext w:val="0"/>
              <w:keepLines w:val="0"/>
              <w:pageBreakBefore w:val="0"/>
              <w:widowControl w:val="0"/>
              <w:kinsoku/>
              <w:wordWrap/>
              <w:overflowPunct/>
              <w:topLinePunct w:val="0"/>
              <w:autoSpaceDE/>
              <w:autoSpaceDN/>
              <w:bidi w:val="0"/>
              <w:spacing w:line="3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组织的岗位、职责权限；目标、方案；环境因素/危险源识别评价；基础设施；运行环境；监视和测量资源；运行的策划和控制；</w:t>
            </w:r>
            <w:r>
              <w:rPr>
                <w:rFonts w:hint="eastAsia" w:ascii="宋体" w:hAnsi="宋体" w:eastAsia="宋体" w:cs="宋体"/>
                <w:sz w:val="21"/>
                <w:szCs w:val="21"/>
                <w:highlight w:val="none"/>
                <w:lang w:val="en-US" w:eastAsia="zh-CN"/>
              </w:rPr>
              <w:t>产品和服务的设计和开发；</w:t>
            </w:r>
            <w:r>
              <w:rPr>
                <w:rFonts w:hint="eastAsia" w:ascii="宋体" w:hAnsi="宋体" w:eastAsia="宋体" w:cs="宋体"/>
                <w:sz w:val="21"/>
                <w:szCs w:val="21"/>
                <w:highlight w:val="none"/>
              </w:rPr>
              <w:t>外部提供过程、产品和服务的控制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运行控制；应急准备和响应</w:t>
            </w:r>
          </w:p>
          <w:p>
            <w:pPr>
              <w:keepNext w:val="0"/>
              <w:keepLines w:val="0"/>
              <w:pageBreakBefore w:val="0"/>
              <w:widowControl w:val="0"/>
              <w:kinsoku/>
              <w:wordWrap/>
              <w:overflowPunct/>
              <w:topLinePunct w:val="0"/>
              <w:autoSpaceDE/>
              <w:autoSpaceDN/>
              <w:bidi w:val="0"/>
              <w:spacing w:line="34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Q5.3/6.2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7.1.3/7.1.4</w:t>
            </w:r>
            <w:r>
              <w:rPr>
                <w:rFonts w:hint="eastAsia" w:ascii="宋体" w:hAnsi="宋体" w:eastAsia="宋体" w:cs="宋体"/>
                <w:sz w:val="21"/>
                <w:szCs w:val="21"/>
                <w:highlight w:val="none"/>
                <w:lang w:val="en-US" w:eastAsia="zh-CN"/>
              </w:rPr>
              <w:t>/7.1.5/</w:t>
            </w:r>
            <w:r>
              <w:rPr>
                <w:rFonts w:hint="eastAsia" w:ascii="宋体" w:hAnsi="宋体" w:eastAsia="宋体" w:cs="宋体"/>
                <w:sz w:val="21"/>
                <w:szCs w:val="21"/>
                <w:highlight w:val="none"/>
              </w:rPr>
              <w:t>8.1/</w:t>
            </w:r>
            <w:r>
              <w:rPr>
                <w:rFonts w:hint="eastAsia" w:ascii="宋体" w:hAnsi="宋体" w:eastAsia="宋体" w:cs="宋体"/>
                <w:sz w:val="21"/>
                <w:szCs w:val="21"/>
                <w:highlight w:val="none"/>
                <w:lang w:val="en-US" w:eastAsia="zh-CN"/>
              </w:rPr>
              <w:t>8.3/8.4</w:t>
            </w:r>
          </w:p>
          <w:p>
            <w:pPr>
              <w:keepNext w:val="0"/>
              <w:keepLines w:val="0"/>
              <w:pageBreakBefore w:val="0"/>
              <w:widowControl w:val="0"/>
              <w:kinsoku/>
              <w:wordWrap/>
              <w:overflowPunct/>
              <w:topLinePunct w:val="0"/>
              <w:autoSpaceDE/>
              <w:autoSpaceDN/>
              <w:bidi w:val="0"/>
              <w:spacing w:line="3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O5.3/6.2</w:t>
            </w:r>
            <w:r>
              <w:rPr>
                <w:rFonts w:hint="eastAsia" w:ascii="宋体" w:hAnsi="宋体" w:eastAsia="宋体" w:cs="宋体"/>
                <w:sz w:val="21"/>
                <w:szCs w:val="21"/>
                <w:highlight w:val="none"/>
              </w:rPr>
              <w:t>/6.1.2/8.1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8.2</w:t>
            </w:r>
          </w:p>
          <w:p>
            <w:pPr>
              <w:jc w:val="left"/>
              <w:rPr>
                <w:rFonts w:ascii="宋体" w:hAnsi="宋体"/>
                <w:b/>
                <w:color w:val="000000" w:themeColor="text1"/>
                <w:spacing w:val="-20"/>
                <w:sz w:val="20"/>
                <w:szCs w:val="20"/>
                <w:u w:val="single"/>
              </w:rPr>
            </w:pPr>
            <w:r>
              <w:rPr>
                <w:rFonts w:hint="eastAsia" w:ascii="宋体" w:hAnsi="宋体" w:eastAsia="宋体" w:cs="宋体"/>
                <w:sz w:val="21"/>
                <w:szCs w:val="21"/>
                <w:highlight w:val="none"/>
              </w:rPr>
              <w:t>E</w:t>
            </w:r>
            <w:r>
              <w:rPr>
                <w:rFonts w:hint="eastAsia" w:ascii="宋体" w:hAnsi="宋体" w:eastAsia="宋体" w:cs="宋体"/>
                <w:sz w:val="21"/>
                <w:szCs w:val="21"/>
                <w:highlight w:val="none"/>
                <w:lang w:val="en-US" w:eastAsia="zh-CN"/>
              </w:rPr>
              <w:t>5.3/6.2</w:t>
            </w:r>
            <w:r>
              <w:rPr>
                <w:rFonts w:hint="eastAsia" w:ascii="宋体" w:hAnsi="宋体" w:eastAsia="宋体" w:cs="宋体"/>
                <w:sz w:val="21"/>
                <w:szCs w:val="21"/>
                <w:highlight w:val="none"/>
              </w:rPr>
              <w:t>/6.1.2/8.1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jc w:val="left"/>
              <w:rPr>
                <w:rFonts w:ascii="宋体" w:hAnsi="宋体"/>
                <w:b/>
                <w:color w:val="000000" w:themeColor="text1"/>
                <w:sz w:val="20"/>
                <w:szCs w:val="20"/>
              </w:rPr>
            </w:pPr>
            <w:r>
              <w:rPr>
                <w:rFonts w:hint="eastAsia" w:ascii="宋体" w:hAnsi="宋体" w:eastAsia="宋体" w:cs="宋体"/>
                <w:sz w:val="21"/>
                <w:szCs w:val="21"/>
                <w:highlight w:val="none"/>
                <w:lang w:val="en-US" w:eastAsia="zh-CN"/>
              </w:rPr>
              <w:t>综合部/财务部</w:t>
            </w:r>
            <w:r>
              <w:rPr>
                <w:rFonts w:hint="eastAsia" w:ascii="宋体" w:hAnsi="宋体" w:eastAsia="宋体" w:cs="宋体"/>
                <w:sz w:val="21"/>
                <w:szCs w:val="21"/>
                <w:highlight w:val="none"/>
              </w:rPr>
              <w:t>：</w:t>
            </w:r>
          </w:p>
        </w:tc>
        <w:tc>
          <w:tcPr>
            <w:tcW w:w="8829" w:type="dxa"/>
          </w:tcPr>
          <w:p>
            <w:pPr>
              <w:keepNext w:val="0"/>
              <w:keepLines w:val="0"/>
              <w:pageBreakBefore w:val="0"/>
              <w:widowControl w:val="0"/>
              <w:kinsoku/>
              <w:wordWrap/>
              <w:overflowPunct/>
              <w:topLinePunct w:val="0"/>
              <w:autoSpaceDE/>
              <w:autoSpaceDN/>
              <w:bidi w:val="0"/>
              <w:spacing w:line="3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组织的岗位、职责权限；目标、方案；环境因素/危险源识别评价；合规义务；法律法规要求；文件化信息；文件总则/管理手册、文件和记录控制；人员、组织知识；能力；意识；沟通；能力、培训和意识；信息交流、沟通参与和协商；外部提供的过程、产品和服务的控制；运行控制；应急准备和响应；绩效的监视和测量；合规性评价</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内部审核；事件、不合格及纠正和预防措施控制</w:t>
            </w:r>
          </w:p>
          <w:p>
            <w:pPr>
              <w:keepNext w:val="0"/>
              <w:keepLines w:val="0"/>
              <w:pageBreakBefore w:val="0"/>
              <w:widowControl w:val="0"/>
              <w:kinsoku/>
              <w:wordWrap/>
              <w:overflowPunct/>
              <w:topLinePunct w:val="0"/>
              <w:autoSpaceDE/>
              <w:autoSpaceDN/>
              <w:bidi w:val="0"/>
              <w:spacing w:line="3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Q</w:t>
            </w:r>
            <w:r>
              <w:rPr>
                <w:rFonts w:hint="eastAsia" w:ascii="宋体" w:hAnsi="宋体" w:eastAsia="宋体" w:cs="宋体"/>
                <w:sz w:val="21"/>
                <w:szCs w:val="21"/>
                <w:highlight w:val="none"/>
                <w:lang w:val="en-US" w:eastAsia="zh-CN"/>
              </w:rPr>
              <w:t>5.3/6.2/</w:t>
            </w:r>
            <w:r>
              <w:rPr>
                <w:rFonts w:hint="eastAsia" w:ascii="宋体" w:hAnsi="宋体" w:eastAsia="宋体" w:cs="宋体"/>
                <w:sz w:val="21"/>
                <w:szCs w:val="21"/>
                <w:highlight w:val="none"/>
              </w:rPr>
              <w:t>7.1.2/7.1.6/7.2/7.3/7.4/7.5</w:t>
            </w:r>
            <w:r>
              <w:rPr>
                <w:rFonts w:hint="eastAsia" w:ascii="宋体" w:hAnsi="宋体" w:eastAsia="宋体" w:cs="宋体"/>
                <w:sz w:val="21"/>
                <w:szCs w:val="21"/>
                <w:highlight w:val="none"/>
                <w:lang w:val="en-US" w:eastAsia="zh-CN"/>
              </w:rPr>
              <w:t>/8.4/9.2/</w:t>
            </w:r>
            <w:r>
              <w:rPr>
                <w:rFonts w:hint="eastAsia" w:ascii="宋体" w:hAnsi="宋体" w:eastAsia="宋体" w:cs="宋体"/>
                <w:sz w:val="21"/>
                <w:szCs w:val="21"/>
                <w:highlight w:val="none"/>
              </w:rPr>
              <w:t>10.2</w:t>
            </w:r>
          </w:p>
          <w:p>
            <w:pPr>
              <w:keepNext w:val="0"/>
              <w:keepLines w:val="0"/>
              <w:pageBreakBefore w:val="0"/>
              <w:widowControl w:val="0"/>
              <w:kinsoku/>
              <w:wordWrap/>
              <w:overflowPunct/>
              <w:topLinePunct w:val="0"/>
              <w:autoSpaceDE/>
              <w:autoSpaceDN/>
              <w:bidi w:val="0"/>
              <w:spacing w:line="34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O5.3</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6.2/5.4/</w:t>
            </w:r>
            <w:r>
              <w:rPr>
                <w:rFonts w:hint="eastAsia" w:ascii="宋体" w:hAnsi="宋体" w:eastAsia="宋体" w:cs="宋体"/>
                <w:sz w:val="21"/>
                <w:szCs w:val="21"/>
                <w:highlight w:val="none"/>
              </w:rPr>
              <w:t>6.1.2/6.1.3/7.2/7.3/7.4/7.5/8.1/8.2/9.1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9.2/10.2</w:t>
            </w:r>
          </w:p>
          <w:p>
            <w:pPr>
              <w:jc w:val="left"/>
              <w:rPr>
                <w:rFonts w:ascii="宋体" w:hAnsi="宋体"/>
                <w:b/>
                <w:color w:val="000000" w:themeColor="text1"/>
                <w:spacing w:val="-20"/>
                <w:sz w:val="20"/>
                <w:szCs w:val="20"/>
                <w:u w:val="single"/>
              </w:rPr>
            </w:pPr>
            <w:r>
              <w:rPr>
                <w:rFonts w:hint="eastAsia" w:ascii="宋体" w:hAnsi="宋体" w:eastAsia="宋体" w:cs="宋体"/>
                <w:sz w:val="21"/>
                <w:szCs w:val="21"/>
                <w:highlight w:val="none"/>
              </w:rPr>
              <w:t>E</w:t>
            </w:r>
            <w:r>
              <w:rPr>
                <w:rFonts w:hint="eastAsia" w:ascii="宋体" w:hAnsi="宋体" w:eastAsia="宋体" w:cs="宋体"/>
                <w:sz w:val="21"/>
                <w:szCs w:val="21"/>
                <w:highlight w:val="none"/>
                <w:lang w:val="en-US" w:eastAsia="zh-CN"/>
              </w:rPr>
              <w:t>5.3</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6.2/</w:t>
            </w:r>
            <w:r>
              <w:rPr>
                <w:rFonts w:hint="eastAsia" w:ascii="宋体" w:hAnsi="宋体" w:eastAsia="宋体" w:cs="宋体"/>
                <w:sz w:val="21"/>
                <w:szCs w:val="21"/>
                <w:highlight w:val="none"/>
              </w:rPr>
              <w:t>6.1.2/6.1.3/7.2/7.3/7.4/7.5/8.1/8.2/9.1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9.2/10.2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jc w:val="left"/>
              <w:rPr>
                <w:rFonts w:ascii="宋体" w:hAnsi="宋体"/>
                <w:b/>
                <w:color w:val="000000" w:themeColor="text1"/>
                <w:sz w:val="20"/>
                <w:szCs w:val="20"/>
              </w:rPr>
            </w:pPr>
            <w:r>
              <w:rPr>
                <w:rFonts w:hint="eastAsia" w:ascii="宋体" w:hAnsi="宋体" w:eastAsia="宋体" w:cs="宋体"/>
                <w:sz w:val="21"/>
                <w:szCs w:val="21"/>
                <w:highlight w:val="none"/>
                <w:lang w:val="en-US" w:eastAsia="zh-CN"/>
              </w:rPr>
              <w:t>业务（销售）部</w:t>
            </w:r>
            <w:r>
              <w:rPr>
                <w:rFonts w:hint="eastAsia" w:ascii="宋体" w:hAnsi="宋体" w:eastAsia="宋体" w:cs="宋体"/>
                <w:sz w:val="21"/>
                <w:szCs w:val="21"/>
                <w:highlight w:val="none"/>
              </w:rPr>
              <w:t>：</w:t>
            </w:r>
          </w:p>
        </w:tc>
        <w:tc>
          <w:tcPr>
            <w:tcW w:w="8829" w:type="dxa"/>
          </w:tcPr>
          <w:p>
            <w:pPr>
              <w:keepNext w:val="0"/>
              <w:keepLines w:val="0"/>
              <w:pageBreakBefore w:val="0"/>
              <w:widowControl w:val="0"/>
              <w:kinsoku/>
              <w:wordWrap/>
              <w:overflowPunct/>
              <w:topLinePunct w:val="0"/>
              <w:autoSpaceDE/>
              <w:autoSpaceDN/>
              <w:bidi w:val="0"/>
              <w:spacing w:line="340" w:lineRule="exact"/>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组织的岗位、职责权限；目标、方案；</w:t>
            </w:r>
            <w:r>
              <w:rPr>
                <w:rFonts w:hint="eastAsia" w:ascii="宋体" w:hAnsi="宋体" w:eastAsia="宋体" w:cs="宋体"/>
                <w:color w:val="auto"/>
                <w:sz w:val="21"/>
                <w:szCs w:val="21"/>
                <w:highlight w:val="none"/>
                <w:lang w:val="en-US" w:eastAsia="zh-CN"/>
              </w:rPr>
              <w:t>环境因素；</w:t>
            </w:r>
            <w:r>
              <w:rPr>
                <w:rFonts w:hint="eastAsia" w:ascii="宋体" w:hAnsi="宋体" w:eastAsia="宋体" w:cs="宋体"/>
                <w:color w:val="auto"/>
                <w:sz w:val="21"/>
                <w:szCs w:val="21"/>
                <w:highlight w:val="none"/>
              </w:rPr>
              <w:t>产品和服务要求；外部提供过程、产品和服务的控制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生产</w:t>
            </w:r>
            <w:r>
              <w:rPr>
                <w:rFonts w:hint="eastAsia" w:ascii="宋体" w:hAnsi="宋体" w:eastAsia="宋体" w:cs="宋体"/>
                <w:color w:val="auto"/>
                <w:sz w:val="21"/>
                <w:szCs w:val="21"/>
                <w:highlight w:val="none"/>
              </w:rPr>
              <w:t>和服务的控制；标识和可追溯性；产品防护；</w:t>
            </w:r>
            <w:r>
              <w:rPr>
                <w:rFonts w:hint="eastAsia" w:ascii="宋体" w:hAnsi="宋体" w:eastAsia="宋体" w:cs="宋体"/>
                <w:color w:val="auto"/>
                <w:sz w:val="21"/>
                <w:szCs w:val="21"/>
                <w:highlight w:val="none"/>
                <w:lang w:val="en-US" w:eastAsia="zh-CN"/>
              </w:rPr>
              <w:t>产品和服务的放行；</w:t>
            </w:r>
            <w:r>
              <w:rPr>
                <w:rFonts w:hint="eastAsia" w:ascii="宋体" w:hAnsi="宋体" w:eastAsia="宋体" w:cs="宋体"/>
                <w:color w:val="auto"/>
                <w:sz w:val="21"/>
                <w:szCs w:val="21"/>
                <w:highlight w:val="none"/>
              </w:rPr>
              <w:t>顾客或外部供方财产；交付后活动；变更的控制；运行控制；</w:t>
            </w:r>
            <w:r>
              <w:rPr>
                <w:rFonts w:hint="eastAsia" w:ascii="宋体" w:hAnsi="宋体" w:eastAsia="宋体" w:cs="宋体"/>
                <w:color w:val="auto"/>
                <w:sz w:val="21"/>
                <w:szCs w:val="21"/>
                <w:highlight w:val="none"/>
                <w:lang w:val="en-US" w:eastAsia="zh-CN"/>
              </w:rPr>
              <w:t>不合格品的控制；</w:t>
            </w:r>
            <w:r>
              <w:rPr>
                <w:rFonts w:hint="eastAsia" w:ascii="宋体" w:hAnsi="宋体" w:eastAsia="宋体" w:cs="宋体"/>
                <w:color w:val="auto"/>
                <w:sz w:val="21"/>
                <w:szCs w:val="21"/>
                <w:highlight w:val="none"/>
              </w:rPr>
              <w:t>应急准备和响应</w:t>
            </w:r>
            <w:r>
              <w:rPr>
                <w:rFonts w:hint="eastAsia" w:ascii="宋体" w:hAnsi="宋体" w:eastAsia="宋体" w:cs="宋体"/>
                <w:color w:val="auto"/>
                <w:sz w:val="21"/>
                <w:szCs w:val="21"/>
                <w:highlight w:val="none"/>
                <w:lang w:val="en-US" w:eastAsia="zh-CN"/>
              </w:rPr>
              <w:t>;顾客满意；</w:t>
            </w:r>
            <w:r>
              <w:rPr>
                <w:rFonts w:hint="eastAsia" w:ascii="宋体" w:hAnsi="宋体" w:eastAsia="宋体" w:cs="宋体"/>
                <w:color w:val="auto"/>
                <w:sz w:val="21"/>
                <w:szCs w:val="21"/>
                <w:highlight w:val="none"/>
              </w:rPr>
              <w:t>Q</w:t>
            </w:r>
            <w:r>
              <w:rPr>
                <w:rFonts w:hint="eastAsia" w:ascii="宋体" w:hAnsi="宋体" w:eastAsia="宋体" w:cs="宋体"/>
                <w:color w:val="auto"/>
                <w:sz w:val="21"/>
                <w:szCs w:val="21"/>
                <w:highlight w:val="none"/>
                <w:lang w:val="en-US" w:eastAsia="zh-CN"/>
              </w:rPr>
              <w:t>5.3/6.2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8.2/8.4/8.5.1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8.5.2/8.5.3/8.5.4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8.5.5/</w:t>
            </w:r>
            <w:r>
              <w:rPr>
                <w:rFonts w:hint="eastAsia" w:ascii="宋体" w:hAnsi="宋体" w:eastAsia="宋体" w:cs="宋体"/>
                <w:color w:val="auto"/>
                <w:sz w:val="21"/>
                <w:szCs w:val="21"/>
                <w:highlight w:val="none"/>
              </w:rPr>
              <w:t>8.5.6</w:t>
            </w:r>
            <w:r>
              <w:rPr>
                <w:rFonts w:hint="eastAsia" w:ascii="宋体" w:hAnsi="宋体" w:eastAsia="宋体" w:cs="宋体"/>
                <w:color w:val="auto"/>
                <w:sz w:val="21"/>
                <w:szCs w:val="21"/>
                <w:highlight w:val="none"/>
                <w:lang w:val="en-US" w:eastAsia="zh-CN"/>
              </w:rPr>
              <w:t>/8.6/8.7/9.1.2；</w:t>
            </w:r>
          </w:p>
          <w:p>
            <w:pPr>
              <w:keepNext w:val="0"/>
              <w:keepLines w:val="0"/>
              <w:pageBreakBefore w:val="0"/>
              <w:widowControl w:val="0"/>
              <w:kinsoku/>
              <w:wordWrap/>
              <w:overflowPunct/>
              <w:topLinePunct w:val="0"/>
              <w:autoSpaceDE/>
              <w:autoSpaceDN/>
              <w:bidi w:val="0"/>
              <w:spacing w:line="340" w:lineRule="exact"/>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E</w:t>
            </w:r>
            <w:r>
              <w:rPr>
                <w:rFonts w:hint="eastAsia" w:ascii="宋体" w:hAnsi="宋体" w:eastAsia="宋体" w:cs="宋体"/>
                <w:sz w:val="21"/>
                <w:szCs w:val="21"/>
                <w:highlight w:val="none"/>
                <w:lang w:val="en-US" w:eastAsia="zh-CN"/>
              </w:rPr>
              <w:t>5.3/6.2</w:t>
            </w:r>
            <w:r>
              <w:rPr>
                <w:rFonts w:hint="eastAsia" w:ascii="宋体" w:hAnsi="宋体" w:eastAsia="宋体" w:cs="宋体"/>
                <w:sz w:val="21"/>
                <w:szCs w:val="21"/>
                <w:highlight w:val="none"/>
              </w:rPr>
              <w:t>/6.1.2/8.1/8.2</w:t>
            </w:r>
          </w:p>
          <w:p>
            <w:pPr>
              <w:jc w:val="left"/>
              <w:rPr>
                <w:rFonts w:hint="default" w:ascii="宋体" w:hAnsi="宋体" w:eastAsia="宋体"/>
                <w:b/>
                <w:color w:val="000000" w:themeColor="text1"/>
                <w:spacing w:val="-20"/>
                <w:sz w:val="20"/>
                <w:szCs w:val="20"/>
                <w:u w:val="single"/>
                <w:lang w:val="en-US" w:eastAsia="zh-CN"/>
              </w:rPr>
            </w:pPr>
            <w:r>
              <w:rPr>
                <w:rFonts w:hint="eastAsia" w:ascii="宋体" w:hAnsi="宋体" w:eastAsia="宋体" w:cs="宋体"/>
                <w:sz w:val="21"/>
                <w:szCs w:val="21"/>
                <w:highlight w:val="none"/>
                <w:lang w:val="en-US" w:eastAsia="zh-CN"/>
              </w:rPr>
              <w:t>O5.3</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6.2/</w:t>
            </w:r>
            <w:r>
              <w:rPr>
                <w:rFonts w:hint="eastAsia" w:ascii="宋体" w:hAnsi="宋体" w:eastAsia="宋体" w:cs="宋体"/>
                <w:sz w:val="21"/>
                <w:szCs w:val="21"/>
                <w:highlight w:val="none"/>
              </w:rPr>
              <w:t>6.1.2/8.1/8.2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jc w:val="left"/>
              <w:rPr>
                <w:rFonts w:ascii="宋体" w:hAnsi="宋体"/>
                <w:b/>
                <w:color w:val="000000" w:themeColor="text1"/>
                <w:szCs w:val="21"/>
              </w:rPr>
            </w:pPr>
          </w:p>
        </w:tc>
        <w:tc>
          <w:tcPr>
            <w:tcW w:w="8829" w:type="dxa"/>
          </w:tcPr>
          <w:p>
            <w:pPr>
              <w:jc w:val="left"/>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无</w:t>
            </w: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10"/>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980"/>
        <w:gridCol w:w="570"/>
        <w:gridCol w:w="6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980"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570" w:type="dxa"/>
          </w:tcPr>
          <w:p>
            <w:pPr>
              <w:rPr>
                <w:b/>
                <w:color w:val="000000" w:themeColor="text1"/>
                <w:sz w:val="20"/>
                <w:szCs w:val="20"/>
              </w:rPr>
            </w:pPr>
            <w:r>
              <w:rPr>
                <w:rFonts w:hint="eastAsia"/>
                <w:b/>
                <w:color w:val="000000" w:themeColor="text1"/>
                <w:sz w:val="20"/>
                <w:szCs w:val="20"/>
              </w:rPr>
              <w:t>规格</w:t>
            </w:r>
          </w:p>
        </w:tc>
        <w:tc>
          <w:tcPr>
            <w:tcW w:w="6949"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spacing w:line="320" w:lineRule="exact"/>
              <w:rPr>
                <w:rFonts w:ascii="宋体" w:hAnsi="宋体"/>
                <w:b/>
                <w:color w:val="000000" w:themeColor="text1"/>
                <w:sz w:val="20"/>
                <w:szCs w:val="20"/>
                <w:u w:val="single"/>
              </w:rPr>
            </w:pPr>
            <w:r>
              <w:rPr>
                <w:rFonts w:ascii="宋体" w:hAnsi="宋体"/>
                <w:b/>
                <w:color w:val="000000" w:themeColor="text1"/>
                <w:sz w:val="20"/>
                <w:szCs w:val="20"/>
              </w:rPr>
              <w:t>通讯线路铁件、通讯箱体、塑料管材、水泥标志桩、钢管、井具、木杆、跳线、皮线光缆保护盒、五金电料、钢材、电子产品的销售</w:t>
            </w:r>
          </w:p>
          <w:p>
            <w:pPr>
              <w:rPr>
                <w:b/>
                <w:color w:val="000000" w:themeColor="text1"/>
                <w:sz w:val="20"/>
                <w:szCs w:val="20"/>
              </w:rPr>
            </w:pPr>
          </w:p>
        </w:tc>
        <w:tc>
          <w:tcPr>
            <w:tcW w:w="980" w:type="dxa"/>
          </w:tcPr>
          <w:p>
            <w:pPr>
              <w:rPr>
                <w:b/>
                <w:color w:val="000000" w:themeColor="text1"/>
                <w:sz w:val="20"/>
                <w:szCs w:val="20"/>
              </w:rPr>
            </w:pPr>
          </w:p>
        </w:tc>
        <w:tc>
          <w:tcPr>
            <w:tcW w:w="570" w:type="dxa"/>
          </w:tcPr>
          <w:p>
            <w:pPr>
              <w:rPr>
                <w:b/>
                <w:color w:val="000000" w:themeColor="text1"/>
                <w:sz w:val="20"/>
                <w:szCs w:val="20"/>
              </w:rPr>
            </w:pPr>
          </w:p>
        </w:tc>
        <w:tc>
          <w:tcPr>
            <w:tcW w:w="6949" w:type="dxa"/>
          </w:tcPr>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YD/T 3436.4-2019《架空通信线路配件 第4部分：抱箍类、光缆预留支架》</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2020-1-1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YD/T 3436.3-2018《架空通信线路配件 第3部分：挂钩类》</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2019-04-01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YD/T 3436.2-2018《架空通信线路配件 第2部分：带槽夹板类》</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2019-04-01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YD/T 3436.1-2018《架空通信线路配件 第1部分：通用技术条件》</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2019-04-01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YB/T5004-2012《镀锌钢绞线》</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2013-3-1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YD/T1313-2008《宽带接入用综合配线箱》</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2008-11-1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YD/T 841.1-2008  地下通信管道用塑料管 第1部分：总则 </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2008-7-1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YD/T 841.2-2008  地下通信管道用塑料管 第2部分：实壁管</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2008-7-1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YD/T 841.3-2016  地下通信管道用塑料管 第3部分：双壁波纹管 </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2016-10-1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YD/T 841..4-2016  地下通信管道用塑料管 第4部分：硅芯管</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2016-7-1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YD/T 841.5-2016  地下通信管道用塑料管 第5部分：梅花管 </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2016-10-1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YD/T 841.6-2017  地下通信管道用塑料管 第6部分：栅格管</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2018-1-1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YD/T 841.7-2017  地下通信管道用塑料管 第7部分：蜂窝管 </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2018-1-1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YD/T 841.8-2014  地下通信管道用塑料管 第8部分：塑料合金复合型管</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2014-10-14</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GB/T 8162-2018结构用无缝钢管</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2019-02-01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GB/T23858-2009《检查井盖》</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2010-2-1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YD/T 2150-2020光缆分纤箱</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2020-10-01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YB/T 4163-2016  铁塔用热轧角钢</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2017-4-1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DL/T 1899.1-2018  电力架空光缆接头盒 第1部分：光纤复合架空地线接头盒 </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2019-5-1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YD/T 3536-2019  数字通信用100Ω平衡对绞跳线 </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2020-1-1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LY/T 1507-2018  木杆 </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2018-6-1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LY/T 1294-2012  直接用原木 电杆 </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2012-7-1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DB13/T 2950-2019  高速公路夯实水泥土桩复合地基技术规范 </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2019-4-25</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DB42/T 1501-2019  承插盘式球墨铸铁检查井盖技术标准</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2019-5-28</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CJ/T 327-2010  球墨铸铁复合树脂检查井盖 </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2010-8-1</w:t>
            </w:r>
          </w:p>
          <w:p>
            <w:pPr>
              <w:rPr>
                <w:rFonts w:hint="default" w:eastAsia="宋体"/>
                <w:b/>
                <w:color w:val="000000" w:themeColor="text1"/>
                <w:sz w:val="20"/>
                <w:szCs w:val="20"/>
                <w:lang w:val="en-US" w:eastAsia="zh-CN"/>
              </w:rPr>
            </w:pPr>
            <w:r>
              <w:rPr>
                <w:rFonts w:hint="eastAsia" w:ascii="宋体" w:hAnsi="宋体" w:eastAsia="宋体" w:cs="宋体"/>
                <w:sz w:val="21"/>
                <w:szCs w:val="21"/>
                <w:highlight w:val="none"/>
                <w:lang w:val="en-US" w:eastAsia="zh-CN"/>
              </w:rPr>
              <w:t xml:space="preserve">DB35/T 1537-2015  可调式防沉降球墨铸铁检查井盖 </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2016-3-28</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r>
        <w:rPr>
          <w:rFonts w:hint="eastAsia"/>
          <w:b/>
          <w:color w:val="000000" w:themeColor="text1"/>
          <w:spacing w:val="-10"/>
          <w:szCs w:val="21"/>
          <w:lang w:val="en-US" w:eastAsia="zh-CN"/>
        </w:rPr>
        <w:t>26</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402" w:firstLineChars="200"/>
              <w:jc w:val="left"/>
              <w:textAlignment w:val="auto"/>
              <w:rPr>
                <w:rFonts w:hint="eastAsia" w:ascii="宋体" w:hAnsi="宋体" w:eastAsia="宋体" w:cs="宋体"/>
                <w:b w:val="0"/>
                <w:bCs w:val="0"/>
                <w:sz w:val="21"/>
                <w:szCs w:val="21"/>
                <w:lang w:val="en-US"/>
              </w:rPr>
            </w:pPr>
            <w:r>
              <w:rPr>
                <w:b/>
                <w:color w:val="000000" w:themeColor="text1"/>
                <w:sz w:val="20"/>
                <w:szCs w:val="20"/>
              </w:rPr>
              <w:t>1、</w:t>
            </w:r>
            <w:r>
              <w:rPr>
                <w:rFonts w:hint="eastAsia"/>
                <w:b/>
                <w:color w:val="000000" w:themeColor="text1"/>
                <w:sz w:val="20"/>
                <w:szCs w:val="20"/>
              </w:rPr>
              <w:t>组织及其环境的识别情况</w:t>
            </w:r>
            <w:r>
              <w:rPr>
                <w:rFonts w:hint="eastAsia"/>
                <w:b/>
                <w:color w:val="000000" w:themeColor="text1"/>
                <w:sz w:val="20"/>
                <w:szCs w:val="20"/>
                <w:lang w:eastAsia="zh-CN"/>
              </w:rPr>
              <w:t>：</w:t>
            </w:r>
            <w:r>
              <w:rPr>
                <w:rFonts w:hint="eastAsia" w:ascii="宋体" w:hAnsi="宋体" w:eastAsia="宋体" w:cs="宋体"/>
                <w:b w:val="0"/>
                <w:bCs w:val="0"/>
                <w:sz w:val="21"/>
                <w:szCs w:val="21"/>
              </w:rPr>
              <w:t>河北鸿美通讯器材有限公司成立于201</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年</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月</w:t>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日, 注册资本</w:t>
            </w:r>
            <w:r>
              <w:rPr>
                <w:rFonts w:hint="eastAsia" w:ascii="宋体" w:hAnsi="宋体" w:eastAsia="宋体" w:cs="宋体"/>
                <w:b w:val="0"/>
                <w:bCs w:val="0"/>
                <w:sz w:val="21"/>
                <w:szCs w:val="21"/>
                <w:lang w:val="en-US" w:eastAsia="zh-CN"/>
              </w:rPr>
              <w:t>576</w:t>
            </w:r>
            <w:r>
              <w:rPr>
                <w:rFonts w:hint="eastAsia" w:ascii="宋体" w:hAnsi="宋体" w:eastAsia="宋体" w:cs="宋体"/>
                <w:b w:val="0"/>
                <w:bCs w:val="0"/>
                <w:sz w:val="21"/>
                <w:szCs w:val="21"/>
              </w:rPr>
              <w:t>0万元，注册地址：任丘市麻家坞镇南马庄</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经营地址：任丘市麻家坞镇南马庄</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主要从事</w:t>
            </w:r>
            <w:r>
              <w:rPr>
                <w:rFonts w:hint="eastAsia" w:ascii="宋体" w:hAnsi="宋体" w:eastAsia="宋体" w:cs="宋体"/>
                <w:b w:val="0"/>
                <w:bCs w:val="0"/>
                <w:sz w:val="21"/>
                <w:szCs w:val="21"/>
                <w:lang w:eastAsia="zh-CN"/>
              </w:rPr>
              <w:t>通讯线路铁件、通讯箱体、塑料管材、水泥标志桩、钢管、井具、木杆、跳线、皮线光缆保护盒、五金电料、钢材、电子产品的销售。</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公司依据 GB/T19001-2016 《质量管理体系 要求》、 GB/T24001-2016《环境管理体系 要求及使用指南》和 GB/T45001-2020《职业健康安全管理体系 要求及使用指南》，于202</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年</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月1日建立了管理体系。遵循 PDCA 方法，识别了标准中所需要的四大过程，确定了过程的相互顺序和作用：管理职责的确定－资源的提供－产品实现－测量和改进。</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企业通过监视和评审内外部信息：</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最高管理层定期对目各职能部门收集的信息进行讨论研究确定</w:t>
            </w:r>
            <w:r>
              <w:rPr>
                <w:rFonts w:hint="eastAsia" w:ascii="宋体" w:hAnsi="宋体" w:eastAsia="宋体" w:cs="宋体"/>
                <w:b w:val="0"/>
                <w:bCs w:val="0"/>
                <w:sz w:val="21"/>
                <w:szCs w:val="21"/>
                <w:lang w:eastAsia="zh-CN"/>
              </w:rPr>
              <w:t>。</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对组织建立、实现标及战略方向有影响的各种相关的内外部因素进行评审；内容包括：政治环境、法律环境、社会文化环境、技术水平环境、自然环境、竞争力；企业文化、公司价值、知识积累、财务因素、绩效考核、资源因素、人力因素、运营因素等内外部因素。</w:t>
            </w:r>
          </w:p>
          <w:p>
            <w:pPr>
              <w:spacing w:line="240" w:lineRule="exact"/>
              <w:rPr>
                <w:rFonts w:hint="eastAsia" w:eastAsia="宋体"/>
                <w:b/>
                <w:color w:val="000000" w:themeColor="text1"/>
                <w:sz w:val="20"/>
                <w:szCs w:val="20"/>
                <w:lang w:eastAsia="zh-CN"/>
              </w:rPr>
            </w:pPr>
            <w:r>
              <w:rPr>
                <w:rFonts w:hint="eastAsia" w:ascii="宋体" w:hAnsi="宋体" w:eastAsia="宋体" w:cs="宋体"/>
                <w:b w:val="0"/>
                <w:bCs w:val="0"/>
                <w:sz w:val="21"/>
                <w:szCs w:val="21"/>
              </w:rPr>
              <w:t>公司识别、确定了与战略、目标相关、影响实现管理体系预期结果的内外部因素，并且关注不断变化的内外部信息。由总经理组织召开公司内外部因素动态评审会议，对识别出的内外部环境因素进行监视和评审，并将识别出的相关内外部因素作为制定和调整方针、目标、管理评审的输入内容。</w:t>
            </w:r>
            <w:r>
              <w:rPr>
                <w:rFonts w:hint="eastAsia" w:ascii="宋体" w:hAnsi="宋体" w:eastAsia="宋体" w:cs="宋体"/>
                <w:b w:val="0"/>
                <w:bCs w:val="0"/>
                <w:sz w:val="21"/>
                <w:szCs w:val="21"/>
                <w:lang w:val="en-US" w:eastAsia="zh-CN"/>
              </w:rPr>
              <w:t>基本</w:t>
            </w:r>
            <w:r>
              <w:rPr>
                <w:rFonts w:hint="eastAsia" w:ascii="宋体" w:hAnsi="宋体" w:eastAsia="宋体" w:cs="宋体"/>
                <w:b w:val="0"/>
                <w:bCs w:val="0"/>
                <w:sz w:val="21"/>
                <w:szCs w:val="21"/>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402" w:firstLineChars="200"/>
              <w:jc w:val="left"/>
              <w:textAlignment w:val="auto"/>
              <w:rPr>
                <w:rFonts w:hint="eastAsia" w:ascii="宋体" w:hAnsi="宋体" w:eastAsia="宋体" w:cs="宋体"/>
                <w:b w:val="0"/>
                <w:bCs w:val="0"/>
                <w:sz w:val="21"/>
                <w:szCs w:val="21"/>
              </w:rPr>
            </w:pPr>
            <w:r>
              <w:rPr>
                <w:b/>
                <w:color w:val="000000" w:themeColor="text1"/>
                <w:sz w:val="20"/>
                <w:szCs w:val="20"/>
              </w:rPr>
              <w:t>2、</w:t>
            </w:r>
            <w:r>
              <w:rPr>
                <w:rFonts w:hint="eastAsia"/>
                <w:b/>
                <w:color w:val="000000" w:themeColor="text1"/>
                <w:sz w:val="20"/>
                <w:szCs w:val="20"/>
              </w:rPr>
              <w:t>相关方需求和期望识别情况</w:t>
            </w:r>
            <w:r>
              <w:rPr>
                <w:rFonts w:hint="eastAsia"/>
                <w:b/>
                <w:color w:val="000000" w:themeColor="text1"/>
                <w:sz w:val="20"/>
                <w:szCs w:val="20"/>
                <w:lang w:eastAsia="zh-CN"/>
              </w:rPr>
              <w:t>：</w:t>
            </w:r>
            <w:r>
              <w:rPr>
                <w:rFonts w:hint="eastAsia" w:ascii="宋体" w:hAnsi="宋体" w:eastAsia="宋体" w:cs="宋体"/>
                <w:b w:val="0"/>
                <w:bCs w:val="0"/>
                <w:sz w:val="21"/>
                <w:szCs w:val="21"/>
              </w:rPr>
              <w:t xml:space="preserve">公司识别并确定了影响公司提供产品和服务能力的利益相关方：与质量和环境、职业健康安全管理体系有关的相关方，如顾客、银行、外部供应商、来访者、周边社区、员工及监管部门（如政府相关部门及运输行业协会）等；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吕</w:t>
            </w:r>
            <w:r>
              <w:rPr>
                <w:rFonts w:hint="eastAsia" w:ascii="宋体" w:hAnsi="宋体" w:eastAsia="宋体" w:cs="宋体"/>
                <w:b w:val="0"/>
                <w:bCs w:val="0"/>
                <w:sz w:val="21"/>
                <w:szCs w:val="21"/>
              </w:rPr>
              <w:t>经理介绍公司通过投标、合同约定、不同形式沟通（如：电话、面对面、调查问卷等）形式了解相关方的需求，然后提供出满足他们要求提供优质产品和完善的服务，目前公司能满足相关方的需求和期望。</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相关方对企业的要求有：</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1、客户：产品和服务质量，包括符合性、可靠性、可用性、价格和寿命周期、安全性、产品责任、环境影响等</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2、员工：工作满意。包括得到承认、工作满意和个人发展等</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3、供应商：继续经营的机会，包括制定共同的战略，共享知识和利润，共同承担损失，合作共赢等</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对</w:t>
            </w:r>
            <w:r>
              <w:rPr>
                <w:rFonts w:hint="eastAsia" w:ascii="宋体" w:hAnsi="宋体" w:eastAsia="宋体" w:cs="宋体"/>
                <w:b w:val="0"/>
                <w:bCs w:val="0"/>
                <w:sz w:val="21"/>
                <w:szCs w:val="21"/>
              </w:rPr>
              <w:t>相关方进行监视和评审的方式方法：公司通过走访、会议、客户要求等方式对相关方的信息进行监视和评审。</w:t>
            </w:r>
          </w:p>
          <w:p>
            <w:pPr>
              <w:spacing w:line="240" w:lineRule="exact"/>
              <w:rPr>
                <w:rFonts w:hint="eastAsia" w:eastAsia="宋体"/>
                <w:b/>
                <w:color w:val="000000" w:themeColor="text1"/>
                <w:sz w:val="20"/>
                <w:szCs w:val="20"/>
                <w:lang w:eastAsia="zh-CN"/>
              </w:rPr>
            </w:pPr>
            <w:r>
              <w:rPr>
                <w:rFonts w:hint="eastAsia" w:ascii="宋体" w:hAnsi="宋体" w:eastAsia="宋体" w:cs="宋体"/>
                <w:b w:val="0"/>
                <w:bCs w:val="0"/>
                <w:sz w:val="21"/>
                <w:szCs w:val="21"/>
              </w:rPr>
              <w:t>公司管理层及相关部门持续关注相关方需求的变化，必要时通过评估风险和机遇，调整管理目标或变更管理过程以适应这些变化或实现改进。抽相关方列表，符合要求。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sym w:font="Wingdings 2" w:char="0052"/>
            </w:r>
            <w:r>
              <w:rPr>
                <w:rFonts w:hint="eastAsia" w:ascii="宋体" w:hAnsi="宋体"/>
                <w:b/>
                <w:color w:val="000000" w:themeColor="text1"/>
                <w:sz w:val="20"/>
                <w:szCs w:val="20"/>
              </w:rPr>
              <w:t>环境/</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总经理制定、实施和保持公司管理方针。</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管理手册明确了公司的</w:t>
            </w:r>
            <w:r>
              <w:rPr>
                <w:rFonts w:hint="eastAsia" w:ascii="宋体" w:hAnsi="宋体" w:eastAsia="宋体" w:cs="宋体"/>
                <w:b w:val="0"/>
                <w:bCs w:val="0"/>
                <w:sz w:val="21"/>
                <w:szCs w:val="21"/>
                <w:lang w:val="en-US" w:eastAsia="zh-CN"/>
              </w:rPr>
              <w:t>管理</w:t>
            </w:r>
            <w:r>
              <w:rPr>
                <w:rFonts w:hint="eastAsia" w:ascii="宋体" w:hAnsi="宋体" w:eastAsia="宋体" w:cs="宋体"/>
                <w:b w:val="0"/>
                <w:bCs w:val="0"/>
                <w:sz w:val="21"/>
                <w:szCs w:val="21"/>
              </w:rPr>
              <w:t>方针：顾客至上、追求卓越、诚信守诺、保护环境、清洁经营、节能降耗、以人为本、关注健康、保障安全、依法行事、与时俱进！</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方针</w:t>
            </w:r>
            <w:r>
              <w:rPr>
                <w:rFonts w:hint="eastAsia" w:ascii="宋体" w:hAnsi="宋体" w:eastAsia="宋体" w:cs="宋体"/>
                <w:b w:val="0"/>
                <w:bCs w:val="0"/>
                <w:sz w:val="21"/>
                <w:szCs w:val="21"/>
              </w:rPr>
              <w:t>涵盖了企业安全意识、质量至上，保护环境的理念，满足标准的要求。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通过会议传达，沟通、协调，让全体员工理解执行。并定期进行评审。</w:t>
            </w:r>
          </w:p>
          <w:p>
            <w:pPr>
              <w:spacing w:line="240" w:lineRule="exact"/>
              <w:ind w:left="199" w:leftChars="95"/>
              <w:rPr>
                <w:b/>
                <w:color w:val="000000" w:themeColor="text1"/>
              </w:rPr>
            </w:pPr>
            <w:r>
              <w:rPr>
                <w:rFonts w:hint="eastAsia" w:ascii="宋体" w:hAnsi="宋体" w:eastAsia="宋体" w:cs="宋体"/>
                <w:b w:val="0"/>
                <w:bCs w:val="0"/>
                <w:sz w:val="21"/>
                <w:szCs w:val="21"/>
              </w:rPr>
              <w:t>管理方针与企业的经营宗旨相适应</w:t>
            </w:r>
            <w:r>
              <w:rPr>
                <w:rFonts w:hint="eastAsia" w:ascii="宋体" w:hAnsi="宋体" w:eastAsia="宋体" w:cs="宋体"/>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ind w:left="0" w:leftChars="0" w:firstLine="0" w:firstLineChars="0"/>
              <w:rPr>
                <w:rFonts w:hint="eastAsia"/>
                <w:highlight w:val="none"/>
              </w:rPr>
            </w:pPr>
            <w:r>
              <w:rPr>
                <w:rFonts w:hint="eastAsia"/>
                <w:highlight w:val="none"/>
              </w:rPr>
              <w:t>风险识别与控制策划（QMS）</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sz w:val="21"/>
                <w:szCs w:val="21"/>
                <w:highlight w:val="none"/>
                <w:lang w:val="en-US" w:eastAsia="zh-CN"/>
              </w:rPr>
            </w:pPr>
            <w:r>
              <w:rPr>
                <w:rFonts w:hint="eastAsia" w:ascii="仿宋" w:hAnsi="仿宋" w:eastAsia="仿宋" w:cs="仿宋"/>
                <w:color w:val="auto"/>
                <w:sz w:val="24"/>
                <w:szCs w:val="24"/>
                <w:highlight w:val="none"/>
                <w:lang w:val="en-US" w:eastAsia="zh-CN"/>
              </w:rPr>
              <w:t>◆</w:t>
            </w:r>
            <w:r>
              <w:rPr>
                <w:rFonts w:hint="eastAsia" w:ascii="宋体" w:hAnsi="宋体" w:eastAsia="宋体" w:cs="宋体"/>
                <w:b w:val="0"/>
                <w:bCs w:val="0"/>
                <w:sz w:val="21"/>
                <w:szCs w:val="21"/>
                <w:highlight w:val="none"/>
                <w:lang w:val="en-US" w:eastAsia="zh-CN"/>
              </w:rPr>
              <w:t>查《环境风险分析控制程序》规定风险的识别、分析、评价和控制的过程和方法，以保证风险管理的有效性，从而确保管理体系能够实现其期望的结果；增强有利影响；避免或减少不利影响；实现改进。</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◆吕总介绍：在策划管理体系时，领导层考虑了公司运行标准所处的环境，包括上述4.1识别的内外部环境。手册里有对风险和机遇应对控制的要求。</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公司面临的风险和机遇主要是：行业市场增长率下降、受到市场调整和经济转型影响较大、市场竞争激烈、公司内部营销管理体系尚不健全；机遇有产品需求有增长趋势，产业优惠政策，扶持中小企业发展、产品质量高，价格有竞争优势等。</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◆吕总简单介绍了公司为了应对现阶段的风险和机遇所采取措施等，记录如下：</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采购部负责进一步挖掘供应商市场，做到多家供货，提升质量，降低成本，竞争采购；</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业务部负责开辟新市场，扩大市场占有率，提高客服服务满意度等。</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highlight w:val="none"/>
              </w:rPr>
            </w:pPr>
            <w:r>
              <w:rPr>
                <w:rFonts w:hint="eastAsia" w:ascii="宋体" w:hAnsi="宋体" w:eastAsia="宋体" w:cs="宋体"/>
                <w:b w:val="0"/>
                <w:bCs w:val="0"/>
                <w:sz w:val="21"/>
                <w:szCs w:val="21"/>
                <w:highlight w:val="none"/>
                <w:lang w:val="en-US" w:eastAsia="zh-CN"/>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highlight w:val="none"/>
              </w:rPr>
            </w:pPr>
            <w:r>
              <w:rPr>
                <w:rFonts w:hint="eastAsia"/>
                <w:b/>
                <w:color w:val="000000" w:themeColor="text1"/>
                <w:sz w:val="20"/>
                <w:szCs w:val="20"/>
                <w:highlight w:val="none"/>
              </w:rPr>
              <w:t>5.</w:t>
            </w:r>
            <w:r>
              <w:rPr>
                <w:b/>
                <w:color w:val="000000" w:themeColor="text1"/>
                <w:sz w:val="20"/>
                <w:szCs w:val="20"/>
                <w:highlight w:val="none"/>
              </w:rPr>
              <w:t>QMS</w:t>
            </w:r>
            <w:r>
              <w:rPr>
                <w:rFonts w:hint="eastAsia" w:ascii="宋体" w:hAnsi="宋体"/>
                <w:b/>
                <w:color w:val="000000" w:themeColor="text1"/>
                <w:sz w:val="20"/>
                <w:szCs w:val="20"/>
                <w:highlight w:val="none"/>
              </w:rPr>
              <w:t>过程</w:t>
            </w:r>
          </w:p>
          <w:p>
            <w:pPr>
              <w:snapToGrid w:val="0"/>
              <w:spacing w:before="120" w:beforeLines="50" w:line="360" w:lineRule="exact"/>
              <w:jc w:val="center"/>
              <w:rPr>
                <w:rFonts w:hint="eastAsia" w:ascii="宋体" w:hAnsi="宋体" w:eastAsia="宋体" w:cs="宋体"/>
                <w:b w:val="0"/>
                <w:bCs w:val="0"/>
                <w:sz w:val="21"/>
                <w:szCs w:val="21"/>
                <w:highlight w:val="none"/>
              </w:rPr>
            </w:pPr>
            <w:r>
              <w:rPr>
                <w:rFonts w:hint="eastAsia" w:ascii="宋体" w:hAnsi="宋体"/>
                <w:b/>
                <w:color w:val="000000" w:themeColor="text1"/>
                <w:sz w:val="20"/>
                <w:szCs w:val="20"/>
                <w:highlight w:val="none"/>
              </w:rPr>
              <w:t>质量管理体系过程有：</w:t>
            </w:r>
            <w:r>
              <w:rPr>
                <w:rFonts w:hint="eastAsia" w:ascii="宋体" w:hAnsi="宋体" w:eastAsia="宋体" w:cs="宋体"/>
                <w:b w:val="0"/>
                <w:bCs w:val="0"/>
                <w:sz w:val="21"/>
                <w:szCs w:val="21"/>
                <w:highlight w:val="none"/>
                <w:lang w:val="en-US" w:eastAsia="zh-CN"/>
              </w:rPr>
              <w:t>业务洽谈―签订合同―产品采购―发货至顾客指定地址― 验收―结算</w:t>
            </w:r>
          </w:p>
          <w:p>
            <w:pPr>
              <w:tabs>
                <w:tab w:val="left" w:pos="540"/>
              </w:tabs>
              <w:spacing w:line="300" w:lineRule="exact"/>
              <w:ind w:left="201" w:hanging="201" w:hangingChars="100"/>
              <w:rPr>
                <w:rFonts w:ascii="宋体" w:hAnsi="宋体"/>
                <w:b/>
                <w:color w:val="000000" w:themeColor="text1"/>
                <w:sz w:val="20"/>
                <w:szCs w:val="20"/>
                <w:highlight w:val="none"/>
                <w:u w:val="single"/>
              </w:rPr>
            </w:pPr>
          </w:p>
          <w:p>
            <w:pPr>
              <w:tabs>
                <w:tab w:val="left" w:pos="540"/>
              </w:tabs>
              <w:spacing w:line="300" w:lineRule="exact"/>
              <w:ind w:left="201" w:hanging="201" w:hangingChars="100"/>
              <w:rPr>
                <w:rFonts w:hint="eastAsia" w:ascii="宋体" w:hAnsi="宋体"/>
                <w:b/>
                <w:color w:val="000000" w:themeColor="text1"/>
                <w:sz w:val="20"/>
                <w:szCs w:val="20"/>
                <w:highlight w:val="none"/>
                <w:u w:val="single"/>
              </w:rPr>
            </w:pPr>
            <w:r>
              <w:rPr>
                <w:rFonts w:hint="eastAsia" w:ascii="宋体" w:hAnsi="宋体"/>
                <w:b/>
                <w:color w:val="000000" w:themeColor="text1"/>
                <w:sz w:val="20"/>
                <w:szCs w:val="20"/>
                <w:highlight w:val="none"/>
              </w:rPr>
              <w:t>其中关键过</w:t>
            </w:r>
            <w:r>
              <w:rPr>
                <w:rFonts w:hint="eastAsia" w:ascii="宋体" w:hAnsi="宋体"/>
                <w:b/>
                <w:color w:val="000000" w:themeColor="text1"/>
                <w:sz w:val="20"/>
                <w:szCs w:val="20"/>
                <w:highlight w:val="none"/>
                <w:lang w:val="en-US" w:eastAsia="zh-CN"/>
              </w:rPr>
              <w:t>程：</w:t>
            </w:r>
            <w:r>
              <w:rPr>
                <w:rFonts w:hint="eastAsia" w:ascii="宋体" w:hAnsi="宋体" w:eastAsia="宋体" w:cs="宋体"/>
                <w:b w:val="0"/>
                <w:bCs w:val="0"/>
                <w:sz w:val="21"/>
                <w:szCs w:val="21"/>
                <w:highlight w:val="none"/>
                <w:lang w:val="en-US" w:eastAsia="zh-CN"/>
              </w:rPr>
              <w:t>签订合同</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产品采购</w:t>
            </w:r>
            <w:r>
              <w:rPr>
                <w:rFonts w:hint="eastAsia" w:ascii="宋体" w:hAnsi="宋体" w:cs="宋体"/>
                <w:b w:val="0"/>
                <w:bCs w:val="0"/>
                <w:sz w:val="21"/>
                <w:szCs w:val="21"/>
                <w:highlight w:val="none"/>
                <w:lang w:val="en-US" w:eastAsia="zh-CN"/>
              </w:rPr>
              <w:t>。</w:t>
            </w:r>
          </w:p>
          <w:p>
            <w:pPr>
              <w:tabs>
                <w:tab w:val="left" w:pos="540"/>
              </w:tabs>
              <w:spacing w:line="300" w:lineRule="exact"/>
              <w:ind w:left="201" w:hanging="201" w:hangingChars="100"/>
              <w:rPr>
                <w:rFonts w:ascii="宋体" w:hAnsi="宋体"/>
                <w:b/>
                <w:color w:val="000000" w:themeColor="text1"/>
                <w:sz w:val="20"/>
                <w:szCs w:val="20"/>
                <w:highlight w:val="none"/>
                <w:u w:val="single"/>
              </w:rPr>
            </w:pPr>
            <w:r>
              <w:rPr>
                <w:rFonts w:hint="eastAsia" w:ascii="宋体" w:hAnsi="宋体"/>
                <w:b/>
                <w:color w:val="000000" w:themeColor="text1"/>
                <w:sz w:val="20"/>
                <w:szCs w:val="20"/>
                <w:highlight w:val="none"/>
              </w:rPr>
              <w:t>需要确认过程</w:t>
            </w:r>
            <w:r>
              <w:rPr>
                <w:rFonts w:hint="eastAsia" w:ascii="宋体" w:hAnsi="宋体"/>
                <w:b/>
                <w:color w:val="000000" w:themeColor="text1"/>
                <w:sz w:val="20"/>
                <w:szCs w:val="20"/>
                <w:highlight w:val="none"/>
                <w:lang w:eastAsia="zh-CN"/>
              </w:rPr>
              <w:t>：</w:t>
            </w:r>
            <w:r>
              <w:rPr>
                <w:rFonts w:hint="eastAsia" w:ascii="宋体" w:hAnsi="宋体"/>
                <w:b w:val="0"/>
                <w:bCs/>
                <w:color w:val="000000" w:themeColor="text1"/>
                <w:sz w:val="20"/>
                <w:szCs w:val="20"/>
                <w:highlight w:val="none"/>
                <w:lang w:val="en-US" w:eastAsia="zh-CN"/>
              </w:rPr>
              <w:t>销售服务全过程。</w:t>
            </w:r>
            <w:r>
              <w:rPr>
                <w:rFonts w:hint="eastAsia" w:ascii="宋体" w:hAnsi="宋体"/>
                <w:b/>
                <w:color w:val="000000" w:themeColor="text1"/>
                <w:sz w:val="20"/>
                <w:szCs w:val="20"/>
                <w:highlight w:val="none"/>
              </w:rPr>
              <w:t xml:space="preserve">  </w:t>
            </w:r>
          </w:p>
          <w:p>
            <w:pPr>
              <w:tabs>
                <w:tab w:val="left" w:pos="540"/>
              </w:tabs>
              <w:spacing w:line="300" w:lineRule="exact"/>
              <w:ind w:left="201" w:hanging="201" w:hangingChars="100"/>
              <w:rPr>
                <w:rFonts w:ascii="宋体" w:hAnsi="宋体"/>
                <w:b/>
                <w:color w:val="000000" w:themeColor="text1"/>
                <w:sz w:val="20"/>
                <w:szCs w:val="20"/>
                <w:highlight w:val="none"/>
              </w:rPr>
            </w:pPr>
            <w:r>
              <w:rPr>
                <w:b/>
                <w:color w:val="000000" w:themeColor="text1"/>
                <w:sz w:val="20"/>
                <w:szCs w:val="20"/>
                <w:highlight w:val="none"/>
              </w:rPr>
              <w:pict>
                <v:shape id="_x0000_s1025" o:spid="_x0000_s1025"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highlight w:val="none"/>
              </w:rPr>
              <w:pict>
                <v:shape id="_x0000_s1026" o:spid="_x0000_s1026"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highlight w:val="none"/>
              </w:rPr>
              <w:t>不适用条款是</w:t>
            </w:r>
            <w:r>
              <w:rPr>
                <w:rFonts w:hint="eastAsia" w:ascii="宋体" w:hAnsi="宋体"/>
                <w:b/>
                <w:color w:val="000000" w:themeColor="text1"/>
                <w:sz w:val="20"/>
                <w:szCs w:val="20"/>
                <w:highlight w:val="none"/>
                <w:lang w:val="en-US" w:eastAsia="zh-CN"/>
              </w:rPr>
              <w:t>8.3</w:t>
            </w:r>
            <w:r>
              <w:rPr>
                <w:rFonts w:hint="eastAsia" w:ascii="宋体" w:hAnsi="宋体"/>
                <w:b/>
                <w:color w:val="000000" w:themeColor="text1"/>
                <w:sz w:val="20"/>
                <w:szCs w:val="20"/>
                <w:highlight w:val="none"/>
              </w:rPr>
              <w:t xml:space="preserve">，不适用理由：  </w:t>
            </w:r>
            <w:r>
              <w:rPr>
                <w:rFonts w:hint="eastAsia" w:ascii="宋体" w:hAnsi="宋体" w:eastAsia="宋体" w:cs="宋体"/>
                <w:b w:val="0"/>
                <w:bCs w:val="0"/>
                <w:sz w:val="21"/>
                <w:szCs w:val="21"/>
                <w:highlight w:val="none"/>
                <w:u w:val="none"/>
                <w:lang w:val="en-US" w:eastAsia="zh-CN"/>
              </w:rPr>
              <w:t>公司的产品进行销售和售后服务的提供过程均按照成熟固</w:t>
            </w:r>
            <w:r>
              <w:rPr>
                <w:rFonts w:hint="eastAsia" w:ascii="宋体" w:hAnsi="宋体" w:eastAsia="宋体" w:cs="宋体"/>
                <w:b w:val="0"/>
                <w:bCs w:val="0"/>
                <w:sz w:val="21"/>
                <w:szCs w:val="21"/>
                <w:highlight w:val="none"/>
                <w:lang w:val="en-US" w:eastAsia="zh-CN"/>
              </w:rPr>
              <w:t xml:space="preserve">定的工作流程进行，暂未涉及到设计开发过程，故本条款不适用。 </w:t>
            </w:r>
            <w:r>
              <w:rPr>
                <w:rFonts w:hint="eastAsia" w:ascii="宋体" w:hAnsi="宋体"/>
                <w:b/>
                <w:color w:val="000000" w:themeColor="text1"/>
                <w:sz w:val="20"/>
                <w:szCs w:val="20"/>
                <w:highlight w:val="none"/>
              </w:rPr>
              <w:t xml:space="preserve">                                                 </w:t>
            </w:r>
          </w:p>
          <w:p>
            <w:pPr>
              <w:tabs>
                <w:tab w:val="left" w:pos="540"/>
              </w:tabs>
              <w:spacing w:line="300" w:lineRule="exact"/>
              <w:ind w:left="201" w:hanging="201" w:hangingChars="100"/>
              <w:rPr>
                <w:rFonts w:ascii="宋体" w:hAnsi="宋体"/>
                <w:b/>
                <w:color w:val="000000" w:themeColor="text1"/>
                <w:sz w:val="20"/>
                <w:szCs w:val="20"/>
                <w:highlight w:val="yellow"/>
              </w:rPr>
            </w:pPr>
          </w:p>
          <w:p>
            <w:pPr>
              <w:tabs>
                <w:tab w:val="left" w:pos="540"/>
              </w:tabs>
              <w:spacing w:line="300" w:lineRule="exact"/>
              <w:ind w:left="211" w:hanging="211" w:hangingChars="100"/>
              <w:rPr>
                <w:rFonts w:ascii="宋体" w:hAnsi="宋体"/>
                <w:b/>
                <w:color w:val="000000" w:themeColor="text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 xml:space="preserve">6. </w:t>
            </w:r>
            <w:r>
              <w:t>EMS</w:t>
            </w:r>
            <w:r>
              <w:rPr>
                <w:rFonts w:hint="eastAsia"/>
              </w:rPr>
              <w:t>环境因素/</w:t>
            </w:r>
          </w:p>
          <w:p>
            <w:pPr>
              <w:spacing w:line="300" w:lineRule="exact"/>
            </w:pPr>
            <w:r>
              <w:rPr>
                <w:rFonts w:hint="eastAsia"/>
              </w:rPr>
              <w:t>（环境因素辨识是否充分、重要环境因素评价合理性，以及环境因素动态变更的及时性等）</w:t>
            </w:r>
          </w:p>
          <w:p>
            <w:pPr>
              <w:spacing w:line="300" w:lineRule="exact"/>
              <w:rPr>
                <w:rFonts w:hint="eastAsia"/>
                <w:lang w:val="en-US" w:eastAsia="zh-CN"/>
              </w:rPr>
            </w:pPr>
            <w:r>
              <w:rPr>
                <w:rFonts w:hint="eastAsia"/>
              </w:rPr>
              <w:t>重要环境因素</w:t>
            </w:r>
            <w:r>
              <w:rPr>
                <w:rFonts w:hint="eastAsia"/>
                <w:lang w:eastAsia="zh-CN"/>
              </w:rPr>
              <w:t>：</w:t>
            </w:r>
            <w:r>
              <w:rPr>
                <w:rFonts w:hint="eastAsia"/>
                <w:lang w:val="en-US" w:eastAsia="zh-CN"/>
              </w:rPr>
              <w:t>固废排放、潜在火灾的发生。</w:t>
            </w:r>
          </w:p>
          <w:p>
            <w:pPr>
              <w:spacing w:line="300" w:lineRule="exact"/>
              <w:rPr>
                <w:rFonts w:hint="eastAsia"/>
                <w:lang w:eastAsia="zh-CN"/>
              </w:rPr>
            </w:pPr>
            <w:r>
              <w:rPr>
                <w:rFonts w:hint="eastAsia"/>
              </w:rPr>
              <w:t>环境因素辨识充分、重要环境因素评价合理</w:t>
            </w:r>
            <w:r>
              <w:rPr>
                <w:rFonts w:hint="eastAsia"/>
                <w:lang w:eastAsia="zh-CN"/>
              </w:rPr>
              <w:t>。</w:t>
            </w:r>
          </w:p>
          <w:p>
            <w:pPr>
              <w:pStyle w:val="2"/>
              <w:rPr>
                <w:rFonts w:hint="eastAsia"/>
                <w:lang w:eastAsia="zh-CN"/>
              </w:rPr>
            </w:pPr>
            <w:r>
              <w:rPr>
                <w:rFonts w:hint="eastAsia" w:ascii="宋体" w:hAnsi="宋体"/>
                <w:b w:val="0"/>
                <w:bCs/>
                <w:color w:val="000000" w:themeColor="text1"/>
                <w:sz w:val="20"/>
                <w:szCs w:val="20"/>
                <w:lang w:val="en-US" w:eastAsia="zh-CN"/>
              </w:rPr>
              <w:t>因体系运行时间只有7个月，所以</w:t>
            </w:r>
            <w:r>
              <w:rPr>
                <w:rFonts w:hint="eastAsia"/>
              </w:rPr>
              <w:t>环境因素</w:t>
            </w:r>
            <w:r>
              <w:rPr>
                <w:rFonts w:hint="eastAsia" w:ascii="宋体" w:hAnsi="宋体"/>
                <w:b w:val="0"/>
                <w:bCs/>
                <w:color w:val="000000" w:themeColor="text1"/>
                <w:spacing w:val="-8"/>
                <w:sz w:val="20"/>
                <w:szCs w:val="20"/>
                <w:lang w:val="en-US" w:eastAsia="zh-CN"/>
              </w:rPr>
              <w:t>无</w:t>
            </w:r>
            <w:r>
              <w:rPr>
                <w:rFonts w:hint="eastAsia" w:ascii="宋体" w:hAnsi="宋体"/>
                <w:b w:val="0"/>
                <w:bCs/>
                <w:color w:val="000000" w:themeColor="text1"/>
                <w:spacing w:val="-8"/>
                <w:sz w:val="20"/>
                <w:szCs w:val="20"/>
              </w:rPr>
              <w:t>变更</w:t>
            </w:r>
            <w:r>
              <w:rPr>
                <w:rFonts w:hint="eastAsia" w:ascii="宋体" w:hAnsi="宋体"/>
                <w:b w:val="0"/>
                <w:bCs/>
                <w:color w:val="000000" w:themeColor="text1"/>
                <w:spacing w:val="-8"/>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rPr>
                <w:rFonts w:hint="eastAsia" w:ascii="宋体" w:hAnsi="宋体"/>
                <w:b w:val="0"/>
                <w:bCs/>
                <w:color w:val="000000" w:themeColor="text1"/>
                <w:spacing w:val="-8"/>
                <w:sz w:val="20"/>
                <w:szCs w:val="20"/>
              </w:rPr>
            </w:pPr>
            <w:r>
              <w:rPr>
                <w:rFonts w:hint="eastAsia" w:ascii="宋体" w:hAnsi="宋体" w:eastAsia="宋体" w:cs="宋体"/>
                <w:sz w:val="21"/>
                <w:szCs w:val="21"/>
                <w:highlight w:val="none"/>
              </w:rPr>
              <w:t>重大危险源：</w:t>
            </w:r>
            <w:r>
              <w:rPr>
                <w:rFonts w:hint="eastAsia" w:ascii="宋体" w:hAnsi="宋体" w:eastAsia="宋体" w:cs="宋体"/>
                <w:sz w:val="21"/>
                <w:szCs w:val="21"/>
                <w:highlight w:val="none"/>
                <w:lang w:val="en-US" w:eastAsia="zh-CN"/>
              </w:rPr>
              <w:t>火灾事故的发生、触电、意外伤害。</w:t>
            </w:r>
          </w:p>
          <w:p>
            <w:pPr>
              <w:spacing w:line="300" w:lineRule="exact"/>
              <w:rPr>
                <w:rFonts w:hint="eastAsia" w:ascii="宋体" w:hAnsi="宋体"/>
                <w:b w:val="0"/>
                <w:bCs/>
                <w:color w:val="000000" w:themeColor="text1"/>
                <w:sz w:val="20"/>
                <w:szCs w:val="20"/>
                <w:lang w:eastAsia="zh-CN"/>
              </w:rPr>
            </w:pPr>
            <w:r>
              <w:rPr>
                <w:rFonts w:hint="eastAsia" w:ascii="宋体" w:hAnsi="宋体"/>
                <w:b w:val="0"/>
                <w:bCs/>
                <w:color w:val="000000" w:themeColor="text1"/>
                <w:spacing w:val="-8"/>
                <w:sz w:val="20"/>
                <w:szCs w:val="20"/>
              </w:rPr>
              <w:t>职业健康安全危险源</w:t>
            </w:r>
            <w:r>
              <w:rPr>
                <w:rFonts w:hint="eastAsia" w:ascii="宋体" w:hAnsi="宋体"/>
                <w:b w:val="0"/>
                <w:bCs/>
                <w:color w:val="000000" w:themeColor="text1"/>
                <w:sz w:val="20"/>
                <w:szCs w:val="20"/>
              </w:rPr>
              <w:t>辨识充分、风险评价合理</w:t>
            </w:r>
            <w:r>
              <w:rPr>
                <w:rFonts w:hint="eastAsia" w:ascii="宋体" w:hAnsi="宋体"/>
                <w:b w:val="0"/>
                <w:bCs/>
                <w:color w:val="000000" w:themeColor="text1"/>
                <w:sz w:val="20"/>
                <w:szCs w:val="20"/>
                <w:lang w:eastAsia="zh-CN"/>
              </w:rPr>
              <w:t>。</w:t>
            </w:r>
          </w:p>
          <w:p>
            <w:pPr>
              <w:spacing w:line="300" w:lineRule="exact"/>
              <w:rPr>
                <w:rFonts w:hint="eastAsia" w:eastAsia="宋体"/>
                <w:b/>
                <w:color w:val="000000" w:themeColor="text1"/>
                <w:sz w:val="20"/>
                <w:szCs w:val="20"/>
                <w:lang w:val="en-US" w:eastAsia="zh-CN"/>
              </w:rPr>
            </w:pPr>
            <w:r>
              <w:rPr>
                <w:rFonts w:hint="eastAsia" w:ascii="宋体" w:hAnsi="宋体"/>
                <w:b w:val="0"/>
                <w:bCs/>
                <w:color w:val="000000" w:themeColor="text1"/>
                <w:sz w:val="20"/>
                <w:szCs w:val="20"/>
                <w:lang w:val="en-US" w:eastAsia="zh-CN"/>
              </w:rPr>
              <w:t>因体系运行时间只有7个月，所以</w:t>
            </w:r>
            <w:r>
              <w:rPr>
                <w:rFonts w:hint="eastAsia" w:ascii="宋体" w:hAnsi="宋体"/>
                <w:b w:val="0"/>
                <w:bCs/>
                <w:color w:val="000000" w:themeColor="text1"/>
                <w:spacing w:val="-8"/>
                <w:sz w:val="20"/>
                <w:szCs w:val="20"/>
              </w:rPr>
              <w:t>风险评价</w:t>
            </w:r>
            <w:r>
              <w:rPr>
                <w:rFonts w:hint="eastAsia" w:ascii="宋体" w:hAnsi="宋体"/>
                <w:b w:val="0"/>
                <w:bCs/>
                <w:color w:val="000000" w:themeColor="text1"/>
                <w:spacing w:val="-8"/>
                <w:sz w:val="20"/>
                <w:szCs w:val="20"/>
                <w:lang w:val="en-US" w:eastAsia="zh-CN"/>
              </w:rPr>
              <w:t>无</w:t>
            </w:r>
            <w:r>
              <w:rPr>
                <w:rFonts w:hint="eastAsia" w:ascii="宋体" w:hAnsi="宋体"/>
                <w:b w:val="0"/>
                <w:bCs/>
                <w:color w:val="000000" w:themeColor="text1"/>
                <w:spacing w:val="-8"/>
                <w:sz w:val="20"/>
                <w:szCs w:val="20"/>
              </w:rPr>
              <w:t>变更</w:t>
            </w:r>
            <w:r>
              <w:rPr>
                <w:rFonts w:hint="eastAsia" w:ascii="宋体" w:hAnsi="宋体"/>
                <w:b w:val="0"/>
                <w:bCs/>
                <w:color w:val="000000" w:themeColor="text1"/>
                <w:spacing w:val="-8"/>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w:t>
            </w:r>
            <w:r>
              <w:rPr>
                <w:rFonts w:hint="eastAsia" w:ascii="宋体" w:hAnsi="宋体"/>
                <w:b/>
                <w:color w:val="000000" w:themeColor="text1"/>
                <w:szCs w:val="21"/>
              </w:rPr>
              <w:sym w:font="Wingdings 2" w:char="0052"/>
            </w:r>
            <w:r>
              <w:rPr>
                <w:rFonts w:hint="eastAsia" w:ascii="宋体" w:hAnsi="宋体"/>
                <w:b/>
                <w:color w:val="000000" w:themeColor="text1"/>
                <w:szCs w:val="21"/>
              </w:rPr>
              <w:t>环境因素</w:t>
            </w:r>
            <w:r>
              <w:rPr>
                <w:rFonts w:hint="eastAsia" w:ascii="宋体" w:hAnsi="宋体"/>
                <w:b/>
                <w:color w:val="000000" w:themeColor="text1"/>
                <w:szCs w:val="21"/>
              </w:rPr>
              <w:sym w:font="Wingdings 2" w:char="0052"/>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培训</w:t>
            </w: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rPr>
              <w:t>公司</w:t>
            </w:r>
            <w:r>
              <w:rPr>
                <w:rFonts w:hint="eastAsia" w:ascii="宋体" w:hAnsi="宋体" w:eastAsia="宋体" w:cs="宋体"/>
                <w:highlight w:val="none"/>
                <w:lang w:val="en-US" w:eastAsia="zh-CN"/>
              </w:rPr>
              <w:t>年初制定的总体目标如下：</w:t>
            </w:r>
          </w:p>
          <w:p>
            <w:pPr>
              <w:keepNext w:val="0"/>
              <w:keepLines w:val="0"/>
              <w:pageBreakBefore w:val="0"/>
              <w:widowControl w:val="0"/>
              <w:numPr>
                <w:ilvl w:val="0"/>
                <w:numId w:val="4"/>
              </w:numPr>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质量目标：</w:t>
            </w:r>
          </w:p>
          <w:p>
            <w:pPr>
              <w:keepNext w:val="0"/>
              <w:keepLines w:val="0"/>
              <w:pageBreakBefore w:val="0"/>
              <w:widowControl w:val="0"/>
              <w:numPr>
                <w:ilvl w:val="0"/>
                <w:numId w:val="5"/>
              </w:numPr>
              <w:kinsoku/>
              <w:wordWrap/>
              <w:overflowPunct/>
              <w:topLinePunct w:val="0"/>
              <w:bidi w:val="0"/>
              <w:adjustRightInd w:val="0"/>
              <w:snapToGrid w:val="0"/>
              <w:spacing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合同履约率100%；</w:t>
            </w:r>
          </w:p>
          <w:p>
            <w:pPr>
              <w:keepNext w:val="0"/>
              <w:keepLines w:val="0"/>
              <w:pageBreakBefore w:val="0"/>
              <w:widowControl w:val="0"/>
              <w:numPr>
                <w:ilvl w:val="0"/>
                <w:numId w:val="0"/>
              </w:numPr>
              <w:kinsoku/>
              <w:wordWrap/>
              <w:overflowPunct/>
              <w:topLinePunct w:val="0"/>
              <w:bidi w:val="0"/>
              <w:adjustRightInd w:val="0"/>
              <w:snapToGrid w:val="0"/>
              <w:spacing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r>
              <w:rPr>
                <w:rFonts w:hint="eastAsia" w:ascii="宋体" w:hAnsi="宋体" w:eastAsia="宋体" w:cs="宋体"/>
                <w:highlight w:val="none"/>
              </w:rPr>
              <w:t>客户满意率达9</w:t>
            </w:r>
            <w:r>
              <w:rPr>
                <w:rFonts w:hint="eastAsia" w:ascii="宋体" w:hAnsi="宋体" w:eastAsia="宋体" w:cs="宋体"/>
                <w:highlight w:val="none"/>
                <w:lang w:val="en-US" w:eastAsia="zh-CN"/>
              </w:rPr>
              <w:t>5%</w:t>
            </w:r>
            <w:r>
              <w:rPr>
                <w:rFonts w:hint="eastAsia" w:ascii="宋体" w:hAnsi="宋体" w:eastAsia="宋体" w:cs="宋体"/>
                <w:highlight w:val="none"/>
              </w:rPr>
              <w:t>以上</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2.</w:t>
            </w:r>
            <w:r>
              <w:rPr>
                <w:rFonts w:hint="eastAsia" w:ascii="宋体" w:hAnsi="宋体" w:eastAsia="宋体" w:cs="宋体"/>
                <w:highlight w:val="none"/>
              </w:rPr>
              <w:t>环境目标</w:t>
            </w:r>
            <w:r>
              <w:rPr>
                <w:rFonts w:hint="eastAsia" w:ascii="宋体" w:hAnsi="宋体" w:eastAsia="宋体" w:cs="宋体"/>
                <w:highlight w:val="none"/>
                <w:lang w:eastAsia="zh-CN"/>
              </w:rPr>
              <w:t>：</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固体垃圾统一处理率达100%。</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火灾发生率为0</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3.</w:t>
            </w:r>
            <w:r>
              <w:rPr>
                <w:rFonts w:hint="eastAsia" w:ascii="宋体" w:hAnsi="宋体" w:eastAsia="宋体" w:cs="宋体"/>
                <w:highlight w:val="none"/>
              </w:rPr>
              <w:t>职业健康安全目标</w:t>
            </w:r>
            <w:r>
              <w:rPr>
                <w:rFonts w:hint="eastAsia" w:ascii="宋体" w:hAnsi="宋体" w:eastAsia="宋体" w:cs="宋体"/>
                <w:highlight w:val="none"/>
                <w:lang w:eastAsia="zh-CN"/>
              </w:rPr>
              <w:t>：</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重大工伤事故为0</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 xml:space="preserve">火灾发生率为0。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目标进行分解责任落实到人，确保目标指标实现。</w:t>
            </w:r>
          </w:p>
          <w:p>
            <w:pPr>
              <w:spacing w:line="240" w:lineRule="exact"/>
              <w:rPr>
                <w:rFonts w:ascii="宋体" w:hAnsi="宋体"/>
                <w:b/>
                <w:color w:val="000000" w:themeColor="text1"/>
              </w:rPr>
            </w:pPr>
            <w:r>
              <w:rPr>
                <w:rFonts w:hint="eastAsia" w:ascii="宋体" w:hAnsi="宋体" w:eastAsia="宋体" w:cs="宋体"/>
                <w:highlight w:val="none"/>
                <w:lang w:val="en-US" w:eastAsia="zh-CN"/>
              </w:rPr>
              <w:t>今年1~6月份，上述目标均完成。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公司编制有相应的《文件控制程序》、《记录控制程序》，程序中规定了文件的编制、审批、更新、更改、现行修订状态、文件的发放、保存、使用、借阅、复制以及外来文件的管理等进行了规定。基本满足标准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1.管理手册HM-QEOM-2021</w:t>
            </w:r>
            <w:r>
              <w:rPr>
                <w:rFonts w:hint="eastAsia" w:ascii="宋体" w:hAnsi="宋体" w:eastAsia="宋体" w:cs="宋体"/>
                <w:color w:val="auto"/>
                <w:sz w:val="21"/>
                <w:szCs w:val="21"/>
                <w:highlight w:val="none"/>
                <w:lang w:val="en-US" w:eastAsia="zh-CN"/>
              </w:rPr>
              <w:t xml:space="preserve">  A/0</w:t>
            </w:r>
            <w:r>
              <w:rPr>
                <w:rFonts w:hint="eastAsia" w:ascii="宋体" w:hAnsi="宋体" w:eastAsia="宋体" w:cs="宋体"/>
                <w:color w:val="auto"/>
                <w:sz w:val="21"/>
                <w:szCs w:val="21"/>
                <w:highlight w:val="none"/>
              </w:rPr>
              <w:t>版，202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日发表实施（含质量方针、目标）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2.程序文件汇编HM-PD-2021 A/0版，含2</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个文件，包括标准要求的程序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3.管理、作业文件，包括：岗位人员任职要求、管理目标统计分析考核办法、办公室管理制度、销售服务规范等</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4．收集到《文件收发记录表》，内有文件名称、编号、分发号、版本、接收部门、接收人签字及发放日期等。按发放记录抽查总经理、管代是否持有《管理手册》、《程序文件》等有关文件。经查，可以提供；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5．公司使用的与质量有关的外来文件由</w:t>
            </w:r>
            <w:r>
              <w:rPr>
                <w:rFonts w:hint="eastAsia" w:ascii="宋体" w:hAnsi="宋体" w:eastAsia="宋体" w:cs="宋体"/>
                <w:sz w:val="21"/>
                <w:szCs w:val="21"/>
                <w:highlight w:val="none"/>
                <w:lang w:val="en-US" w:eastAsia="zh-CN"/>
              </w:rPr>
              <w:t>综合部</w:t>
            </w:r>
            <w:r>
              <w:rPr>
                <w:rFonts w:hint="eastAsia" w:ascii="宋体" w:hAnsi="宋体" w:eastAsia="宋体" w:cs="宋体"/>
                <w:sz w:val="21"/>
                <w:szCs w:val="21"/>
                <w:highlight w:val="none"/>
              </w:rPr>
              <w:t>收集、分发相关部门。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 查外来文件见有：对外来文件进行了识别收集，提供有《文件清单》包括中华人民共和国水污染防治法、环境保护法、环境噪声污染防治法、消防法、固体废弃物环境防治法、GB/T</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24001-2016《环境管理体系 要求及使用指南》等标准规范进行了收集。基本符合要求。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现场</w:t>
            </w:r>
            <w:r>
              <w:rPr>
                <w:rFonts w:hint="eastAsia" w:ascii="宋体" w:hAnsi="宋体" w:eastAsia="宋体" w:cs="宋体"/>
                <w:sz w:val="21"/>
                <w:szCs w:val="21"/>
                <w:highlight w:val="none"/>
              </w:rPr>
              <w:t>查看，所有文件均保持整洁完好，目录清晰，便于检索。文件均为有效。文件控制总体基本符合标准要求。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提供“记录清单”，显示了记录名称、编号、保存期、使用部门等内容。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--抽查：风险和机遇清单</w:t>
            </w:r>
            <w:r>
              <w:rPr>
                <w:rFonts w:hint="eastAsia" w:ascii="宋体" w:hAnsi="宋体" w:eastAsia="宋体" w:cs="宋体"/>
                <w:sz w:val="21"/>
                <w:szCs w:val="21"/>
                <w:highlight w:val="none"/>
              </w:rPr>
              <w:t>等，成文信息标识清晰，填写规范、齐全、清晰，记录在文件柜中分类编目保存，能防潮、防虫蛀、防丢失、防水、防火，记录的贮存和保护符合要求，检索方便。</w:t>
            </w:r>
          </w:p>
          <w:p>
            <w:pPr>
              <w:tabs>
                <w:tab w:val="left" w:pos="540"/>
              </w:tabs>
              <w:spacing w:line="240" w:lineRule="exact"/>
              <w:rPr>
                <w:rFonts w:ascii="宋体" w:hAnsi="宋体"/>
                <w:b/>
                <w:color w:val="000000" w:themeColor="text1"/>
                <w:sz w:val="20"/>
                <w:szCs w:val="20"/>
              </w:rPr>
            </w:pPr>
            <w:r>
              <w:rPr>
                <w:rFonts w:hint="eastAsia" w:ascii="宋体" w:hAnsi="宋体" w:eastAsia="宋体" w:cs="宋体"/>
                <w:sz w:val="21"/>
                <w:szCs w:val="21"/>
                <w:highlight w:val="none"/>
              </w:rPr>
              <w:t>各成文信息由各部门负责保存，以便查阅，</w:t>
            </w:r>
            <w:r>
              <w:rPr>
                <w:rFonts w:hint="eastAsia" w:ascii="宋体" w:hAnsi="宋体" w:eastAsia="宋体" w:cs="宋体"/>
                <w:sz w:val="21"/>
                <w:szCs w:val="21"/>
                <w:highlight w:val="none"/>
                <w:lang w:val="en-US" w:eastAsia="zh-CN"/>
              </w:rPr>
              <w:t>综合部</w:t>
            </w:r>
            <w:r>
              <w:rPr>
                <w:rFonts w:hint="eastAsia" w:ascii="宋体" w:hAnsi="宋体" w:eastAsia="宋体" w:cs="宋体"/>
                <w:sz w:val="21"/>
                <w:szCs w:val="21"/>
                <w:highlight w:val="none"/>
              </w:rPr>
              <w:t>定期检查记录的使用、保管情况，目前尚无文件销毁的记录。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ind w:firstLine="420" w:firstLineChars="200"/>
              <w:rPr>
                <w:rFonts w:hint="default" w:ascii="宋体" w:hAnsi="宋体" w:eastAsia="宋体"/>
                <w:b/>
                <w:color w:val="000000" w:themeColor="text1"/>
                <w:sz w:val="20"/>
                <w:szCs w:val="20"/>
                <w:lang w:val="en-US" w:eastAsia="zh-CN"/>
              </w:rPr>
            </w:pPr>
            <w:r>
              <w:rPr>
                <w:rFonts w:hint="eastAsia" w:ascii="宋体" w:hAnsi="宋体" w:eastAsia="宋体" w:cs="宋体"/>
                <w:sz w:val="21"/>
                <w:szCs w:val="21"/>
                <w:highlight w:val="none"/>
              </w:rPr>
              <w:t>企业目前在职员工</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人，包括管理人员</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人、</w:t>
            </w:r>
            <w:r>
              <w:rPr>
                <w:rFonts w:hint="eastAsia" w:ascii="宋体" w:hAnsi="宋体" w:eastAsia="宋体" w:cs="宋体"/>
                <w:sz w:val="21"/>
                <w:szCs w:val="21"/>
                <w:highlight w:val="none"/>
                <w:lang w:val="en-US" w:eastAsia="zh-CN"/>
              </w:rPr>
              <w:t>办公室</w:t>
            </w:r>
            <w:r>
              <w:rPr>
                <w:rFonts w:hint="eastAsia" w:ascii="宋体" w:hAnsi="宋体" w:eastAsia="宋体" w:cs="宋体"/>
                <w:sz w:val="21"/>
                <w:szCs w:val="21"/>
                <w:highlight w:val="none"/>
              </w:rPr>
              <w:t>员、</w:t>
            </w:r>
            <w:r>
              <w:rPr>
                <w:rFonts w:hint="eastAsia" w:ascii="宋体" w:hAnsi="宋体" w:eastAsia="宋体" w:cs="宋体"/>
                <w:sz w:val="21"/>
                <w:szCs w:val="21"/>
                <w:highlight w:val="none"/>
                <w:lang w:val="en-US" w:eastAsia="zh-CN"/>
              </w:rPr>
              <w:t>采购人员、业务</w:t>
            </w:r>
            <w:r>
              <w:rPr>
                <w:rFonts w:hint="eastAsia" w:ascii="宋体" w:hAnsi="宋体" w:eastAsia="宋体" w:cs="宋体"/>
                <w:sz w:val="21"/>
                <w:szCs w:val="21"/>
                <w:highlight w:val="none"/>
              </w:rPr>
              <w:t>人员等，职工队伍相对稳定，均在相关企业工作近5年，实践经验丰富。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tabs>
                <w:tab w:val="left" w:pos="540"/>
              </w:tabs>
              <w:spacing w:line="2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配备有</w:t>
            </w:r>
            <w:r>
              <w:rPr>
                <w:rFonts w:hint="eastAsia" w:ascii="宋体" w:hAnsi="宋体" w:eastAsia="宋体" w:cs="宋体"/>
                <w:sz w:val="21"/>
                <w:szCs w:val="21"/>
                <w:highlight w:val="none"/>
                <w:lang w:eastAsia="zh-CN"/>
              </w:rPr>
              <w:t>办公室</w:t>
            </w:r>
            <w:r>
              <w:rPr>
                <w:rFonts w:hint="eastAsia" w:ascii="宋体" w:hAnsi="宋体" w:eastAsia="宋体" w:cs="宋体"/>
                <w:sz w:val="21"/>
                <w:szCs w:val="21"/>
                <w:highlight w:val="none"/>
              </w:rPr>
              <w:t>，办公主要设施：电话、传真机、电脑、打印机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办公桌椅</w:t>
            </w:r>
            <w:r>
              <w:rPr>
                <w:rFonts w:hint="eastAsia" w:ascii="宋体" w:hAnsi="宋体" w:eastAsia="宋体" w:cs="宋体"/>
                <w:sz w:val="21"/>
                <w:szCs w:val="21"/>
                <w:highlight w:val="none"/>
              </w:rPr>
              <w:t>等，满足办公需求。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eastAsia="宋体" w:cs="宋体"/>
                <w:sz w:val="21"/>
                <w:szCs w:val="21"/>
                <w:highlight w:val="none"/>
              </w:rPr>
              <w:t>工作环境：</w:t>
            </w:r>
            <w:r>
              <w:rPr>
                <w:rFonts w:hint="eastAsia" w:ascii="宋体" w:hAnsi="宋体" w:eastAsia="宋体" w:cs="宋体"/>
                <w:sz w:val="21"/>
                <w:szCs w:val="21"/>
                <w:highlight w:val="none"/>
                <w:lang w:val="en-US" w:eastAsia="zh-CN"/>
              </w:rPr>
              <w:t>办公区</w:t>
            </w:r>
            <w:r>
              <w:rPr>
                <w:rFonts w:hint="eastAsia" w:ascii="宋体" w:hAnsi="宋体" w:eastAsia="宋体" w:cs="宋体"/>
                <w:sz w:val="21"/>
                <w:szCs w:val="21"/>
                <w:highlight w:val="none"/>
              </w:rPr>
              <w:t>占地面积</w:t>
            </w:r>
            <w:r>
              <w:rPr>
                <w:rFonts w:hint="eastAsia" w:ascii="宋体" w:hAnsi="宋体" w:eastAsia="宋体" w:cs="宋体"/>
                <w:sz w:val="21"/>
                <w:szCs w:val="21"/>
                <w:highlight w:val="none"/>
                <w:lang w:val="en-US" w:eastAsia="zh-CN"/>
              </w:rPr>
              <w:t>近150</w:t>
            </w:r>
            <w:r>
              <w:rPr>
                <w:rFonts w:hint="eastAsia" w:ascii="宋体" w:hAnsi="宋体" w:eastAsia="宋体" w:cs="宋体"/>
                <w:sz w:val="21"/>
                <w:szCs w:val="21"/>
                <w:highlight w:val="none"/>
              </w:rPr>
              <w:t>平</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布局</w:t>
            </w:r>
            <w:r>
              <w:rPr>
                <w:rFonts w:hint="eastAsia" w:ascii="宋体" w:hAnsi="宋体" w:eastAsia="宋体" w:cs="宋体"/>
                <w:sz w:val="21"/>
                <w:szCs w:val="21"/>
                <w:highlight w:val="none"/>
                <w:lang w:eastAsia="zh-CN"/>
              </w:rPr>
              <w:t>相对</w:t>
            </w:r>
            <w:r>
              <w:rPr>
                <w:rFonts w:hint="eastAsia" w:ascii="宋体" w:hAnsi="宋体" w:eastAsia="宋体" w:cs="宋体"/>
                <w:sz w:val="21"/>
                <w:szCs w:val="21"/>
                <w:highlight w:val="none"/>
              </w:rPr>
              <w:t>合理，场所卫生</w:t>
            </w:r>
            <w:r>
              <w:rPr>
                <w:rFonts w:hint="eastAsia" w:ascii="宋体" w:hAnsi="宋体" w:eastAsia="宋体" w:cs="宋体"/>
                <w:sz w:val="21"/>
                <w:szCs w:val="21"/>
                <w:highlight w:val="none"/>
                <w:lang w:eastAsia="zh-CN"/>
              </w:rPr>
              <w:t>较</w:t>
            </w:r>
            <w:r>
              <w:rPr>
                <w:rFonts w:hint="eastAsia" w:ascii="宋体" w:hAnsi="宋体" w:eastAsia="宋体" w:cs="宋体"/>
                <w:sz w:val="21"/>
                <w:szCs w:val="21"/>
                <w:highlight w:val="none"/>
              </w:rPr>
              <w:t>整洁</w:t>
            </w:r>
            <w:r>
              <w:rPr>
                <w:rFonts w:hint="eastAsia" w:ascii="宋体" w:hAnsi="宋体" w:eastAsia="宋体" w:cs="宋体"/>
                <w:sz w:val="21"/>
                <w:szCs w:val="21"/>
                <w:highlight w:val="none"/>
                <w:lang w:eastAsia="zh-CN"/>
              </w:rPr>
              <w:t>，工作环境</w:t>
            </w:r>
            <w:r>
              <w:rPr>
                <w:rFonts w:hint="eastAsia" w:ascii="宋体" w:hAnsi="宋体" w:eastAsia="宋体" w:cs="宋体"/>
                <w:sz w:val="21"/>
                <w:szCs w:val="21"/>
                <w:highlight w:val="none"/>
                <w:lang w:val="en-US" w:eastAsia="zh-CN"/>
              </w:rPr>
              <w:t>尚可</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配备有空调。基本满足办公</w:t>
            </w:r>
            <w:r>
              <w:rPr>
                <w:rFonts w:hint="eastAsia" w:ascii="宋体" w:hAnsi="宋体" w:eastAsia="宋体" w:cs="宋体"/>
                <w:sz w:val="21"/>
                <w:szCs w:val="21"/>
                <w:highlight w:val="none"/>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tabs>
                <w:tab w:val="left" w:pos="540"/>
              </w:tabs>
              <w:spacing w:line="2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监视和测量资源</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●建立有《监视和测量设备台帐》监视测量仪器有：</w:t>
            </w:r>
            <w:r>
              <w:rPr>
                <w:rFonts w:hint="eastAsia" w:ascii="宋体" w:hAnsi="宋体" w:eastAsia="宋体" w:cs="宋体"/>
                <w:sz w:val="21"/>
                <w:szCs w:val="21"/>
                <w:highlight w:val="none"/>
                <w:lang w:val="en-US" w:eastAsia="zh-CN"/>
              </w:rPr>
              <w:t>钢卷尺、天平、卡尺、千分尺</w:t>
            </w:r>
            <w:r>
              <w:rPr>
                <w:rFonts w:hint="eastAsia" w:ascii="宋体" w:hAnsi="宋体" w:eastAsia="宋体" w:cs="宋体"/>
                <w:sz w:val="21"/>
                <w:szCs w:val="21"/>
                <w:highlight w:val="none"/>
                <w:lang w:eastAsia="zh-CN"/>
              </w:rPr>
              <w:t>等，</w:t>
            </w:r>
            <w:r>
              <w:rPr>
                <w:rFonts w:hint="eastAsia" w:ascii="宋体" w:hAnsi="宋体" w:eastAsia="宋体" w:cs="宋体"/>
                <w:sz w:val="21"/>
                <w:szCs w:val="21"/>
                <w:highlight w:val="none"/>
              </w:rPr>
              <w:t>满足</w:t>
            </w:r>
            <w:r>
              <w:rPr>
                <w:rFonts w:hint="eastAsia" w:ascii="宋体" w:hAnsi="宋体" w:eastAsia="宋体" w:cs="宋体"/>
                <w:sz w:val="21"/>
                <w:szCs w:val="21"/>
                <w:highlight w:val="none"/>
                <w:lang w:val="en-US" w:eastAsia="zh-CN"/>
              </w:rPr>
              <w:t>外出</w:t>
            </w:r>
            <w:r>
              <w:rPr>
                <w:rFonts w:hint="eastAsia" w:ascii="宋体" w:hAnsi="宋体" w:eastAsia="宋体" w:cs="宋体"/>
                <w:sz w:val="21"/>
                <w:szCs w:val="21"/>
                <w:highlight w:val="none"/>
              </w:rPr>
              <w:t>检验需求。</w:t>
            </w:r>
            <w:r>
              <w:rPr>
                <w:rFonts w:hint="eastAsia" w:ascii="宋体" w:hAnsi="宋体" w:eastAsia="宋体" w:cs="宋体"/>
                <w:sz w:val="21"/>
                <w:szCs w:val="21"/>
                <w:highlight w:val="none"/>
                <w:lang w:val="en-US" w:eastAsia="zh-CN"/>
              </w:rPr>
              <w:t xml:space="preserve"> </w:t>
            </w:r>
          </w:p>
          <w:p>
            <w:pPr>
              <w:tabs>
                <w:tab w:val="left" w:pos="540"/>
              </w:tabs>
              <w:spacing w:line="2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●没有用于监测的计算机软件。</w:t>
            </w:r>
          </w:p>
          <w:p>
            <w:pPr>
              <w:tabs>
                <w:tab w:val="left" w:pos="540"/>
              </w:tabs>
              <w:spacing w:line="2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●检测设备配置能满足产品检测需求。</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 提供了监视测量仪器的</w:t>
            </w:r>
            <w:r>
              <w:rPr>
                <w:rFonts w:hint="eastAsia" w:ascii="宋体" w:hAnsi="宋体" w:eastAsia="宋体" w:cs="宋体"/>
                <w:sz w:val="21"/>
                <w:szCs w:val="21"/>
                <w:highlight w:val="none"/>
                <w:lang w:val="en-US" w:eastAsia="zh-CN"/>
              </w:rPr>
              <w:t>校准记录，检测公司：山东博测计量检测技术有限公司</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产品名称  规格        生产厂家                         证书编号</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游标卡尺</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0—200mm</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上海美耐特实业有限公司       SDBC-20210513-0197</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--外径千分尺0—25mm</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 xml:space="preserve">    上海九量五金工具有限公司     SDBC-20210513-0198</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--天平</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 xml:space="preserve">300G    </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 xml:space="preserve">    昆山优科维特电子科技有限公司 SDBC-20210513-0199</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--钢卷尺   </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10m</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 xml:space="preserve">        上海美耐特实业有限公司       SDBC-20210513-0195</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其它参数见扫描件。</w:t>
            </w:r>
          </w:p>
          <w:p>
            <w:pPr>
              <w:tabs>
                <w:tab w:val="left" w:pos="540"/>
              </w:tabs>
              <w:spacing w:line="2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●该公司</w:t>
            </w:r>
            <w:r>
              <w:rPr>
                <w:rFonts w:hint="eastAsia" w:ascii="宋体" w:hAnsi="宋体" w:eastAsia="宋体" w:cs="宋体"/>
                <w:sz w:val="21"/>
                <w:szCs w:val="21"/>
                <w:highlight w:val="none"/>
                <w:lang w:val="en-US" w:eastAsia="zh-CN"/>
              </w:rPr>
              <w:t>采购部</w:t>
            </w:r>
            <w:r>
              <w:rPr>
                <w:rFonts w:hint="eastAsia" w:ascii="宋体" w:hAnsi="宋体" w:eastAsia="宋体" w:cs="宋体"/>
                <w:sz w:val="21"/>
                <w:szCs w:val="21"/>
                <w:highlight w:val="none"/>
              </w:rPr>
              <w:t>负责监视和测量设备的管理。</w:t>
            </w:r>
          </w:p>
          <w:p>
            <w:pPr>
              <w:tabs>
                <w:tab w:val="left" w:pos="540"/>
              </w:tabs>
              <w:spacing w:line="2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●使用过程中没有发生检测设备偏离校准状态现象。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tabs>
                <w:tab w:val="left" w:pos="540"/>
              </w:tabs>
              <w:spacing w:line="24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知识</w:t>
            </w:r>
            <w:r>
              <w:rPr>
                <w:rFonts w:hint="eastAsia" w:ascii="宋体" w:hAnsi="宋体" w:eastAsia="宋体" w:cs="宋体"/>
                <w:sz w:val="21"/>
                <w:szCs w:val="21"/>
                <w:highlight w:val="none"/>
                <w:lang w:eastAsia="zh-CN"/>
              </w:rPr>
              <w:t>：</w:t>
            </w:r>
          </w:p>
          <w:p>
            <w:pPr>
              <w:tabs>
                <w:tab w:val="left" w:pos="540"/>
              </w:tabs>
              <w:spacing w:line="2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●组织运行所需的知识从内、外部来源获取的有：</w:t>
            </w:r>
          </w:p>
          <w:p>
            <w:pPr>
              <w:tabs>
                <w:tab w:val="left" w:pos="540"/>
              </w:tabs>
              <w:spacing w:line="2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公司员工具有以往多年的工作经验（员工过去所有的）根据顾客要求提供满足顾客需求的产品信息等；</w:t>
            </w:r>
          </w:p>
          <w:p>
            <w:pPr>
              <w:tabs>
                <w:tab w:val="left" w:pos="540"/>
              </w:tabs>
              <w:spacing w:line="2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外部来源获取有：体系咨询老师传授的体系知识及所实施的内审员的培训；供方提供的产品介绍等。</w:t>
            </w:r>
          </w:p>
          <w:p>
            <w:pPr>
              <w:tabs>
                <w:tab w:val="left" w:pos="540"/>
              </w:tabs>
              <w:spacing w:line="2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获取及保持方法：老员工传帮带新员工；存档产品信息；</w:t>
            </w:r>
          </w:p>
          <w:p>
            <w:pPr>
              <w:tabs>
                <w:tab w:val="left" w:pos="540"/>
              </w:tabs>
              <w:spacing w:line="2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为应对不断变化的需求和法阵趋势，组织策划进行体系标准及相关知识的再培训、招聘有专业知识的</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rPr>
              <w:t>、销售人员等方式，对确定的知识及时更新；</w:t>
            </w:r>
          </w:p>
          <w:p>
            <w:pPr>
              <w:tabs>
                <w:tab w:val="left" w:pos="540"/>
              </w:tabs>
              <w:spacing w:line="2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●对外来文件进行了识别收集，现场提供有《外来文件清单》包括</w:t>
            </w:r>
          </w:p>
          <w:p>
            <w:pPr>
              <w:tabs>
                <w:tab w:val="left" w:pos="540"/>
              </w:tabs>
              <w:spacing w:line="2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产品质量法、合同法、</w:t>
            </w:r>
          </w:p>
          <w:p>
            <w:pPr>
              <w:tabs>
                <w:tab w:val="left" w:pos="540"/>
              </w:tabs>
              <w:spacing w:line="24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质量管理体系要求GB/T19001-2016</w:t>
            </w:r>
          </w:p>
          <w:p>
            <w:pPr>
              <w:tabs>
                <w:tab w:val="left" w:pos="540"/>
              </w:tabs>
              <w:spacing w:line="24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质量管理体系 基础和术语</w:t>
            </w:r>
            <w:r>
              <w:rPr>
                <w:rFonts w:hint="eastAsia" w:ascii="宋体" w:hAnsi="宋体" w:eastAsia="宋体" w:cs="宋体"/>
                <w:sz w:val="21"/>
                <w:szCs w:val="21"/>
                <w:highlight w:val="none"/>
              </w:rPr>
              <w:tab/>
            </w:r>
            <w:r>
              <w:rPr>
                <w:rFonts w:hint="eastAsia" w:ascii="宋体" w:hAnsi="宋体" w:eastAsia="宋体" w:cs="宋体"/>
                <w:sz w:val="21"/>
                <w:szCs w:val="21"/>
                <w:highlight w:val="none"/>
              </w:rPr>
              <w:t>GB/T19000-2016</w:t>
            </w:r>
            <w:r>
              <w:rPr>
                <w:rFonts w:hint="eastAsia" w:ascii="宋体" w:hAnsi="宋体" w:eastAsia="宋体" w:cs="宋体"/>
                <w:sz w:val="21"/>
                <w:szCs w:val="21"/>
                <w:highlight w:val="none"/>
                <w:lang w:eastAsia="zh-CN"/>
              </w:rPr>
              <w:t>、</w:t>
            </w:r>
          </w:p>
          <w:p>
            <w:pPr>
              <w:tabs>
                <w:tab w:val="left" w:pos="540"/>
              </w:tabs>
              <w:spacing w:line="24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中华人民共和国产品质量法2018年</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中华人民共和国计量法</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2017.12.27</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中华人民共和国标准化法</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2017.11.4</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中华人民共和国民法典</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2021.1.1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中华人民共和国劳动法</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2009.8.27</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中华人民共和国劳动合同法</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2013.7.1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YD/T 3436.4-2019《架空通信线路配件 第4部分：抱箍类、光缆预留支架》</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2020-1-1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YD/T 3436.3-2018《架空通信线路配件 第3部分：挂钩类》</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2019-04-01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YD/T 3436.2-2018《架空通信线路配件 第2部分：带槽夹板类》</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2019-04-01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YD/T 3436.1-2018《架空通信线路配件 第1部分：通用技术条件》</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2019-04-01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YB/T5004-2012《镀锌钢绞线》</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2013-3-1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YD/T1313-2008《宽带接入用综合配线箱》</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2008-11-1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YD/T 841.1-2008  地下通信管道用塑料管 第1部分：总则 </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2008-7-1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YD/T 841.2-2008  地下通信管道用塑料管 第2部分：实壁管</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2008-7-1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YD/T 841.3-2016  地下通信管道用塑料管 第3部分：双壁波纹管 </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2016-10-1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YD/T 841..4-2016  地下通信管道用塑料管 第4部分：硅芯管</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2016-7-1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YD/T 841.5-2016  地下通信管道用塑料管 第5部分：梅花管 </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2016-10-1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YD/T 841.6-2017  地下通信管道用塑料管 第6部分：栅格管</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2018-1-1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YD/T 841.7-2017  地下通信管道用塑料管 第7部分：蜂窝管 </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2018-1-1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YD/T 841.8-2014  地下通信管道用塑料管 第8部分：塑料合金复合型管</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2014-10-14</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GB/T 8162-2018结构用无缝钢管</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2019-02-01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GB/T23858-2009《检查井盖》</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2010-2-1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YD/T 2150-2020光缆分纤箱</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2020-10-01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YB/T 4163-2016  铁塔用热轧角钢</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2017-4-1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DL/T 1899.1-2018  电力架空光缆接头盒 第1部分：光纤复合架空地线接头盒 </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2019-5-1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YD/T 3536-2019  数字通信用100Ω平衡对绞跳线 </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2020-1-1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LY/T 1507-2018  木杆 </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2018-6-1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LY/T 1294-2012  直接用原木 电杆 </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2012-7-1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DB13/T 2950-2019  高速公路夯实水泥土桩复合地基技术规范 </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2019-4-25</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DB42/T 1501-2019  承插盘式球墨铸铁检查井盖技术标准</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2019-5-28</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CJ/T 327-2010  球墨铸铁复合树脂检查井盖 </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2010-8-1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DB35/T 1537-2015  可调式防沉降球墨铸铁检查井盖 </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2016-3-28等。</w:t>
            </w:r>
          </w:p>
          <w:p>
            <w:pPr>
              <w:tabs>
                <w:tab w:val="left" w:pos="540"/>
              </w:tabs>
              <w:spacing w:line="2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等，经常网上查阅、及时与顾客沟通确保最新版本。</w:t>
            </w:r>
          </w:p>
          <w:p>
            <w:pPr>
              <w:tabs>
                <w:tab w:val="left" w:pos="540"/>
              </w:tabs>
              <w:spacing w:line="2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●企业知识管理符合要求。</w:t>
            </w:r>
          </w:p>
          <w:p>
            <w:pPr>
              <w:tabs>
                <w:tab w:val="left" w:pos="540"/>
              </w:tabs>
              <w:spacing w:line="240" w:lineRule="exact"/>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环保设施：</w:t>
            </w:r>
            <w:r>
              <w:rPr>
                <w:rFonts w:hint="eastAsia" w:ascii="宋体" w:hAnsi="宋体"/>
                <w:b w:val="0"/>
                <w:bCs/>
                <w:color w:val="000000" w:themeColor="text1"/>
                <w:sz w:val="20"/>
                <w:szCs w:val="20"/>
                <w:lang w:val="en-US" w:eastAsia="zh-CN"/>
              </w:rPr>
              <w:t>灭火器、垃圾篓。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r>
              <w:rPr>
                <w:rFonts w:hint="eastAsia" w:ascii="宋体" w:hAnsi="宋体"/>
                <w:b w:val="0"/>
                <w:bCs/>
                <w:color w:val="000000" w:themeColor="text1"/>
                <w:sz w:val="20"/>
                <w:szCs w:val="20"/>
                <w:lang w:val="en-US" w:eastAsia="zh-CN"/>
              </w:rPr>
              <w:t>灭火器、</w:t>
            </w:r>
            <w:r>
              <w:rPr>
                <w:rFonts w:hint="eastAsia" w:ascii="宋体" w:hAnsi="宋体" w:eastAsia="宋体" w:cs="宋体"/>
                <w:sz w:val="21"/>
                <w:szCs w:val="21"/>
                <w:highlight w:val="none"/>
                <w:lang w:val="en-US" w:eastAsia="zh-CN"/>
              </w:rPr>
              <w:t>防止感染新冠病毒的宣传挂画。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02" w:firstLineChars="200"/>
              <w:jc w:val="left"/>
              <w:textAlignment w:val="auto"/>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总经理制定、实施和保持公司管理方针。</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管理手册明确了公司的</w:t>
            </w:r>
            <w:r>
              <w:rPr>
                <w:rFonts w:hint="eastAsia" w:ascii="宋体" w:hAnsi="宋体" w:eastAsia="宋体" w:cs="宋体"/>
                <w:b w:val="0"/>
                <w:bCs w:val="0"/>
                <w:sz w:val="21"/>
                <w:szCs w:val="21"/>
                <w:lang w:val="en-US" w:eastAsia="zh-CN"/>
              </w:rPr>
              <w:t>管理</w:t>
            </w:r>
            <w:r>
              <w:rPr>
                <w:rFonts w:hint="eastAsia" w:ascii="宋体" w:hAnsi="宋体" w:eastAsia="宋体" w:cs="宋体"/>
                <w:b w:val="0"/>
                <w:bCs w:val="0"/>
                <w:sz w:val="21"/>
                <w:szCs w:val="21"/>
              </w:rPr>
              <w:t>方针：顾客至上、追求卓越、诚信守诺、保护环境、清洁经营、节能降耗、以人为本、关注健康、保障安全、依法行事、与时俱进！</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方针</w:t>
            </w:r>
            <w:r>
              <w:rPr>
                <w:rFonts w:hint="eastAsia" w:ascii="宋体" w:hAnsi="宋体" w:eastAsia="宋体" w:cs="宋体"/>
                <w:b w:val="0"/>
                <w:bCs w:val="0"/>
                <w:sz w:val="21"/>
                <w:szCs w:val="21"/>
              </w:rPr>
              <w:t>涵盖了企业安全意识、质量至上，保护环境的理念，满足标准的要求。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通过会议传达，沟通、协调，让全体员工理解执行。并定期进行评审。</w:t>
            </w:r>
          </w:p>
          <w:p>
            <w:pPr>
              <w:spacing w:line="300" w:lineRule="exact"/>
              <w:ind w:left="1"/>
              <w:rPr>
                <w:b/>
                <w:color w:val="000000" w:themeColor="text1"/>
                <w:sz w:val="20"/>
                <w:szCs w:val="20"/>
              </w:rPr>
            </w:pPr>
            <w:r>
              <w:rPr>
                <w:rFonts w:hint="eastAsia" w:ascii="宋体" w:hAnsi="宋体" w:eastAsia="宋体" w:cs="宋体"/>
                <w:b w:val="0"/>
                <w:bCs w:val="0"/>
                <w:sz w:val="21"/>
                <w:szCs w:val="21"/>
              </w:rPr>
              <w:t>管理方针与企业的经营宗旨相适应</w:t>
            </w:r>
            <w:r>
              <w:rPr>
                <w:rFonts w:hint="eastAsia" w:ascii="宋体" w:hAnsi="宋体" w:eastAsia="宋体" w:cs="宋体"/>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sz w:val="20"/>
                <w:szCs w:val="20"/>
              </w:rPr>
            </w:pPr>
            <w:r>
              <w:rPr>
                <w:rFonts w:hint="eastAsia" w:ascii="楷体_GB2312" w:eastAsia="楷体_GB2312"/>
                <w:b/>
                <w:color w:val="000000"/>
                <w:sz w:val="20"/>
                <w:szCs w:val="20"/>
              </w:rPr>
              <w:t>内部沟通的情况：内部沟通方式：</w:t>
            </w:r>
            <w:r>
              <w:rPr>
                <w:rFonts w:hint="eastAsia" w:ascii="宋体" w:hAnsi="宋体"/>
                <w:szCs w:val="21"/>
              </w:rPr>
              <w:t>文件、会议、电话、面谈等方式进行内部沟通</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sz w:val="20"/>
                <w:szCs w:val="20"/>
              </w:rPr>
            </w:pPr>
            <w:r>
              <w:rPr>
                <w:rFonts w:hint="eastAsia" w:ascii="楷体_GB2312" w:eastAsia="楷体_GB2312"/>
                <w:b/>
                <w:color w:val="000000"/>
                <w:sz w:val="20"/>
                <w:szCs w:val="20"/>
              </w:rPr>
              <w:t xml:space="preserve">                内部沟通的效果：</w:t>
            </w:r>
            <w:r>
              <w:rPr>
                <w:rFonts w:hint="eastAsia" w:ascii="宋体" w:hAnsi="宋体"/>
                <w:szCs w:val="21"/>
              </w:rPr>
              <w:t>沟通较为顺畅</w:t>
            </w:r>
          </w:p>
          <w:p>
            <w:pPr>
              <w:keepNext w:val="0"/>
              <w:keepLines w:val="0"/>
              <w:pageBreakBefore w:val="0"/>
              <w:kinsoku/>
              <w:wordWrap/>
              <w:overflowPunct/>
              <w:topLinePunct w:val="0"/>
              <w:bidi w:val="0"/>
              <w:snapToGrid/>
              <w:spacing w:line="360" w:lineRule="exact"/>
              <w:textAlignment w:val="auto"/>
              <w:rPr>
                <w:rFonts w:hint="default" w:ascii="宋体" w:hAnsi="宋体" w:cs="Times New Roman"/>
                <w:szCs w:val="21"/>
                <w:lang w:val="en-US" w:eastAsia="zh-CN"/>
              </w:rPr>
            </w:pPr>
            <w:r>
              <w:rPr>
                <w:rFonts w:hint="eastAsia" w:ascii="楷体_GB2312" w:eastAsia="楷体_GB2312"/>
                <w:b/>
                <w:color w:val="000000"/>
                <w:sz w:val="20"/>
                <w:szCs w:val="20"/>
              </w:rPr>
              <w:t>组织对外联络，关注顾客的感受情况（QMS）：</w:t>
            </w:r>
            <w:r>
              <w:rPr>
                <w:rFonts w:hint="eastAsia" w:ascii="宋体" w:hAnsi="宋体" w:cs="Times New Roman"/>
                <w:szCs w:val="21"/>
                <w:lang w:val="en-US" w:eastAsia="zh-CN"/>
              </w:rPr>
              <w:t>对顾客回访，进行满意度调查。</w:t>
            </w:r>
          </w:p>
          <w:p>
            <w:pPr>
              <w:keepNext w:val="0"/>
              <w:keepLines w:val="0"/>
              <w:pageBreakBefore w:val="0"/>
              <w:kinsoku/>
              <w:wordWrap/>
              <w:overflowPunct/>
              <w:topLinePunct w:val="0"/>
              <w:bidi w:val="0"/>
              <w:snapToGrid/>
              <w:spacing w:line="360" w:lineRule="exact"/>
              <w:textAlignment w:val="auto"/>
              <w:rPr>
                <w:rFonts w:hint="eastAsia" w:ascii="楷体_GB2312" w:eastAsia="宋体"/>
                <w:b/>
                <w:color w:val="000000"/>
                <w:sz w:val="20"/>
                <w:szCs w:val="20"/>
                <w:lang w:eastAsia="zh-CN"/>
              </w:rPr>
            </w:pPr>
            <w:r>
              <w:rPr>
                <w:rFonts w:hint="eastAsia" w:ascii="楷体_GB2312" w:eastAsia="楷体_GB2312"/>
                <w:b/>
                <w:color w:val="000000"/>
                <w:sz w:val="20"/>
                <w:szCs w:val="20"/>
              </w:rPr>
              <w:t>外部信息的接收、成文并答复的情况（E、S填写）：</w:t>
            </w:r>
            <w:r>
              <w:rPr>
                <w:rFonts w:hint="eastAsia" w:ascii="楷体_GB2312" w:eastAsia="楷体_GB2312"/>
                <w:b/>
                <w:color w:val="000000"/>
                <w:sz w:val="20"/>
                <w:szCs w:val="20"/>
                <w:lang w:val="en-US" w:eastAsia="zh-CN"/>
              </w:rPr>
              <w:t>与</w:t>
            </w:r>
            <w:r>
              <w:rPr>
                <w:rFonts w:hint="eastAsia" w:ascii="宋体" w:hAnsi="宋体"/>
                <w:szCs w:val="21"/>
              </w:rPr>
              <w:t>上级主管部门的沟通，目前沟通都较为顺畅</w:t>
            </w:r>
            <w:r>
              <w:rPr>
                <w:rFonts w:hint="eastAsia" w:ascii="宋体" w:hAnsi="宋体"/>
                <w:szCs w:val="21"/>
                <w:lang w:eastAsia="zh-CN"/>
              </w:rPr>
              <w:t>。</w:t>
            </w:r>
          </w:p>
          <w:p>
            <w:pPr>
              <w:keepNext w:val="0"/>
              <w:keepLines w:val="0"/>
              <w:pageBreakBefore w:val="0"/>
              <w:kinsoku/>
              <w:wordWrap/>
              <w:overflowPunct/>
              <w:topLinePunct w:val="0"/>
              <w:bidi w:val="0"/>
              <w:snapToGrid/>
              <w:spacing w:line="360" w:lineRule="exact"/>
              <w:textAlignment w:val="auto"/>
              <w:rPr>
                <w:rFonts w:hint="eastAsia" w:ascii="楷体_GB2312" w:eastAsia="宋体"/>
                <w:b/>
                <w:color w:val="000000"/>
                <w:sz w:val="20"/>
                <w:szCs w:val="20"/>
                <w:lang w:eastAsia="zh-CN"/>
              </w:rPr>
            </w:pPr>
            <w:r>
              <w:rPr>
                <w:rFonts w:hint="eastAsia" w:ascii="楷体_GB2312" w:eastAsia="楷体_GB2312"/>
                <w:b/>
                <w:color w:val="000000"/>
                <w:sz w:val="20"/>
                <w:szCs w:val="20"/>
              </w:rPr>
              <w:t>重要环境因素信息对外交流情况（EMS填写）：</w:t>
            </w:r>
            <w:r>
              <w:rPr>
                <w:rFonts w:hint="eastAsia" w:ascii="宋体" w:hAnsi="宋体"/>
                <w:szCs w:val="21"/>
              </w:rPr>
              <w:t>外部沟通：文件、电话、面谈、传真等，主要与顾客、供方、上级主管部门的沟通，目前各项沟通都较为顺畅</w:t>
            </w:r>
            <w:r>
              <w:rPr>
                <w:rFonts w:hint="eastAsia" w:ascii="宋体" w:hAnsi="宋体"/>
                <w:szCs w:val="21"/>
                <w:lang w:eastAsia="zh-CN"/>
              </w:rPr>
              <w:t>。</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sz w:val="20"/>
                <w:szCs w:val="20"/>
              </w:rPr>
            </w:pPr>
            <w:r>
              <w:rPr>
                <w:rFonts w:hint="eastAsia" w:ascii="楷体_GB2312" w:eastAsia="楷体_GB2312"/>
                <w:b/>
                <w:color w:val="000000"/>
                <w:sz w:val="20"/>
                <w:szCs w:val="20"/>
              </w:rPr>
              <w:t>OHSMS事务代表协商和交流的情况（OHSMS填写）：</w:t>
            </w:r>
            <w:r>
              <w:rPr>
                <w:rFonts w:hint="eastAsia"/>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1"/>
                <w:szCs w:val="21"/>
                <w:lang w:eastAsia="zh-CN"/>
              </w:rPr>
              <w:t>。</w:t>
            </w:r>
          </w:p>
          <w:p>
            <w:pPr>
              <w:spacing w:line="240" w:lineRule="exact"/>
              <w:rPr>
                <w:rFonts w:ascii="楷体_GB2312" w:eastAsia="楷体_GB2312"/>
                <w:b/>
                <w:color w:val="000000" w:themeColor="text1"/>
                <w:szCs w:val="21"/>
              </w:rPr>
            </w:pPr>
            <w:r>
              <w:rPr>
                <w:rFonts w:hint="eastAsia" w:ascii="楷体_GB2312" w:eastAsia="楷体_GB2312"/>
                <w:b/>
                <w:color w:val="000000"/>
                <w:szCs w:val="21"/>
              </w:rPr>
              <w:t>与相关方协商的情况（OHSMS填写）：</w:t>
            </w:r>
            <w:r>
              <w:rPr>
                <w:rFonts w:hint="eastAsia" w:ascii="Times New Roman" w:hAnsi="Times New Roman" w:cs="Times New Roman"/>
                <w:sz w:val="21"/>
                <w:szCs w:val="21"/>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pStyle w:val="19"/>
              <w:keepNext w:val="0"/>
              <w:keepLines w:val="0"/>
              <w:pageBreakBefore w:val="0"/>
              <w:widowControl w:val="0"/>
              <w:kinsoku/>
              <w:wordWrap/>
              <w:overflowPunct/>
              <w:topLinePunct w:val="0"/>
              <w:autoSpaceDE w:val="0"/>
              <w:autoSpaceDN w:val="0"/>
              <w:bidi w:val="0"/>
              <w:adjustRightInd w:val="0"/>
              <w:snapToGrid/>
              <w:spacing w:line="360" w:lineRule="exact"/>
              <w:ind w:right="0" w:rightChars="0" w:firstLine="420" w:firstLineChars="200"/>
              <w:textAlignment w:val="auto"/>
              <w:outlineLvl w:val="9"/>
              <w:rPr>
                <w:rFonts w:hint="default" w:ascii="宋体" w:hAnsi="宋体"/>
                <w:color w:val="auto"/>
                <w:kern w:val="2"/>
                <w:sz w:val="21"/>
                <w:szCs w:val="21"/>
                <w:lang w:val="en-US" w:bidi="ar-SA"/>
              </w:rPr>
            </w:pPr>
            <w:r>
              <w:rPr>
                <w:rFonts w:hint="default" w:ascii="Times New Roman" w:hAnsi="Times New Roman" w:cs="Times New Roman"/>
                <w:sz w:val="21"/>
                <w:szCs w:val="21"/>
                <w:lang w:val="en-US" w:eastAsia="zh-CN"/>
              </w:rPr>
              <w:t>与顾客有关过程的控制</w:t>
            </w:r>
            <w:r>
              <w:rPr>
                <w:rFonts w:hint="default" w:ascii="Times New Roman" w:hAnsi="Times New Roman" w:cs="Times New Roman"/>
                <w:sz w:val="21"/>
                <w:szCs w:val="21"/>
              </w:rPr>
              <w:t>：主要根据顾客提出的产品</w:t>
            </w:r>
            <w:r>
              <w:rPr>
                <w:rFonts w:hint="default" w:ascii="Times New Roman" w:hAnsi="Times New Roman" w:cs="Times New Roman"/>
                <w:sz w:val="21"/>
                <w:szCs w:val="21"/>
                <w:lang w:val="en-US" w:eastAsia="zh-CN"/>
              </w:rPr>
              <w:t>和服务</w:t>
            </w:r>
            <w:r>
              <w:rPr>
                <w:rFonts w:hint="default" w:ascii="Times New Roman" w:hAnsi="Times New Roman" w:cs="Times New Roman"/>
                <w:sz w:val="21"/>
                <w:szCs w:val="21"/>
              </w:rPr>
              <w:t>要求/标书中明示要求等进行控制，要求进行合同评审确保能满足客户需求，</w:t>
            </w:r>
            <w:r>
              <w:rPr>
                <w:rFonts w:hint="default" w:ascii="Times New Roman" w:hAnsi="Times New Roman" w:cs="Times New Roman"/>
                <w:sz w:val="21"/>
                <w:szCs w:val="21"/>
                <w:lang w:val="en-US" w:eastAsia="zh-CN"/>
              </w:rPr>
              <w:t>经查合同评审记录，</w:t>
            </w:r>
            <w:r>
              <w:rPr>
                <w:rFonts w:hint="eastAsia" w:ascii="Times New Roman" w:hAnsi="Times New Roman" w:cs="Times New Roman"/>
                <w:sz w:val="21"/>
                <w:szCs w:val="21"/>
                <w:lang w:val="en-US" w:eastAsia="zh-CN"/>
              </w:rPr>
              <w:t>符合要求。</w:t>
            </w:r>
          </w:p>
          <w:p>
            <w:pPr>
              <w:pStyle w:val="19"/>
              <w:keepNext w:val="0"/>
              <w:keepLines w:val="0"/>
              <w:pageBreakBefore w:val="0"/>
              <w:widowControl w:val="0"/>
              <w:kinsoku/>
              <w:wordWrap/>
              <w:overflowPunct/>
              <w:topLinePunct w:val="0"/>
              <w:autoSpaceDE w:val="0"/>
              <w:autoSpaceDN w:val="0"/>
              <w:bidi w:val="0"/>
              <w:adjustRightInd w:val="0"/>
              <w:snapToGrid/>
              <w:spacing w:line="360" w:lineRule="exact"/>
              <w:ind w:right="0" w:rightChars="0" w:firstLine="420" w:firstLineChars="200"/>
              <w:textAlignment w:val="auto"/>
              <w:outlineLvl w:val="9"/>
              <w:rPr>
                <w:rFonts w:hint="eastAsia" w:ascii="宋体" w:hAnsi="宋体" w:eastAsia="宋体" w:cs="Times New Roman"/>
                <w:color w:val="auto"/>
                <w:kern w:val="2"/>
                <w:sz w:val="21"/>
                <w:szCs w:val="21"/>
                <w:lang w:val="en-GB" w:eastAsia="zh-CN" w:bidi="ar-SA"/>
              </w:rPr>
            </w:pPr>
            <w:r>
              <w:rPr>
                <w:rFonts w:hint="eastAsia" w:ascii="宋体" w:hAnsi="宋体"/>
                <w:color w:val="auto"/>
                <w:kern w:val="2"/>
                <w:sz w:val="21"/>
                <w:szCs w:val="21"/>
                <w:lang w:bidi="ar-SA"/>
              </w:rPr>
              <w:t>采购过程控制：首先编制</w:t>
            </w:r>
            <w:r>
              <w:rPr>
                <w:rFonts w:hint="eastAsia" w:ascii="宋体" w:hAnsi="宋体"/>
                <w:color w:val="auto"/>
                <w:kern w:val="2"/>
                <w:sz w:val="21"/>
                <w:szCs w:val="21"/>
                <w:lang w:eastAsia="zh-CN" w:bidi="ar-SA"/>
              </w:rPr>
              <w:t>进货</w:t>
            </w:r>
            <w:r>
              <w:rPr>
                <w:rFonts w:hint="eastAsia" w:ascii="宋体" w:hAnsi="宋体"/>
                <w:color w:val="auto"/>
                <w:kern w:val="2"/>
                <w:sz w:val="21"/>
                <w:szCs w:val="21"/>
                <w:lang w:bidi="ar-SA"/>
              </w:rPr>
              <w:t>检验规程等作业文件规定采购产品质量要求；其次对采购供方进行了评价，保证采购产品的质量符</w:t>
            </w:r>
            <w:r>
              <w:rPr>
                <w:rFonts w:hint="eastAsia" w:ascii="宋体" w:hAnsi="宋体" w:eastAsia="宋体" w:cs="Times New Roman"/>
                <w:color w:val="auto"/>
                <w:kern w:val="2"/>
                <w:sz w:val="21"/>
                <w:szCs w:val="21"/>
                <w:lang w:bidi="ar-SA"/>
              </w:rPr>
              <w:t>合公司要求</w:t>
            </w:r>
            <w:r>
              <w:rPr>
                <w:rFonts w:hint="eastAsia" w:ascii="宋体" w:hAnsi="宋体" w:eastAsia="宋体" w:cs="Times New Roman"/>
                <w:color w:val="auto"/>
                <w:kern w:val="2"/>
                <w:sz w:val="21"/>
                <w:szCs w:val="21"/>
                <w:lang w:eastAsia="zh-CN" w:bidi="ar-SA"/>
              </w:rPr>
              <w:t>，</w:t>
            </w:r>
            <w:r>
              <w:rPr>
                <w:rFonts w:hint="eastAsia" w:ascii="宋体" w:hAnsi="宋体" w:eastAsia="宋体" w:cs="Times New Roman"/>
                <w:color w:val="auto"/>
                <w:kern w:val="2"/>
                <w:sz w:val="21"/>
                <w:szCs w:val="21"/>
                <w:lang w:val="en-US" w:eastAsia="zh-CN" w:bidi="ar-SA"/>
              </w:rPr>
              <w:t>未提供对</w:t>
            </w:r>
            <w:r>
              <w:rPr>
                <w:rFonts w:hint="eastAsia" w:ascii="宋体" w:hAnsi="宋体" w:cs="Times New Roman"/>
                <w:color w:val="auto"/>
                <w:kern w:val="2"/>
                <w:sz w:val="21"/>
                <w:szCs w:val="21"/>
                <w:lang w:val="en-US" w:eastAsia="zh-CN" w:bidi="ar-SA"/>
              </w:rPr>
              <w:t>部分供应商</w:t>
            </w:r>
            <w:r>
              <w:rPr>
                <w:rFonts w:hint="eastAsia" w:ascii="宋体" w:hAnsi="宋体" w:eastAsia="宋体" w:cs="Times New Roman"/>
                <w:color w:val="auto"/>
                <w:kern w:val="2"/>
                <w:sz w:val="21"/>
                <w:szCs w:val="21"/>
                <w:lang w:val="en-US" w:eastAsia="zh-CN" w:bidi="ar-SA"/>
              </w:rPr>
              <w:t>进行评价的证据，已开具不符合报告，要求限期整改</w:t>
            </w:r>
            <w:r>
              <w:rPr>
                <w:rFonts w:hint="eastAsia" w:ascii="宋体" w:hAnsi="宋体" w:eastAsia="宋体" w:cs="Times New Roman"/>
                <w:color w:val="auto"/>
                <w:kern w:val="2"/>
                <w:sz w:val="21"/>
                <w:szCs w:val="21"/>
                <w:lang w:eastAsia="zh-CN" w:bidi="ar-SA"/>
              </w:rPr>
              <w:t>。</w:t>
            </w:r>
          </w:p>
          <w:p>
            <w:pPr>
              <w:pStyle w:val="19"/>
              <w:keepNext w:val="0"/>
              <w:keepLines w:val="0"/>
              <w:pageBreakBefore w:val="0"/>
              <w:widowControl w:val="0"/>
              <w:kinsoku/>
              <w:wordWrap/>
              <w:overflowPunct/>
              <w:topLinePunct w:val="0"/>
              <w:autoSpaceDE w:val="0"/>
              <w:autoSpaceDN w:val="0"/>
              <w:bidi w:val="0"/>
              <w:adjustRightInd w:val="0"/>
              <w:snapToGrid/>
              <w:spacing w:line="360" w:lineRule="exact"/>
              <w:ind w:right="0" w:rightChars="0" w:firstLine="420" w:firstLineChars="200"/>
              <w:textAlignment w:val="auto"/>
              <w:outlineLvl w:val="9"/>
              <w:rPr>
                <w:rFonts w:hint="default" w:ascii="宋体" w:hAnsi="宋体"/>
                <w:color w:val="auto"/>
                <w:kern w:val="2"/>
                <w:sz w:val="21"/>
                <w:szCs w:val="21"/>
                <w:lang w:val="en-US" w:bidi="ar-SA"/>
              </w:rPr>
            </w:pPr>
            <w:r>
              <w:rPr>
                <w:rFonts w:hint="eastAsia"/>
                <w:sz w:val="21"/>
                <w:szCs w:val="21"/>
              </w:rPr>
              <w:t>服务提供：</w:t>
            </w:r>
            <w:r>
              <w:rPr>
                <w:rFonts w:hint="eastAsia" w:ascii="宋体" w:hAnsi="宋体"/>
                <w:sz w:val="21"/>
                <w:szCs w:val="21"/>
                <w:lang w:val="en-GB"/>
              </w:rPr>
              <w:t>依据产品标准</w:t>
            </w:r>
            <w:r>
              <w:rPr>
                <w:rFonts w:hint="eastAsia"/>
                <w:sz w:val="21"/>
                <w:szCs w:val="21"/>
              </w:rPr>
              <w:t>，编制了《作业指导书》。</w:t>
            </w:r>
            <w:r>
              <w:rPr>
                <w:rFonts w:hint="eastAsia" w:ascii="宋体" w:hAnsi="宋体"/>
                <w:sz w:val="21"/>
                <w:szCs w:val="21"/>
                <w:lang w:val="en-GB"/>
              </w:rPr>
              <w:t>现场查看记录，均按照要求进行操作</w:t>
            </w:r>
            <w:r>
              <w:rPr>
                <w:rFonts w:hint="eastAsia"/>
                <w:sz w:val="21"/>
                <w:szCs w:val="21"/>
              </w:rPr>
              <w:t>，目前服务过程控制情况较好</w:t>
            </w:r>
            <w:r>
              <w:rPr>
                <w:rFonts w:hint="eastAsia" w:ascii="宋体" w:hAnsi="宋体"/>
                <w:color w:val="auto"/>
                <w:kern w:val="2"/>
                <w:sz w:val="21"/>
                <w:szCs w:val="21"/>
                <w:lang w:val="en-US" w:eastAsia="zh-CN" w:bidi="ar-SA"/>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tabs>
                <w:tab w:val="left" w:pos="540"/>
              </w:tabs>
              <w:spacing w:line="240" w:lineRule="exact"/>
              <w:rPr>
                <w:rFonts w:hint="eastAsia" w:ascii="宋体" w:hAnsi="宋体"/>
                <w:szCs w:val="21"/>
                <w:lang w:val="en-US" w:eastAsia="zh-CN"/>
              </w:rPr>
            </w:pPr>
            <w:r>
              <w:rPr>
                <w:rFonts w:hint="eastAsia" w:ascii="宋体" w:hAnsi="宋体"/>
                <w:szCs w:val="21"/>
                <w:lang w:val="en-US" w:eastAsia="zh-CN"/>
              </w:rPr>
              <w:t>主要满足：</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YD/T 3436.4-2019《架空通信线路配件 第4部分：抱箍类、光缆预留支架》</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2020-1-1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YD/T 3436.3-2018《架空通信线路配件 第3部分：挂钩类》</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2019-04-01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YD/T 3436.2-2018《架空通信线路配件 第2部分：带槽夹板类》</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2019-04-01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YD/T 3436.1-2018《架空通信线路配件 第1部分：通用技术条件》</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2019-04-01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YB/T5004-2012《镀锌钢绞线》</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2013-3-1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YD/T1313-2008《宽带接入用综合配线箱》</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2008-11-1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YD/T 841.1-2008  地下通信管道用塑料管 第1部分：总则 </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2008-7-1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YD/T 841.2-2008  地下通信管道用塑料管 第2部分：实壁管</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2008-7-1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YD/T 841.3-2016  地下通信管道用塑料管 第3部分：双壁波纹管 </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2016-10-1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YD/T 841..4-2016  地下通信管道用塑料管 第4部分：硅芯管</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2016-7-1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YD/T 841.5-2016  地下通信管道用塑料管 第5部分：梅花管 </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2016-10-1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YD/T 841.6-2017  地下通信管道用塑料管 第6部分：栅格管</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2018-1-1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YD/T 841.7-2017  地下通信管道用塑料管 第7部分：蜂窝管 </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2018-1-1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YD/T 841.8-2014  地下通信管道用塑料管 第8部分：塑料合金复合型管</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2014-10-14</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GB/T 8162-2018结构用无缝钢管</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2019-02-01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GB/T23858-2009《检查井盖》</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2010-2-1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YD/T 2150-2020光缆分纤箱</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2020-10-01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YB/T 4163-2016  铁塔用热轧角钢</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2017-4-1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DL/T 1899.1-2018  电力架空光缆接头盒 第1部分：光纤复合架空地线接头盒 </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2019-5-1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YD/T 3536-2019  数字通信用100Ω平衡对绞跳线 </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2020-1-1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LY/T 1507-2018  木杆 </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2018-6-1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LY/T 1294-2012  直接用原木 电杆 </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2012-7-1</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DB13/T 2950-2019  高速公路夯实水泥土桩复合地基技术规范 </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2019-4-25</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DB42/T 1501-2019  承插盘式球墨铸铁检查井盖技术标准</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2019-5-28</w:t>
            </w:r>
          </w:p>
          <w:p>
            <w:pPr>
              <w:tabs>
                <w:tab w:val="left" w:pos="540"/>
              </w:tabs>
              <w:spacing w:line="2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CJ/T 327-2010  球墨铸铁复合树脂检查井盖 </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2010-8-1</w:t>
            </w:r>
          </w:p>
          <w:p>
            <w:pPr>
              <w:spacing w:line="240" w:lineRule="exact"/>
              <w:rPr>
                <w:b/>
                <w:color w:val="000000" w:themeColor="text1"/>
                <w:sz w:val="20"/>
                <w:szCs w:val="20"/>
              </w:rPr>
            </w:pPr>
            <w:r>
              <w:rPr>
                <w:rFonts w:hint="eastAsia" w:ascii="宋体" w:hAnsi="宋体" w:eastAsia="宋体" w:cs="宋体"/>
                <w:sz w:val="21"/>
                <w:szCs w:val="21"/>
                <w:highlight w:val="none"/>
                <w:lang w:val="en-US" w:eastAsia="zh-CN"/>
              </w:rPr>
              <w:t xml:space="preserve">DB35/T 1537-2015  可调式防沉降球墨铸铁检查井盖 </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2016-3-28等</w:t>
            </w: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宋体" w:hAnsi="宋体"/>
                <w:szCs w:val="21"/>
              </w:rPr>
              <w:t>编制《不合格品控制程序》，其规定了不合格品的识别、隔离、标识、评审及处置方面的要求。公司对采购的不合格产品直接退货</w:t>
            </w:r>
            <w:r>
              <w:rPr>
                <w:rFonts w:hint="eastAsia" w:ascii="宋体" w:hAnsi="宋体"/>
                <w:szCs w:val="21"/>
                <w:lang w:eastAsia="zh-CN"/>
              </w:rPr>
              <w:t>；</w:t>
            </w:r>
            <w:r>
              <w:rPr>
                <w:rFonts w:hint="eastAsia"/>
                <w:sz w:val="21"/>
                <w:szCs w:val="21"/>
              </w:rPr>
              <w:t>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val="0"/>
                <w:bCs w:val="0"/>
                <w:sz w:val="21"/>
                <w:szCs w:val="21"/>
                <w:lang w:val="en-US" w:eastAsia="zh-CN"/>
              </w:rPr>
              <w:t>编</w:t>
            </w:r>
            <w:r>
              <w:rPr>
                <w:rFonts w:hint="eastAsia"/>
                <w:b w:val="0"/>
                <w:bCs w:val="0"/>
                <w:sz w:val="21"/>
                <w:szCs w:val="21"/>
                <w:lang w:val="en-GB"/>
              </w:rPr>
              <w:t>制</w:t>
            </w:r>
            <w:r>
              <w:rPr>
                <w:rFonts w:hint="eastAsia" w:ascii="宋体" w:hAnsi="宋体" w:cs="宋体"/>
                <w:b w:val="0"/>
                <w:bCs w:val="0"/>
                <w:color w:val="000000"/>
                <w:szCs w:val="21"/>
                <w:lang w:val="zh-CN"/>
              </w:rPr>
              <w:t>环境因素识别与评价控制程序</w:t>
            </w:r>
            <w:r>
              <w:rPr>
                <w:rFonts w:hint="eastAsia"/>
                <w:b w:val="0"/>
                <w:bCs w:val="0"/>
                <w:sz w:val="21"/>
                <w:szCs w:val="21"/>
              </w:rPr>
              <w:t>、对相关方施加影响控制程序、办公室安全管理制度等，针对各部门所负责的工作，分别对环境运行过程进行控制</w:t>
            </w:r>
            <w:r>
              <w:rPr>
                <w:rFonts w:hint="eastAsia"/>
                <w:b w:val="0"/>
                <w:bCs w:val="0"/>
                <w:sz w:val="21"/>
                <w:szCs w:val="21"/>
                <w:lang w:val="en-GB"/>
              </w:rPr>
              <w:t>，</w:t>
            </w:r>
            <w:r>
              <w:rPr>
                <w:rFonts w:hint="eastAsia"/>
                <w:b w:val="0"/>
                <w:bCs w:val="0"/>
                <w:sz w:val="21"/>
                <w:szCs w:val="21"/>
              </w:rPr>
              <w:t>涉及有固废处置、、火灾、相关方施加影响等。办公区域干净整洁</w:t>
            </w:r>
            <w:r>
              <w:rPr>
                <w:rFonts w:hint="eastAsia"/>
                <w:b w:val="0"/>
                <w:bCs w:val="0"/>
                <w:sz w:val="21"/>
                <w:szCs w:val="21"/>
                <w:lang w:eastAsia="zh-CN"/>
              </w:rPr>
              <w:t>，</w:t>
            </w:r>
            <w:r>
              <w:rPr>
                <w:rFonts w:hint="eastAsia"/>
                <w:b w:val="0"/>
                <w:bCs w:val="0"/>
                <w:sz w:val="21"/>
                <w:szCs w:val="21"/>
                <w:lang w:val="en-US" w:eastAsia="zh-CN"/>
              </w:rPr>
              <w:t>配置</w:t>
            </w:r>
            <w:r>
              <w:rPr>
                <w:rFonts w:hint="eastAsia"/>
                <w:b w:val="0"/>
                <w:bCs w:val="0"/>
                <w:sz w:val="21"/>
                <w:szCs w:val="21"/>
              </w:rPr>
              <w:t>灭火器等消防设施</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6"/>
              </w:numPr>
              <w:spacing w:line="240" w:lineRule="exact"/>
              <w:rPr>
                <w:rFonts w:hint="eastAsia"/>
                <w:b/>
                <w:color w:val="000000" w:themeColor="text1"/>
                <w:sz w:val="20"/>
                <w:szCs w:val="20"/>
              </w:rPr>
            </w:pPr>
            <w:r>
              <w:rPr>
                <w:rFonts w:hint="eastAsia"/>
                <w:b/>
                <w:color w:val="000000" w:themeColor="text1"/>
                <w:sz w:val="20"/>
                <w:szCs w:val="20"/>
              </w:rPr>
              <w:t>OHSMS组织对不可接受风险实施控制的结果</w:t>
            </w:r>
          </w:p>
          <w:p>
            <w:pPr>
              <w:numPr>
                <w:ilvl w:val="0"/>
                <w:numId w:val="6"/>
              </w:numPr>
              <w:spacing w:line="240" w:lineRule="exact"/>
              <w:rPr>
                <w:b/>
                <w:color w:val="000000" w:themeColor="text1"/>
                <w:sz w:val="20"/>
                <w:szCs w:val="20"/>
              </w:rPr>
            </w:pPr>
            <w:r>
              <w:rPr>
                <w:rFonts w:hint="eastAsia"/>
                <w:b w:val="0"/>
                <w:bCs w:val="0"/>
                <w:sz w:val="21"/>
                <w:szCs w:val="21"/>
                <w:lang w:val="en-GB"/>
              </w:rPr>
              <w:t>编制</w:t>
            </w:r>
            <w:r>
              <w:rPr>
                <w:rFonts w:hint="eastAsia" w:ascii="宋体" w:hAnsi="宋体" w:cs="宋体"/>
                <w:b w:val="0"/>
                <w:bCs w:val="0"/>
                <w:color w:val="000000"/>
                <w:szCs w:val="21"/>
                <w:lang w:val="zh-CN"/>
              </w:rPr>
              <w:t>危险源辩识与风险评价控制程序、</w:t>
            </w:r>
            <w:r>
              <w:rPr>
                <w:rFonts w:hint="eastAsia"/>
                <w:b w:val="0"/>
                <w:bCs w:val="0"/>
                <w:sz w:val="21"/>
                <w:szCs w:val="21"/>
                <w:lang w:val="en-GB"/>
              </w:rPr>
              <w:t>对相关方施加影响控制程序、办公室安全管理制度等，针对各部门所负责的工作，对危险源进行控制</w:t>
            </w:r>
            <w:r>
              <w:rPr>
                <w:rFonts w:hint="eastAsia"/>
                <w:b w:val="0"/>
                <w:bCs w:val="0"/>
                <w:sz w:val="21"/>
                <w:szCs w:val="21"/>
              </w:rPr>
              <w:t>涉及有</w:t>
            </w:r>
            <w:r>
              <w:rPr>
                <w:rFonts w:hint="eastAsia"/>
                <w:b w:val="0"/>
                <w:bCs w:val="0"/>
                <w:sz w:val="21"/>
                <w:szCs w:val="21"/>
                <w:lang w:val="en-GB"/>
              </w:rPr>
              <w:t>火灾、触电、</w:t>
            </w:r>
            <w:r>
              <w:rPr>
                <w:rFonts w:hint="eastAsia"/>
                <w:b w:val="0"/>
                <w:bCs w:val="0"/>
                <w:sz w:val="21"/>
                <w:szCs w:val="21"/>
                <w:lang w:val="en-US" w:eastAsia="zh-CN"/>
              </w:rPr>
              <w:t>意外伤害、</w:t>
            </w:r>
            <w:r>
              <w:rPr>
                <w:rFonts w:hint="eastAsia"/>
                <w:b w:val="0"/>
                <w:bCs w:val="0"/>
                <w:sz w:val="21"/>
                <w:szCs w:val="21"/>
              </w:rPr>
              <w:t>相关方施加影响等进行控制，具体措施有对员工进行安全教育，</w:t>
            </w:r>
            <w:r>
              <w:rPr>
                <w:rFonts w:hint="eastAsia"/>
                <w:b w:val="0"/>
                <w:bCs w:val="0"/>
                <w:sz w:val="21"/>
                <w:szCs w:val="21"/>
                <w:lang w:val="en-US" w:eastAsia="zh-CN"/>
              </w:rPr>
              <w:t>缴纳社保及意外保险，</w:t>
            </w:r>
            <w:r>
              <w:rPr>
                <w:rFonts w:hint="eastAsia"/>
                <w:b w:val="0"/>
                <w:bCs w:val="0"/>
                <w:sz w:val="21"/>
                <w:szCs w:val="21"/>
              </w:rPr>
              <w:t>对相关方进行告知，办公区域干净整洁</w:t>
            </w:r>
            <w:r>
              <w:rPr>
                <w:rFonts w:hint="eastAsia"/>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执行《应急响应管理程序》，开展了相关工作，结果如下：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1.编制了《火灾应急预案》、《工伤应急预案》、《重伤应急预案》、《消防应急预案》。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2.今年3月10日、5月14日，该部门李永杰分别组织进行了消防演练、重伤演练，2次演练中，公司所有人员均参加。演练效果评价结论为：效果良好、达到预期目的。</w:t>
            </w:r>
          </w:p>
          <w:p>
            <w:pPr>
              <w:spacing w:line="240" w:lineRule="exact"/>
              <w:rPr>
                <w:b/>
                <w:color w:val="000000" w:themeColor="text1"/>
                <w:spacing w:val="-4"/>
                <w:sz w:val="20"/>
                <w:szCs w:val="20"/>
              </w:rPr>
            </w:pPr>
            <w:r>
              <w:rPr>
                <w:rFonts w:hint="eastAsia" w:ascii="宋体" w:hAnsi="宋体" w:eastAsia="宋体" w:cs="宋体"/>
                <w:sz w:val="21"/>
                <w:szCs w:val="21"/>
                <w:highlight w:val="none"/>
                <w:lang w:val="en-US" w:eastAsia="zh-CN"/>
              </w:rPr>
              <w:t>3.但未对预案本身的适用性进行评价，已在审核中沟通。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eastAsia="宋体"/>
                <w:b/>
                <w:color w:val="000000" w:themeColor="text1"/>
                <w:sz w:val="20"/>
                <w:szCs w:val="20"/>
                <w:lang w:val="en-US" w:eastAsia="zh-CN"/>
              </w:rPr>
            </w:pPr>
            <w:r>
              <w:rPr>
                <w:rFonts w:hint="eastAsia"/>
                <w:b/>
                <w:color w:val="000000" w:themeColor="text1"/>
                <w:sz w:val="20"/>
                <w:szCs w:val="20"/>
              </w:rPr>
              <w:t xml:space="preserve">10. 对特种设备的维护，检定; </w:t>
            </w:r>
            <w:r>
              <w:rPr>
                <w:rFonts w:hint="eastAsia"/>
                <w:b/>
                <w:color w:val="000000" w:themeColor="text1"/>
                <w:sz w:val="20"/>
                <w:szCs w:val="20"/>
                <w:lang w:val="en-US" w:eastAsia="zh-CN"/>
              </w:rPr>
              <w:t>无</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eastAsia="宋体"/>
                <w:b/>
                <w:color w:val="000000" w:themeColor="text1"/>
                <w:sz w:val="20"/>
                <w:szCs w:val="20"/>
                <w:lang w:val="en-US" w:eastAsia="zh-CN"/>
              </w:rPr>
            </w:pPr>
            <w:r>
              <w:rPr>
                <w:rFonts w:hint="eastAsia"/>
                <w:b/>
                <w:color w:val="000000" w:themeColor="text1"/>
                <w:sz w:val="20"/>
                <w:szCs w:val="20"/>
              </w:rPr>
              <w:t>11 .对危险化学品销售、使用、储存、运输处置，规定的执行力度(必要时);</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5" w:firstLineChars="50"/>
              <w:rPr>
                <w:rFonts w:hint="eastAsia" w:eastAsia="宋体"/>
                <w:b/>
                <w:color w:val="000000" w:themeColor="text1"/>
                <w:sz w:val="20"/>
                <w:szCs w:val="20"/>
                <w:lang w:eastAsia="zh-CN"/>
              </w:rPr>
            </w:pPr>
            <w:r>
              <w:rPr>
                <w:rFonts w:hint="eastAsia"/>
                <w:sz w:val="21"/>
                <w:szCs w:val="21"/>
              </w:rPr>
              <w:t>提供了文件化可分解的目标、指标，经查问分解到各部门，经查阅建立的管理目标符合标准要求，在方针的框架下展开，每季度考核一次，查看</w:t>
            </w:r>
            <w:r>
              <w:rPr>
                <w:rFonts w:hint="eastAsia"/>
                <w:sz w:val="21"/>
                <w:szCs w:val="21"/>
                <w:lang w:val="en-US" w:eastAsia="zh-CN"/>
              </w:rPr>
              <w:t>今</w:t>
            </w:r>
            <w:r>
              <w:rPr>
                <w:rFonts w:hint="eastAsia"/>
                <w:sz w:val="21"/>
                <w:szCs w:val="21"/>
              </w:rPr>
              <w:t>年</w:t>
            </w:r>
            <w:r>
              <w:rPr>
                <w:rFonts w:hint="eastAsia"/>
                <w:sz w:val="21"/>
                <w:szCs w:val="21"/>
                <w:lang w:val="en-US" w:eastAsia="zh-CN"/>
              </w:rPr>
              <w:t>1~6月</w:t>
            </w:r>
            <w:r>
              <w:rPr>
                <w:rFonts w:hint="eastAsia"/>
                <w:sz w:val="21"/>
                <w:szCs w:val="21"/>
              </w:rPr>
              <w:t>考核结果，经查目标完成。符合要求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0"/>
              </w:numPr>
              <w:spacing w:line="240" w:lineRule="exact"/>
              <w:rPr>
                <w:rFonts w:hint="eastAsia"/>
                <w:b/>
                <w:color w:val="000000" w:themeColor="text1"/>
                <w:sz w:val="20"/>
                <w:szCs w:val="20"/>
                <w:highlight w:val="yellow"/>
                <w:lang w:eastAsia="zh-CN"/>
              </w:rPr>
            </w:pPr>
            <w:r>
              <w:rPr>
                <w:rFonts w:hint="eastAsia"/>
                <w:b/>
                <w:color w:val="000000" w:themeColor="text1"/>
                <w:sz w:val="20"/>
                <w:szCs w:val="20"/>
                <w:highlight w:val="none"/>
                <w:lang w:val="en-US" w:eastAsia="zh-CN"/>
              </w:rPr>
              <w:t>2.</w:t>
            </w:r>
            <w:r>
              <w:rPr>
                <w:rFonts w:hint="eastAsia"/>
                <w:b/>
                <w:color w:val="000000" w:themeColor="text1"/>
                <w:sz w:val="20"/>
                <w:szCs w:val="20"/>
                <w:highlight w:val="none"/>
              </w:rPr>
              <w:t>顾客满意</w:t>
            </w:r>
            <w:r>
              <w:rPr>
                <w:rFonts w:hint="eastAsia"/>
                <w:b/>
                <w:color w:val="000000" w:themeColor="text1"/>
                <w:sz w:val="20"/>
                <w:szCs w:val="20"/>
                <w:highlight w:val="none"/>
                <w:lang w:eastAsia="zh-CN"/>
              </w:rPr>
              <w:t>：</w:t>
            </w:r>
          </w:p>
          <w:p>
            <w:pPr>
              <w:numPr>
                <w:ilvl w:val="0"/>
                <w:numId w:val="0"/>
              </w:numPr>
              <w:spacing w:line="240" w:lineRule="exact"/>
              <w:ind w:firstLine="420" w:firstLineChars="200"/>
              <w:rPr>
                <w:b/>
                <w:color w:val="000000" w:themeColor="text1"/>
                <w:sz w:val="20"/>
                <w:szCs w:val="20"/>
              </w:rPr>
            </w:pPr>
            <w:r>
              <w:rPr>
                <w:rFonts w:hint="eastAsia" w:ascii="Times New Roman" w:hAnsi="Times New Roman" w:cs="Times New Roman"/>
                <w:sz w:val="21"/>
                <w:szCs w:val="21"/>
                <w:lang w:val="zh-CN"/>
              </w:rPr>
              <w:t>公司通过电话，走访等形式，接受顾客反馈，了解顾客顾客满意度信息，发放调查表对顾客满意度进行定量测量。提供“顾客满意程度调查表”，调查主要内容：</w:t>
            </w:r>
            <w:r>
              <w:rPr>
                <w:rFonts w:hint="eastAsia" w:ascii="Times New Roman" w:hAnsi="Times New Roman" w:cs="Times New Roman"/>
                <w:sz w:val="21"/>
                <w:szCs w:val="21"/>
              </w:rPr>
              <w:t>质量、价格、外观、服务等方面的满意程度</w:t>
            </w:r>
            <w:r>
              <w:rPr>
                <w:rFonts w:hint="eastAsia" w:ascii="Times New Roman" w:hAnsi="Times New Roman" w:cs="Times New Roman"/>
                <w:sz w:val="21"/>
                <w:szCs w:val="21"/>
                <w:lang w:val="zh-CN"/>
              </w:rPr>
              <w:t>等，</w:t>
            </w:r>
            <w:r>
              <w:rPr>
                <w:rFonts w:hint="eastAsia" w:ascii="Times New Roman" w:hAnsi="Times New Roman" w:cs="Times New Roman"/>
                <w:sz w:val="21"/>
                <w:szCs w:val="21"/>
              </w:rPr>
              <w:t>各项得分求平均值得最终结果</w:t>
            </w:r>
            <w:r>
              <w:rPr>
                <w:rFonts w:hint="eastAsia" w:ascii="Times New Roman" w:hAnsi="Times New Roman" w:cs="Times New Roman"/>
                <w:sz w:val="21"/>
                <w:szCs w:val="21"/>
                <w:lang w:val="zh-CN"/>
              </w:rPr>
              <w:t>。</w:t>
            </w:r>
            <w:r>
              <w:rPr>
                <w:rFonts w:hint="eastAsia" w:ascii="Times New Roman" w:hAnsi="Times New Roman" w:cs="Times New Roman"/>
                <w:sz w:val="21"/>
                <w:szCs w:val="21"/>
              </w:rPr>
              <w:t>提供顾客满意调查分析。最终顾客满意率</w:t>
            </w:r>
            <w:r>
              <w:rPr>
                <w:rFonts w:hint="eastAsia" w:cs="Times New Roman"/>
                <w:sz w:val="21"/>
                <w:szCs w:val="21"/>
                <w:lang w:val="en-US" w:eastAsia="zh-CN"/>
              </w:rPr>
              <w:t>98</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pageBreakBefore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公司</w:t>
            </w:r>
            <w:r>
              <w:rPr>
                <w:rFonts w:hint="eastAsia" w:ascii="宋体" w:hAnsi="宋体" w:eastAsia="宋体" w:cs="宋体"/>
                <w:sz w:val="21"/>
                <w:szCs w:val="21"/>
                <w:highlight w:val="none"/>
              </w:rPr>
              <w:t>编制</w:t>
            </w:r>
            <w:r>
              <w:rPr>
                <w:rFonts w:hint="eastAsia" w:ascii="宋体" w:hAnsi="宋体" w:eastAsia="宋体" w:cs="宋体"/>
                <w:sz w:val="21"/>
                <w:szCs w:val="21"/>
                <w:highlight w:val="none"/>
                <w:lang w:val="en-US" w:eastAsia="zh-CN"/>
              </w:rPr>
              <w:t>并发布了</w:t>
            </w:r>
            <w:r>
              <w:rPr>
                <w:rFonts w:hint="eastAsia" w:ascii="宋体" w:hAnsi="宋体" w:eastAsia="宋体" w:cs="宋体"/>
                <w:sz w:val="21"/>
                <w:szCs w:val="21"/>
                <w:highlight w:val="none"/>
              </w:rPr>
              <w:t>《内部审核控制程序》。</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经查问：总经理、管代、各部门主管均经培训并参加了内部审核。</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20</w:t>
            </w:r>
            <w:r>
              <w:rPr>
                <w:rFonts w:hint="eastAsia" w:ascii="宋体" w:hAnsi="宋体" w:eastAsia="宋体" w:cs="宋体"/>
                <w:sz w:val="21"/>
                <w:szCs w:val="21"/>
                <w:highlight w:val="none"/>
                <w:lang w:val="en-US" w:eastAsia="zh-CN"/>
              </w:rPr>
              <w:t>21.5.15</w:t>
            </w:r>
            <w:r>
              <w:rPr>
                <w:rFonts w:hint="eastAsia" w:ascii="宋体" w:hAnsi="宋体" w:eastAsia="宋体" w:cs="宋体"/>
                <w:sz w:val="21"/>
                <w:szCs w:val="21"/>
                <w:highlight w:val="none"/>
              </w:rPr>
              <w:t>开展管理体系内部审核活动，并提供有以下内审的资料：</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——《审核实施计划》，</w:t>
            </w:r>
            <w:r>
              <w:rPr>
                <w:rFonts w:hint="eastAsia" w:ascii="宋体" w:hAnsi="宋体" w:eastAsia="宋体" w:cs="宋体"/>
                <w:sz w:val="21"/>
                <w:szCs w:val="21"/>
                <w:highlight w:val="none"/>
                <w:lang w:val="en-US" w:eastAsia="zh-CN"/>
              </w:rPr>
              <w:t>批准：</w:t>
            </w:r>
            <w:r>
              <w:rPr>
                <w:rFonts w:hint="eastAsia" w:ascii="宋体" w:hAnsi="宋体" w:eastAsia="宋体" w:cs="宋体"/>
                <w:sz w:val="21"/>
                <w:szCs w:val="21"/>
                <w:highlight w:val="none"/>
                <w:lang w:eastAsia="zh-CN"/>
              </w:rPr>
              <w:t>吕玥桥</w:t>
            </w:r>
            <w:r>
              <w:rPr>
                <w:rFonts w:hint="eastAsia" w:ascii="宋体" w:hAnsi="宋体" w:eastAsia="宋体" w:cs="宋体"/>
                <w:sz w:val="21"/>
                <w:szCs w:val="21"/>
                <w:highlight w:val="none"/>
                <w:lang w:val="en-US" w:eastAsia="zh-CN"/>
              </w:rPr>
              <w:t>2021.5.10</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计划中规定审核的目的、依据、范围、时间、审核安排；</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审核组组长：</w:t>
            </w:r>
            <w:r>
              <w:rPr>
                <w:rFonts w:hint="eastAsia" w:ascii="宋体" w:hAnsi="宋体" w:eastAsia="宋体" w:cs="宋体"/>
                <w:sz w:val="21"/>
                <w:szCs w:val="21"/>
                <w:highlight w:val="none"/>
                <w:lang w:eastAsia="zh-CN"/>
              </w:rPr>
              <w:t>齐伟丽（A）</w:t>
            </w:r>
            <w:r>
              <w:rPr>
                <w:rFonts w:hint="eastAsia" w:ascii="宋体" w:hAnsi="宋体" w:eastAsia="宋体" w:cs="宋体"/>
                <w:sz w:val="21"/>
                <w:szCs w:val="21"/>
                <w:highlight w:val="none"/>
              </w:rPr>
              <w:t>，组员：</w:t>
            </w:r>
            <w:r>
              <w:rPr>
                <w:rFonts w:hint="eastAsia" w:ascii="宋体" w:hAnsi="宋体" w:eastAsia="宋体" w:cs="宋体"/>
                <w:sz w:val="21"/>
                <w:szCs w:val="21"/>
                <w:highlight w:val="none"/>
                <w:lang w:val="en-US" w:eastAsia="zh-CN"/>
              </w:rPr>
              <w:t>李永杰（B）</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计划中没有漏标准条款、没有遗漏体系覆盖的部门和场所，内审员没有审核自己的工作。</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——内审首末次会议签到（领导层、各部门负责人）；</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——内部审核检查表，审核按计划进行，没有遗漏标准条款及体系覆盖的部门和场所，内审员没有审核自己的工作。</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——本次内审发现</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项不合格，在</w:t>
            </w:r>
            <w:r>
              <w:rPr>
                <w:rFonts w:hint="eastAsia" w:ascii="宋体" w:hAnsi="宋体" w:eastAsia="宋体" w:cs="宋体"/>
                <w:sz w:val="21"/>
                <w:szCs w:val="21"/>
                <w:highlight w:val="none"/>
                <w:lang w:val="en-US" w:eastAsia="zh-CN"/>
              </w:rPr>
              <w:t>采购部</w:t>
            </w:r>
            <w:r>
              <w:rPr>
                <w:rFonts w:hint="eastAsia" w:ascii="宋体" w:hAnsi="宋体" w:eastAsia="宋体" w:cs="宋体"/>
                <w:sz w:val="21"/>
                <w:szCs w:val="21"/>
                <w:highlight w:val="none"/>
              </w:rPr>
              <w:t>。为一般不符合项，查看《不符合报告》（</w:t>
            </w:r>
            <w:r>
              <w:rPr>
                <w:rFonts w:hint="eastAsia" w:ascii="宋体" w:hAnsi="宋体" w:eastAsia="宋体" w:cs="宋体"/>
                <w:sz w:val="21"/>
                <w:szCs w:val="21"/>
                <w:highlight w:val="none"/>
                <w:lang w:val="en-US" w:eastAsia="zh-CN"/>
              </w:rPr>
              <w:t>E7.2</w:t>
            </w:r>
            <w:r>
              <w:rPr>
                <w:rFonts w:hint="eastAsia" w:ascii="宋体" w:hAnsi="宋体" w:eastAsia="宋体" w:cs="宋体"/>
                <w:sz w:val="21"/>
                <w:szCs w:val="21"/>
                <w:highlight w:val="none"/>
              </w:rPr>
              <w:t>），不符合事实描述清晰，不符合原因分析准确，并制定了纠正及纠正预防措施，且措施可行，并对其有效性进行了验证，验证人：李永杰  202</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16</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——本次内审编制有《内部管理体系审核报告》，结论：公司的质量、环境、职业健康安全管理体系基本符合标准要求，且适宜、有效。</w:t>
            </w:r>
          </w:p>
          <w:p>
            <w:pPr>
              <w:spacing w:line="240" w:lineRule="exact"/>
              <w:rPr>
                <w:b/>
                <w:color w:val="000000" w:themeColor="text1"/>
                <w:sz w:val="20"/>
                <w:szCs w:val="20"/>
              </w:rPr>
            </w:pPr>
            <w:r>
              <w:rPr>
                <w:rFonts w:hint="eastAsia" w:ascii="宋体" w:hAnsi="宋体" w:eastAsia="宋体" w:cs="宋体"/>
                <w:sz w:val="21"/>
                <w:szCs w:val="21"/>
                <w:highlight w:val="none"/>
              </w:rPr>
              <w:t>编制：</w:t>
            </w:r>
            <w:r>
              <w:rPr>
                <w:rFonts w:hint="eastAsia" w:ascii="宋体" w:hAnsi="宋体" w:eastAsia="宋体" w:cs="宋体"/>
                <w:sz w:val="21"/>
                <w:szCs w:val="21"/>
                <w:highlight w:val="none"/>
                <w:lang w:val="en-US" w:eastAsia="zh-CN"/>
              </w:rPr>
              <w:t>李永杰  2021.5.15</w:t>
            </w:r>
            <w:r>
              <w:rPr>
                <w:rFonts w:hint="eastAsia" w:ascii="宋体" w:hAnsi="宋体" w:eastAsia="宋体" w:cs="宋体"/>
                <w:sz w:val="21"/>
                <w:szCs w:val="21"/>
                <w:highlight w:val="none"/>
              </w:rPr>
              <w:t>批准：</w:t>
            </w:r>
            <w:r>
              <w:rPr>
                <w:rFonts w:hint="eastAsia" w:ascii="宋体" w:hAnsi="宋体" w:eastAsia="宋体" w:cs="宋体"/>
                <w:sz w:val="21"/>
                <w:szCs w:val="21"/>
                <w:highlight w:val="none"/>
                <w:lang w:eastAsia="zh-CN"/>
              </w:rPr>
              <w:t xml:space="preserve">吕玥娇  </w:t>
            </w:r>
            <w:r>
              <w:rPr>
                <w:rFonts w:hint="eastAsia" w:ascii="宋体" w:hAnsi="宋体" w:eastAsia="宋体" w:cs="宋体"/>
                <w:sz w:val="21"/>
                <w:szCs w:val="21"/>
                <w:highlight w:val="none"/>
                <w:lang w:val="en-US" w:eastAsia="zh-CN"/>
              </w:rPr>
              <w:t>2021.5.15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制定并执行《管理评审控制程序》：一年至少要进行一次管理评审，由总经理主持。特殊情况下，可增加管理评审频次。</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评审内容包括：内审结果；管理方针和目标的适宜性；过程的控制情况；产品的符合性；改进的需求等。</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查管理评审</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1、计划：管理评审的时间：202</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年</w:t>
            </w: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月</w:t>
            </w:r>
            <w:r>
              <w:rPr>
                <w:rFonts w:hint="eastAsia" w:ascii="宋体" w:hAnsi="宋体" w:eastAsia="宋体" w:cs="宋体"/>
                <w:b w:val="0"/>
                <w:bCs w:val="0"/>
                <w:sz w:val="21"/>
                <w:szCs w:val="21"/>
                <w:lang w:val="en-US" w:eastAsia="zh-CN"/>
              </w:rPr>
              <w:t>28</w:t>
            </w:r>
            <w:r>
              <w:rPr>
                <w:rFonts w:hint="eastAsia" w:ascii="宋体" w:hAnsi="宋体" w:eastAsia="宋体" w:cs="宋体"/>
                <w:b w:val="0"/>
                <w:bCs w:val="0"/>
                <w:sz w:val="21"/>
                <w:szCs w:val="21"/>
              </w:rPr>
              <w:t>日</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主持人：总经理    参加人：领导层、各部门负责人 </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要求每个部门需提交的管理评审输入内容包含了标准条款的要求。时间安排符合程序文件的要求。</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编制：</w:t>
            </w:r>
            <w:r>
              <w:rPr>
                <w:rFonts w:hint="eastAsia" w:ascii="宋体" w:hAnsi="宋体" w:eastAsia="宋体" w:cs="宋体"/>
                <w:b w:val="0"/>
                <w:bCs w:val="0"/>
                <w:sz w:val="21"/>
                <w:szCs w:val="21"/>
                <w:lang w:eastAsia="zh-CN"/>
              </w:rPr>
              <w:t>齐伟丽</w:t>
            </w:r>
            <w:r>
              <w:rPr>
                <w:rFonts w:hint="eastAsia" w:ascii="宋体" w:hAnsi="宋体" w:eastAsia="宋体" w:cs="宋体"/>
                <w:b w:val="0"/>
                <w:bCs w:val="0"/>
                <w:sz w:val="21"/>
                <w:szCs w:val="21"/>
              </w:rPr>
              <w:t xml:space="preserve">      批准：</w:t>
            </w:r>
            <w:r>
              <w:rPr>
                <w:rFonts w:hint="eastAsia" w:ascii="宋体" w:hAnsi="宋体" w:eastAsia="宋体" w:cs="宋体"/>
                <w:b w:val="0"/>
                <w:bCs w:val="0"/>
                <w:sz w:val="21"/>
                <w:szCs w:val="21"/>
                <w:lang w:eastAsia="zh-CN"/>
              </w:rPr>
              <w:t>吕玥桥</w:t>
            </w:r>
            <w:r>
              <w:rPr>
                <w:rFonts w:hint="eastAsia" w:ascii="宋体" w:hAnsi="宋体" w:eastAsia="宋体" w:cs="宋体"/>
                <w:b w:val="0"/>
                <w:bCs w:val="0"/>
                <w:sz w:val="21"/>
                <w:szCs w:val="21"/>
              </w:rPr>
              <w:t xml:space="preserve">  日期：202</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年</w:t>
            </w: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月</w:t>
            </w:r>
            <w:r>
              <w:rPr>
                <w:rFonts w:hint="eastAsia" w:ascii="宋体" w:hAnsi="宋体" w:eastAsia="宋体" w:cs="宋体"/>
                <w:b w:val="0"/>
                <w:bCs w:val="0"/>
                <w:sz w:val="21"/>
                <w:szCs w:val="21"/>
                <w:lang w:val="en-US" w:eastAsia="zh-CN"/>
              </w:rPr>
              <w:t>25</w:t>
            </w:r>
            <w:r>
              <w:rPr>
                <w:rFonts w:hint="eastAsia" w:ascii="宋体" w:hAnsi="宋体" w:eastAsia="宋体" w:cs="宋体"/>
                <w:b w:val="0"/>
                <w:bCs w:val="0"/>
                <w:sz w:val="21"/>
                <w:szCs w:val="21"/>
              </w:rPr>
              <w:t>日</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查看管理评审输入的资料：</w:t>
            </w:r>
          </w:p>
          <w:p>
            <w:pPr>
              <w:keepNext w:val="0"/>
              <w:keepLines w:val="0"/>
              <w:pageBreakBefore w:val="0"/>
              <w:widowControl w:val="0"/>
              <w:numPr>
                <w:ilvl w:val="0"/>
                <w:numId w:val="7"/>
              </w:numPr>
              <w:kinsoku/>
              <w:wordWrap/>
              <w:overflowPunct/>
              <w:topLinePunct w:val="0"/>
              <w:autoSpaceDE w:val="0"/>
              <w:autoSpaceDN w:val="0"/>
              <w:bidi w:val="0"/>
              <w:adjustRightInd w:val="0"/>
              <w:snapToGrid w:val="0"/>
              <w:spacing w:line="360" w:lineRule="auto"/>
              <w:ind w:left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以往管理评审所采取措施的实施情况；</w:t>
            </w:r>
          </w:p>
          <w:p>
            <w:pPr>
              <w:keepNext w:val="0"/>
              <w:keepLines w:val="0"/>
              <w:pageBreakBefore w:val="0"/>
              <w:widowControl w:val="0"/>
              <w:numPr>
                <w:ilvl w:val="0"/>
                <w:numId w:val="7"/>
              </w:numPr>
              <w:kinsoku/>
              <w:wordWrap/>
              <w:overflowPunct/>
              <w:topLinePunct w:val="0"/>
              <w:autoSpaceDE w:val="0"/>
              <w:autoSpaceDN w:val="0"/>
              <w:bidi w:val="0"/>
              <w:adjustRightInd w:val="0"/>
              <w:snapToGrid w:val="0"/>
              <w:spacing w:line="360" w:lineRule="auto"/>
              <w:ind w:left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以下方面的变化：</w:t>
            </w:r>
          </w:p>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与质量、环境、职业健康安全管理体系相关的内外部因素和问题的变化；</w:t>
            </w:r>
          </w:p>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相关方的需求和期望，包括合规义务；</w:t>
            </w:r>
          </w:p>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重要环境因素和不可接受风险；</w:t>
            </w:r>
          </w:p>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风险和机遇</w:t>
            </w:r>
            <w:r>
              <w:rPr>
                <w:rFonts w:hint="eastAsia" w:ascii="宋体" w:hAnsi="宋体" w:eastAsia="宋体" w:cs="宋体"/>
                <w:b w:val="0"/>
                <w:bCs w:val="0"/>
                <w:sz w:val="21"/>
                <w:szCs w:val="21"/>
                <w:lang w:eastAsia="zh-CN"/>
              </w:rPr>
              <w:t>；</w:t>
            </w:r>
          </w:p>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客观环境的变化，包括与质量、环境、职业健康安全管理体系相关的法律法规和其他要求的发展。</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c)有关质量、环境、职业健康安全管理体系绩效和有效性的信息，包括下列趋势性信息：</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1）顾客满意和相关方的反馈；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2）管理目标的实现程度；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3）过程绩效以及产品和服务的符合性；</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4）事件调查、不合格、纠正措施及其合规性义务履行情况； </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5）监视和测量结果及审核结果；</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6）外部供方的绩效</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7）参与和协商的结果；</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8）来自相关方的有关信息交流，包括抱怨、投诉。</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d）资源的充分性；</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e）应对风险和机遇所采取措施的有效性改进的机会。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具体内容由责任部门或人员按职责分工负责收集和提供。输入内容基本符合标准要求。</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做出了安排。</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4、查看管理评审报告，批准：</w:t>
            </w:r>
            <w:r>
              <w:rPr>
                <w:rFonts w:hint="eastAsia" w:ascii="宋体" w:hAnsi="宋体" w:eastAsia="宋体" w:cs="宋体"/>
                <w:b w:val="0"/>
                <w:bCs w:val="0"/>
                <w:sz w:val="21"/>
                <w:szCs w:val="21"/>
                <w:lang w:eastAsia="zh-CN"/>
              </w:rPr>
              <w:t>吕玥桥</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202</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年</w:t>
            </w: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月</w:t>
            </w:r>
            <w:r>
              <w:rPr>
                <w:rFonts w:hint="eastAsia" w:ascii="宋体" w:hAnsi="宋体" w:eastAsia="宋体" w:cs="宋体"/>
                <w:b w:val="0"/>
                <w:bCs w:val="0"/>
                <w:sz w:val="21"/>
                <w:szCs w:val="21"/>
                <w:lang w:val="en-US" w:eastAsia="zh-CN"/>
              </w:rPr>
              <w:t>28</w:t>
            </w:r>
            <w:r>
              <w:rPr>
                <w:rFonts w:hint="eastAsia" w:ascii="宋体" w:hAnsi="宋体" w:eastAsia="宋体" w:cs="宋体"/>
                <w:b w:val="0"/>
                <w:bCs w:val="0"/>
                <w:sz w:val="21"/>
                <w:szCs w:val="21"/>
              </w:rPr>
              <w:t>日</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结论：体系符合公司的实际，符合标准要求，能够满足内外部变化的需要，是持续适宜的；公司建立的管理体系是系统性的，是完整的体系，是充分的；通过一段时间的运作，收到了一定的效果，加强了过程控制和管理，提高了质量、环境和职业健康安全意识，基本满足顾客和相关方的要求，是有效的。</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管理目标是适宜的。</w:t>
            </w:r>
          </w:p>
          <w:p>
            <w:pPr>
              <w:spacing w:line="240" w:lineRule="exact"/>
              <w:rPr>
                <w:b/>
                <w:color w:val="000000" w:themeColor="text1"/>
                <w:sz w:val="20"/>
                <w:szCs w:val="20"/>
              </w:rPr>
            </w:pPr>
            <w:r>
              <w:rPr>
                <w:rFonts w:hint="eastAsia" w:ascii="宋体" w:hAnsi="宋体" w:eastAsia="宋体" w:cs="宋体"/>
                <w:b w:val="0"/>
                <w:bCs w:val="0"/>
                <w:sz w:val="21"/>
                <w:szCs w:val="21"/>
              </w:rPr>
              <w:t>持续改进：由</w:t>
            </w:r>
            <w:r>
              <w:rPr>
                <w:rFonts w:hint="eastAsia" w:ascii="宋体" w:hAnsi="宋体" w:eastAsia="宋体" w:cs="宋体"/>
                <w:b w:val="0"/>
                <w:bCs w:val="0"/>
                <w:sz w:val="21"/>
                <w:szCs w:val="21"/>
                <w:lang w:val="en-US" w:eastAsia="zh-CN"/>
              </w:rPr>
              <w:t>综合部</w:t>
            </w:r>
            <w:r>
              <w:rPr>
                <w:rFonts w:hint="eastAsia" w:ascii="宋体" w:hAnsi="宋体" w:eastAsia="宋体" w:cs="宋体"/>
                <w:b w:val="0"/>
                <w:bCs w:val="0"/>
                <w:sz w:val="21"/>
                <w:szCs w:val="21"/>
              </w:rPr>
              <w:t>对质量/环境/职业健康安全意识较差的员工，通过日常谈话的方式，进行培训教育，通过运行控制进行监视。正在实施中</w:t>
            </w:r>
            <w:r>
              <w:rPr>
                <w:rFonts w:hint="eastAsia" w:ascii="宋体" w:hAnsi="宋体" w:eastAsia="宋体" w:cs="宋体"/>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eastAsia="宋体"/>
                <w:b/>
                <w:color w:val="000000" w:themeColor="text1"/>
                <w:sz w:val="20"/>
                <w:szCs w:val="20"/>
                <w:lang w:val="en-US" w:eastAsia="zh-CN"/>
              </w:rPr>
            </w:pPr>
            <w:r>
              <w:rPr>
                <w:rFonts w:hint="eastAsia"/>
                <w:b/>
                <w:color w:val="000000" w:themeColor="text1"/>
                <w:sz w:val="20"/>
                <w:szCs w:val="20"/>
              </w:rPr>
              <w:t>5.  EMS是否按规定对主要污染物（污水、废气、噪声、废渣等）及排放实施了例行的监视或测量，结果是否满足相关要求？</w:t>
            </w:r>
            <w:r>
              <w:rPr>
                <w:rFonts w:hint="eastAsia"/>
                <w:b/>
                <w:color w:val="000000" w:themeColor="text1"/>
                <w:sz w:val="20"/>
                <w:szCs w:val="20"/>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default" w:eastAsia="宋体"/>
                <w:b/>
                <w:color w:val="000000" w:themeColor="text1"/>
                <w:sz w:val="20"/>
                <w:szCs w:val="20"/>
                <w:lang w:val="en-US" w:eastAsia="zh-CN"/>
              </w:rPr>
            </w:pPr>
            <w:r>
              <w:rPr>
                <w:rFonts w:hint="eastAsia"/>
                <w:b/>
                <w:color w:val="000000" w:themeColor="text1"/>
                <w:sz w:val="20"/>
                <w:szCs w:val="20"/>
              </w:rPr>
              <w:t>8.OHSMS国家/地方职业健康安全部门监督检查情况及措施</w:t>
            </w:r>
            <w:r>
              <w:rPr>
                <w:rFonts w:hint="eastAsia"/>
                <w:b/>
                <w:color w:val="000000" w:themeColor="text1"/>
                <w:sz w:val="20"/>
                <w:szCs w:val="20"/>
                <w:lang w:eastAsia="zh-CN"/>
              </w:rPr>
              <w:t>：</w:t>
            </w:r>
            <w:r>
              <w:rPr>
                <w:rFonts w:hint="eastAsia"/>
                <w:b/>
                <w:color w:val="000000" w:themeColor="text1"/>
                <w:sz w:val="20"/>
                <w:szCs w:val="20"/>
                <w:lang w:val="en-US" w:eastAsia="zh-CN"/>
              </w:rPr>
              <w:t>未发生</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pacing w:val="-8"/>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及改进要求，进行原因分析，制定了具体措施，目前正在实施中。</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eastAsia="宋体"/>
                <w:b/>
                <w:color w:val="000000" w:themeColor="text1"/>
                <w:spacing w:val="-20"/>
                <w:sz w:val="20"/>
                <w:szCs w:val="20"/>
                <w:lang w:val="en-US" w:eastAsia="zh-CN"/>
              </w:rPr>
            </w:pPr>
            <w:r>
              <w:rPr>
                <w:rFonts w:hint="eastAsia"/>
                <w:b/>
                <w:color w:val="000000" w:themeColor="text1"/>
                <w:spacing w:val="-20"/>
                <w:sz w:val="20"/>
                <w:szCs w:val="20"/>
              </w:rPr>
              <w:t>2（近一年）重大事故、顾客/相关方投诉：：</w:t>
            </w:r>
            <w:r>
              <w:rPr>
                <w:rFonts w:hint="eastAsia"/>
                <w:b/>
                <w:color w:val="000000" w:themeColor="text1"/>
                <w:spacing w:val="-20"/>
                <w:sz w:val="20"/>
                <w:szCs w:val="20"/>
                <w:lang w:val="en-US" w:eastAsia="zh-CN"/>
              </w:rPr>
              <w:t>无</w:t>
            </w:r>
          </w:p>
          <w:p>
            <w:pPr>
              <w:spacing w:line="240" w:lineRule="exact"/>
              <w:rPr>
                <w:b/>
                <w:color w:val="000000" w:themeColor="text1"/>
                <w:spacing w:val="-20"/>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eastAsia="宋体"/>
                <w:b/>
                <w:color w:val="000000" w:themeColor="text1"/>
                <w:sz w:val="20"/>
                <w:szCs w:val="20"/>
                <w:lang w:val="en-US" w:eastAsia="zh-CN"/>
              </w:rPr>
            </w:pPr>
            <w:r>
              <w:rPr>
                <w:rFonts w:hint="eastAsia"/>
                <w:b/>
                <w:color w:val="000000" w:themeColor="text1"/>
                <w:sz w:val="20"/>
                <w:szCs w:val="20"/>
              </w:rPr>
              <w:t>3. 一阶段提出问题的整改情况?</w:t>
            </w:r>
            <w:r>
              <w:rPr>
                <w:rFonts w:hint="eastAsia"/>
                <w:b/>
                <w:color w:val="000000" w:themeColor="text1"/>
                <w:sz w:val="20"/>
                <w:szCs w:val="20"/>
                <w:lang w:val="en-US" w:eastAsia="zh-CN"/>
              </w:rPr>
              <w:t>已完成整改</w:t>
            </w:r>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default" w:eastAsia="宋体"/>
                <w:b/>
                <w:color w:val="000000" w:themeColor="text1"/>
                <w:sz w:val="20"/>
                <w:szCs w:val="20"/>
                <w:lang w:val="en-US" w:eastAsia="zh-CN"/>
              </w:rPr>
            </w:pPr>
            <w:r>
              <w:rPr>
                <w:rFonts w:hint="eastAsia"/>
                <w:b/>
                <w:color w:val="000000" w:themeColor="text1"/>
                <w:sz w:val="20"/>
                <w:szCs w:val="20"/>
              </w:rPr>
              <w:t>4.创新情况</w:t>
            </w:r>
            <w:r>
              <w:rPr>
                <w:rFonts w:hint="eastAsia"/>
                <w:b/>
                <w:color w:val="000000" w:themeColor="text1"/>
                <w:sz w:val="20"/>
                <w:szCs w:val="20"/>
                <w:lang w:eastAsia="zh-CN"/>
              </w:rPr>
              <w:t>：</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10"/>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9"/>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pStyle w:val="19"/>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OHSMS持续的符合性及运行的有效性，以及与认证范围的持续相关性和适宜性及自我完善机制等。</w:t>
            </w:r>
          </w:p>
          <w:p>
            <w:pPr>
              <w:pStyle w:val="19"/>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color w:val="000000"/>
                <w:szCs w:val="21"/>
              </w:rPr>
              <w:t>河北鸿美通讯器材有限公司</w:t>
            </w:r>
            <w:r>
              <w:rPr>
                <w:rFonts w:hint="eastAsia"/>
                <w:color w:val="auto"/>
                <w:kern w:val="2"/>
                <w:sz w:val="21"/>
                <w:szCs w:val="21"/>
                <w:lang w:val="en-GB"/>
              </w:rPr>
              <w:t>的</w:t>
            </w:r>
          </w:p>
          <w:p>
            <w:pPr>
              <w:pStyle w:val="19"/>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p>
          <w:tbl>
            <w:tblPr>
              <w:tblStyle w:val="9"/>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2"/>
                <w:szCs w:val="22"/>
              </w:rPr>
            </w:pP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8"/>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6" w:leftChars="-405" w:hanging="684" w:hangingChars="326"/>
        <w:rPr>
          <w:rFonts w:hint="default"/>
          <w:b/>
          <w:color w:val="000000" w:themeColor="text1"/>
          <w:sz w:val="16"/>
          <w:szCs w:val="16"/>
          <w:lang w:val="en-US"/>
        </w:rPr>
      </w:pPr>
      <w:r>
        <w:drawing>
          <wp:anchor distT="0" distB="0" distL="114300" distR="114300" simplePos="0" relativeHeight="251662336" behindDoc="0" locked="0" layoutInCell="1" allowOverlap="1">
            <wp:simplePos x="0" y="0"/>
            <wp:positionH relativeFrom="column">
              <wp:posOffset>1593850</wp:posOffset>
            </wp:positionH>
            <wp:positionV relativeFrom="paragraph">
              <wp:posOffset>565150</wp:posOffset>
            </wp:positionV>
            <wp:extent cx="647700" cy="314325"/>
            <wp:effectExtent l="0" t="0" r="0" b="3175"/>
            <wp:wrapNone/>
            <wp:docPr id="5" name="图片 4" descr="QQ截图20160124084745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QQ截图20160124084745 拷贝"/>
                    <pic:cNvPicPr>
                      <a:picLocks noChangeAspect="1"/>
                    </pic:cNvPicPr>
                  </pic:nvPicPr>
                  <pic:blipFill>
                    <a:blip r:embed="rId6"/>
                    <a:stretch>
                      <a:fillRect/>
                    </a:stretch>
                  </pic:blipFill>
                  <pic:spPr>
                    <a:xfrm>
                      <a:off x="0" y="0"/>
                      <a:ext cx="647700" cy="314325"/>
                    </a:xfrm>
                    <a:prstGeom prst="rect">
                      <a:avLst/>
                    </a:prstGeom>
                    <a:noFill/>
                    <a:ln>
                      <a:noFill/>
                    </a:ln>
                  </pic:spPr>
                </pic:pic>
              </a:graphicData>
            </a:graphic>
          </wp:anchor>
        </w:drawing>
      </w:r>
      <w:r>
        <w:rPr>
          <w:rFonts w:hint="eastAsia"/>
          <w:b/>
          <w:color w:val="000000" w:themeColor="text1"/>
          <w:sz w:val="26"/>
          <w:szCs w:val="26"/>
        </w:rPr>
        <w:t>十四、审核组签字</w:t>
      </w:r>
      <w:r>
        <w:rPr>
          <w:rFonts w:hint="eastAsia" w:ascii="华文宋体" w:hAnsi="华文宋体" w:eastAsia="华文宋体"/>
          <w:sz w:val="28"/>
          <w:lang w:val="en-US" w:eastAsia="zh-CN"/>
        </w:rPr>
        <w:t xml:space="preserve">   </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r>
        <w:rPr>
          <w:rFonts w:hint="eastAsia" w:ascii="华文宋体" w:hAnsi="华文宋体" w:eastAsia="华文宋体"/>
          <w:sz w:val="28"/>
          <w:lang w:eastAsia="zh-CN"/>
        </w:rPr>
        <w:drawing>
          <wp:inline distT="0" distB="0" distL="114300" distR="114300">
            <wp:extent cx="952500" cy="341630"/>
            <wp:effectExtent l="0" t="0" r="0" b="1270"/>
            <wp:docPr id="3" name="图片 1" descr="835716250323581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835716250323581488"/>
                    <pic:cNvPicPr>
                      <a:picLocks noChangeAspect="1"/>
                    </pic:cNvPicPr>
                  </pic:nvPicPr>
                  <pic:blipFill>
                    <a:blip r:embed="rId7"/>
                    <a:stretch>
                      <a:fillRect/>
                    </a:stretch>
                  </pic:blipFill>
                  <pic:spPr>
                    <a:xfrm>
                      <a:off x="0" y="0"/>
                      <a:ext cx="952500" cy="341630"/>
                    </a:xfrm>
                    <a:prstGeom prst="rect">
                      <a:avLst/>
                    </a:prstGeom>
                    <a:noFill/>
                    <a:ln>
                      <a:noFill/>
                    </a:ln>
                  </pic:spPr>
                </pic:pic>
              </a:graphicData>
            </a:graphic>
          </wp:inline>
        </w:drawing>
      </w:r>
      <w:r>
        <w:rPr>
          <w:rFonts w:hint="eastAsia" w:ascii="华文宋体" w:hAnsi="华文宋体" w:eastAsia="华文宋体"/>
          <w:sz w:val="28"/>
          <w:lang w:val="en-US" w:eastAsia="zh-CN"/>
        </w:rPr>
        <w:t xml:space="preserve">  </w:t>
      </w:r>
      <w:r>
        <w:rPr>
          <w:rFonts w:hint="eastAsia" w:eastAsiaTheme="minorEastAsia"/>
          <w:lang w:eastAsia="zh-CN"/>
        </w:rPr>
        <w:drawing>
          <wp:inline distT="0" distB="0" distL="114300" distR="114300">
            <wp:extent cx="525780" cy="260985"/>
            <wp:effectExtent l="0" t="0" r="7620" b="5715"/>
            <wp:docPr id="4" name="图片 2" descr="392227883891630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392227883891630503"/>
                    <pic:cNvPicPr>
                      <a:picLocks noChangeAspect="1"/>
                    </pic:cNvPicPr>
                  </pic:nvPicPr>
                  <pic:blipFill>
                    <a:blip r:embed="rId8"/>
                    <a:srcRect l="10085" t="33243" r="53293" b="43739"/>
                    <a:stretch>
                      <a:fillRect/>
                    </a:stretch>
                  </pic:blipFill>
                  <pic:spPr>
                    <a:xfrm>
                      <a:off x="0" y="0"/>
                      <a:ext cx="525780" cy="260985"/>
                    </a:xfrm>
                    <a:prstGeom prst="rect">
                      <a:avLst/>
                    </a:prstGeom>
                    <a:noFill/>
                    <a:ln>
                      <a:noFill/>
                    </a:ln>
                  </pic:spPr>
                </pic:pic>
              </a:graphicData>
            </a:graphic>
          </wp:inline>
        </w:drawing>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7</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27</w:t>
      </w:r>
      <w:bookmarkStart w:id="22" w:name="_GoBack"/>
      <w:bookmarkEnd w:id="22"/>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rFonts w:hint="eastAsia" w:eastAsia="宋体"/>
          <w:b/>
          <w:color w:val="000000" w:themeColor="text1"/>
          <w:szCs w:val="21"/>
          <w:u w:val="single"/>
          <w:lang w:val="en-US" w:eastAsia="zh-CN"/>
        </w:rPr>
      </w:pPr>
      <w:r>
        <w:rPr>
          <w:rFonts w:hint="eastAsia"/>
          <w:b/>
          <w:color w:val="000000" w:themeColor="text1"/>
          <w:szCs w:val="21"/>
        </w:rPr>
        <w:t>存在问题说明及意见：</w:t>
      </w:r>
      <w:r>
        <w:rPr>
          <w:rFonts w:hint="eastAsia"/>
          <w:b/>
          <w:color w:val="000000" w:themeColor="text1"/>
          <w:szCs w:val="21"/>
          <w:lang w:val="en-US" w:eastAsia="zh-CN"/>
        </w:rPr>
        <w:t>无</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drawing>
          <wp:anchor distT="0" distB="0" distL="114300" distR="114300" simplePos="0" relativeHeight="251663360" behindDoc="0" locked="0" layoutInCell="1" allowOverlap="1">
            <wp:simplePos x="0" y="0"/>
            <wp:positionH relativeFrom="column">
              <wp:posOffset>736600</wp:posOffset>
            </wp:positionH>
            <wp:positionV relativeFrom="paragraph">
              <wp:posOffset>169545</wp:posOffset>
            </wp:positionV>
            <wp:extent cx="647700" cy="314325"/>
            <wp:effectExtent l="0" t="0" r="0" b="3175"/>
            <wp:wrapNone/>
            <wp:docPr id="6" name="图片 4" descr="QQ截图20160124084745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QQ截图20160124084745 拷贝"/>
                    <pic:cNvPicPr>
                      <a:picLocks noChangeAspect="1"/>
                    </pic:cNvPicPr>
                  </pic:nvPicPr>
                  <pic:blipFill>
                    <a:blip r:embed="rId6"/>
                    <a:stretch>
                      <a:fillRect/>
                    </a:stretch>
                  </pic:blipFill>
                  <pic:spPr>
                    <a:xfrm>
                      <a:off x="0" y="0"/>
                      <a:ext cx="647700" cy="314325"/>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7</w:t>
      </w:r>
      <w:r>
        <w:rPr>
          <w:rFonts w:hint="eastAsia"/>
          <w:b/>
          <w:color w:val="000000" w:themeColor="text1"/>
          <w:szCs w:val="21"/>
        </w:rPr>
        <w:t>月</w:t>
      </w:r>
      <w:r>
        <w:rPr>
          <w:rFonts w:hint="eastAsia"/>
          <w:b/>
          <w:color w:val="000000" w:themeColor="text1"/>
          <w:szCs w:val="21"/>
          <w:lang w:val="en-US" w:eastAsia="zh-CN"/>
        </w:rPr>
        <w:t>27</w:t>
      </w:r>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bookmarkStart w:id="21"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bookmarkEnd w:id="21"/>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87251"/>
    <w:multiLevelType w:val="singleLevel"/>
    <w:tmpl w:val="A4587251"/>
    <w:lvl w:ilvl="0" w:tentative="0">
      <w:start w:val="8"/>
      <w:numFmt w:val="decimal"/>
      <w:suff w:val="space"/>
      <w:lvlText w:val="%1."/>
      <w:lvlJc w:val="left"/>
    </w:lvl>
  </w:abstractNum>
  <w:abstractNum w:abstractNumId="1">
    <w:nsid w:val="280CE449"/>
    <w:multiLevelType w:val="singleLevel"/>
    <w:tmpl w:val="280CE449"/>
    <w:lvl w:ilvl="0" w:tentative="0">
      <w:start w:val="1"/>
      <w:numFmt w:val="decimal"/>
      <w:lvlText w:val="%1."/>
      <w:lvlJc w:val="left"/>
      <w:pPr>
        <w:tabs>
          <w:tab w:val="left" w:pos="312"/>
        </w:tabs>
      </w:pPr>
    </w:lvl>
  </w:abstractNum>
  <w:abstractNum w:abstractNumId="2">
    <w:nsid w:val="3C61A55E"/>
    <w:multiLevelType w:val="singleLevel"/>
    <w:tmpl w:val="3C61A55E"/>
    <w:lvl w:ilvl="0" w:tentative="0">
      <w:start w:val="1"/>
      <w:numFmt w:val="lowerLetter"/>
      <w:suff w:val="nothing"/>
      <w:lvlText w:val="%1）"/>
      <w:lvlJc w:val="left"/>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654BD76"/>
    <w:multiLevelType w:val="singleLevel"/>
    <w:tmpl w:val="6654BD76"/>
    <w:lvl w:ilvl="0" w:tentative="0">
      <w:start w:val="1"/>
      <w:numFmt w:val="decimal"/>
      <w:suff w:val="nothing"/>
      <w:lvlText w:val="%1）"/>
      <w:lvlJc w:val="left"/>
    </w:lvl>
  </w:abstractNum>
  <w:abstractNum w:abstractNumId="6">
    <w:nsid w:val="66BA10A1"/>
    <w:multiLevelType w:val="singleLevel"/>
    <w:tmpl w:val="66BA10A1"/>
    <w:lvl w:ilvl="0" w:tentative="0">
      <w:start w:val="1"/>
      <w:numFmt w:val="decimal"/>
      <w:suff w:val="nothing"/>
      <w:lvlText w:val="%1）"/>
      <w:lvlJc w:val="left"/>
    </w:lvl>
  </w:abstractNum>
  <w:abstractNum w:abstractNumId="7">
    <w:nsid w:val="67AFDEF2"/>
    <w:multiLevelType w:val="singleLevel"/>
    <w:tmpl w:val="67AFDEF2"/>
    <w:lvl w:ilvl="0" w:tentative="0">
      <w:start w:val="1"/>
      <w:numFmt w:val="decimal"/>
      <w:suff w:val="nothing"/>
      <w:lvlText w:val="%1、"/>
      <w:lvlJc w:val="left"/>
    </w:lvl>
  </w:abstractNum>
  <w:num w:numId="1">
    <w:abstractNumId w:val="3"/>
  </w:num>
  <w:num w:numId="2">
    <w:abstractNumId w:val="7"/>
  </w:num>
  <w:num w:numId="3">
    <w:abstractNumId w:val="4"/>
  </w:num>
  <w:num w:numId="4">
    <w:abstractNumId w:val="1"/>
  </w:num>
  <w:num w:numId="5">
    <w:abstractNumId w:val="6"/>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6519B5"/>
    <w:rsid w:val="0EEE6C42"/>
    <w:rsid w:val="15D26CD7"/>
    <w:rsid w:val="21787E6A"/>
    <w:rsid w:val="29A91309"/>
    <w:rsid w:val="2C6F6CEC"/>
    <w:rsid w:val="2E327D40"/>
    <w:rsid w:val="377D0881"/>
    <w:rsid w:val="3D9A6F6F"/>
    <w:rsid w:val="40785443"/>
    <w:rsid w:val="414D0379"/>
    <w:rsid w:val="428957F5"/>
    <w:rsid w:val="45601A22"/>
    <w:rsid w:val="4E253CE3"/>
    <w:rsid w:val="500C7B02"/>
    <w:rsid w:val="594A7829"/>
    <w:rsid w:val="5AFA35AD"/>
    <w:rsid w:val="61F65897"/>
    <w:rsid w:val="62805E3B"/>
    <w:rsid w:val="63711E9B"/>
    <w:rsid w:val="66593213"/>
    <w:rsid w:val="736E20CF"/>
    <w:rsid w:val="77916723"/>
    <w:rsid w:val="78601B7F"/>
    <w:rsid w:val="792B21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paragraph" w:styleId="3">
    <w:name w:val="heading 4"/>
    <w:basedOn w:val="1"/>
    <w:next w:val="1"/>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szCs w:val="24"/>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7"/>
    <w:qFormat/>
    <w:uiPriority w:val="99"/>
    <w:rPr>
      <w:rFonts w:ascii="Times New Roman" w:hAnsi="Times New Roman" w:eastAsia="宋体" w:cs="Times New Roman"/>
      <w:sz w:val="18"/>
      <w:szCs w:val="18"/>
    </w:rPr>
  </w:style>
  <w:style w:type="character" w:customStyle="1" w:styleId="15">
    <w:name w:val="页脚 Char"/>
    <w:basedOn w:val="11"/>
    <w:link w:val="6"/>
    <w:qFormat/>
    <w:uiPriority w:val="99"/>
    <w:rPr>
      <w:rFonts w:ascii="Times New Roman" w:hAnsi="Times New Roman" w:eastAsia="宋体" w:cs="Times New Roman"/>
      <w:sz w:val="18"/>
      <w:szCs w:val="18"/>
    </w:rPr>
  </w:style>
  <w:style w:type="character" w:customStyle="1" w:styleId="16">
    <w:name w:val="批注框文本 Char"/>
    <w:basedOn w:val="11"/>
    <w:link w:val="5"/>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3</TotalTime>
  <ScaleCrop>false</ScaleCrop>
  <LinksUpToDate>false</LinksUpToDate>
  <CharactersWithSpaces>5057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llg881223</cp:lastModifiedBy>
  <cp:lastPrinted>2019-05-13T03:19:00Z</cp:lastPrinted>
  <dcterms:modified xsi:type="dcterms:W3CDTF">2021-08-10T08:23:40Z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7BB67FF5DE80423F88C73182E9835D3A</vt:lpwstr>
  </property>
</Properties>
</file>