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-986790</wp:posOffset>
            </wp:positionV>
            <wp:extent cx="7204075" cy="10426065"/>
            <wp:effectExtent l="0" t="0" r="9525" b="635"/>
            <wp:wrapNone/>
            <wp:docPr id="2" name="图片 2" descr="扫描全能王 2021-08-10 14.5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10 14.51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4075" cy="1042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西安丹拿声学技术有限公司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西安市高新区锦业二路信凯工业园C栋205室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何珊珊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18802955729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0133-2020-Q-2021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建筑声学材料、音响器材、智能化会议系统的销售；建筑声学的设计、技术咨询服务；灯光音响系统的设计、安装及调试；投影显示的技术咨询服务。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18.09.00;29.12.00;34.05.00;34.06.00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2021年07月25日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2021年07月25日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18.09.00,29.12.00,34.05.00,34.06.00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郭力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2021-N1QMS-1263290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29.12.00,34.05.00,34.06.00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2782"/>
        <w:gridCol w:w="261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7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6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:00-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:30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:30-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管理层</w:t>
            </w:r>
          </w:p>
        </w:tc>
        <w:tc>
          <w:tcPr>
            <w:tcW w:w="27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与管理层有关的质量管理活动</w:t>
            </w:r>
          </w:p>
        </w:tc>
        <w:tc>
          <w:tcPr>
            <w:tcW w:w="2615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/>
                <w:sz w:val="18"/>
                <w:szCs w:val="18"/>
              </w:rPr>
              <w:t>4.1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理解公司及其环境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9.2内审审核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10.3持续改进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:30-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部门职责权限、目标管理方案、人力资源管理过程、资源提供与管理过程控制、内外部信息交流过程</w:t>
            </w:r>
          </w:p>
        </w:tc>
        <w:tc>
          <w:tcPr>
            <w:tcW w:w="2615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形成文件的信息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14：30-16：30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部门职责权限、目标,、产品和服务的要求、外部提供的产品服务、顾客和外部供方财产、交付后活动、顾客满意等管理体系运行过程控制；</w:t>
            </w:r>
          </w:p>
        </w:tc>
        <w:tc>
          <w:tcPr>
            <w:tcW w:w="2615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销售服务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8.5.3顾客或外部供方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</w:rPr>
              <w:t>财产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8.5.5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交付后活动、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14：30-16：30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2615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10.2不合格与纠正措施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与企业领导层沟通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86878"/>
    <w:rsid w:val="0CC113FD"/>
    <w:rsid w:val="20CA4AA5"/>
    <w:rsid w:val="4A59101B"/>
    <w:rsid w:val="67187F7A"/>
    <w:rsid w:val="710133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2021-08-15T00:55:58Z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BEDECA0527424695BD066831806F15AF</vt:lpwstr>
  </property>
</Properties>
</file>