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过程与活动、</w:t>
            </w:r>
          </w:p>
          <w:p>
            <w:pPr>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抽样计划</w:t>
            </w:r>
          </w:p>
        </w:tc>
        <w:tc>
          <w:tcPr>
            <w:tcW w:w="86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涉及</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条款</w:t>
            </w:r>
          </w:p>
        </w:tc>
        <w:tc>
          <w:tcPr>
            <w:tcW w:w="11490" w:type="dxa"/>
            <w:vAlign w:val="center"/>
          </w:tcPr>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受审核部门：管理层；           主管领导：</w:t>
            </w:r>
            <w:r>
              <w:rPr>
                <w:rFonts w:hint="eastAsia" w:ascii="楷体" w:hAnsi="楷体" w:eastAsia="楷体" w:cs="楷体"/>
                <w:b w:val="0"/>
                <w:bCs w:val="0"/>
                <w:color w:val="auto"/>
                <w:sz w:val="21"/>
                <w:szCs w:val="21"/>
                <w:lang w:val="en-US" w:eastAsia="zh-CN"/>
              </w:rPr>
              <w:t>欧阳方明</w:t>
            </w:r>
            <w:r>
              <w:rPr>
                <w:rFonts w:hint="eastAsia" w:ascii="楷体" w:hAnsi="楷体" w:eastAsia="楷体" w:cs="楷体"/>
                <w:b w:val="0"/>
                <w:bCs w:val="0"/>
                <w:color w:val="auto"/>
                <w:sz w:val="21"/>
                <w:szCs w:val="21"/>
              </w:rPr>
              <w:t xml:space="preserve">        陪同人员：</w:t>
            </w:r>
            <w:r>
              <w:rPr>
                <w:rFonts w:hint="eastAsia" w:ascii="楷体" w:hAnsi="楷体" w:eastAsia="楷体" w:cs="楷体"/>
                <w:b w:val="0"/>
                <w:bCs w:val="0"/>
                <w:color w:val="auto"/>
                <w:sz w:val="21"/>
                <w:szCs w:val="21"/>
                <w:lang w:val="en-US" w:eastAsia="zh-CN"/>
              </w:rPr>
              <w:t>覃艳</w:t>
            </w:r>
          </w:p>
        </w:tc>
        <w:tc>
          <w:tcPr>
            <w:tcW w:w="70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spacing w:before="12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审核员：周文廷                审核时间：202</w:t>
            </w:r>
            <w:r>
              <w:rPr>
                <w:rFonts w:hint="eastAsia" w:ascii="楷体" w:hAnsi="楷体" w:eastAsia="楷体" w:cs="楷体"/>
                <w:b w:val="0"/>
                <w:bCs w:val="0"/>
                <w:color w:val="auto"/>
                <w:sz w:val="21"/>
                <w:szCs w:val="21"/>
                <w:lang w:val="en-US" w:eastAsia="zh-CN"/>
              </w:rPr>
              <w:t>1.7.20</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审核条款：4.1/4.2/4.3/4.4/5.2/6.1/6.2/9.2/9.3</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公司概况，资质情况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组织机构、体系策划实施情况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认证范围确认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适用条款确认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外包过程</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4.1</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6.1</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企业基本情况</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1、总经理：</w:t>
            </w:r>
            <w:r>
              <w:rPr>
                <w:rFonts w:hint="eastAsia" w:ascii="楷体" w:hAnsi="楷体" w:eastAsia="楷体" w:cs="楷体"/>
                <w:b w:val="0"/>
                <w:bCs w:val="0"/>
                <w:color w:val="auto"/>
                <w:sz w:val="21"/>
                <w:szCs w:val="21"/>
                <w:lang w:val="en-US" w:eastAsia="zh-CN"/>
              </w:rPr>
              <w:t>欧阳方明</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lang w:val="en-US"/>
              </w:rPr>
            </w:pPr>
            <w:r>
              <w:rPr>
                <w:rFonts w:hint="eastAsia" w:ascii="楷体" w:hAnsi="楷体" w:eastAsia="楷体" w:cs="楷体"/>
                <w:color w:val="auto"/>
                <w:sz w:val="21"/>
                <w:szCs w:val="21"/>
              </w:rPr>
              <w:t>2、按照认证范围公司提供的法律证明文件有：营业执照，统一社会信用代码：</w:t>
            </w:r>
            <w:r>
              <w:rPr>
                <w:rFonts w:hint="eastAsia" w:ascii="楷体" w:hAnsi="楷体" w:eastAsia="楷体" w:cs="楷体"/>
                <w:color w:val="000000"/>
                <w:sz w:val="21"/>
                <w:szCs w:val="21"/>
                <w:lang w:val="en-US" w:eastAsia="zh-CN"/>
              </w:rPr>
              <w:t>91341100394630354G（1-1）</w:t>
            </w:r>
          </w:p>
          <w:p>
            <w:pPr>
              <w:bidi w:val="0"/>
              <w:rPr>
                <w:rFonts w:hint="eastAsia" w:ascii="楷体" w:hAnsi="楷体" w:eastAsia="楷体" w:cs="楷体"/>
                <w:color w:val="auto"/>
                <w:sz w:val="21"/>
                <w:szCs w:val="21"/>
                <w:lang w:eastAsia="zh-CN"/>
              </w:rPr>
            </w:pPr>
            <w:bookmarkStart w:id="0" w:name="组织名称"/>
            <w:r>
              <w:rPr>
                <w:rFonts w:hint="eastAsia" w:ascii="楷体" w:hAnsi="楷体" w:eastAsia="楷体" w:cs="楷体"/>
                <w:color w:val="auto"/>
                <w:sz w:val="21"/>
                <w:szCs w:val="21"/>
              </w:rPr>
              <w:t>3、</w:t>
            </w:r>
            <w:bookmarkEnd w:id="0"/>
            <w:r>
              <w:rPr>
                <w:rFonts w:hint="eastAsia" w:ascii="楷体" w:hAnsi="楷体" w:eastAsia="楷体" w:cs="楷体"/>
                <w:color w:val="000000"/>
                <w:kern w:val="0"/>
                <w:sz w:val="21"/>
                <w:szCs w:val="21"/>
              </w:rPr>
              <w:t>滁州欧瑞斯机车部件有限公司</w:t>
            </w:r>
            <w:r>
              <w:rPr>
                <w:rFonts w:hint="eastAsia" w:ascii="楷体" w:hAnsi="楷体" w:eastAsia="楷体" w:cs="楷体"/>
                <w:color w:val="auto"/>
                <w:sz w:val="21"/>
                <w:szCs w:val="21"/>
                <w:lang w:eastAsia="zh-CN"/>
              </w:rPr>
              <w:t>成立于201</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lang w:eastAsia="zh-CN"/>
              </w:rPr>
              <w:t>年11月</w:t>
            </w:r>
            <w:r>
              <w:rPr>
                <w:rFonts w:hint="eastAsia" w:ascii="楷体" w:hAnsi="楷体" w:eastAsia="楷体" w:cs="楷体"/>
                <w:color w:val="auto"/>
                <w:sz w:val="21"/>
                <w:szCs w:val="21"/>
                <w:lang w:val="en-US" w:eastAsia="zh-CN"/>
              </w:rPr>
              <w:t>17</w:t>
            </w:r>
            <w:r>
              <w:rPr>
                <w:rFonts w:hint="eastAsia" w:ascii="楷体" w:hAnsi="楷体" w:eastAsia="楷体" w:cs="楷体"/>
                <w:color w:val="auto"/>
                <w:sz w:val="21"/>
                <w:szCs w:val="21"/>
                <w:lang w:eastAsia="zh-CN"/>
              </w:rPr>
              <w:t>日,注册资本</w:t>
            </w:r>
            <w:r>
              <w:rPr>
                <w:rFonts w:hint="eastAsia" w:ascii="楷体" w:hAnsi="楷体" w:eastAsia="楷体" w:cs="楷体"/>
                <w:color w:val="auto"/>
                <w:sz w:val="21"/>
                <w:szCs w:val="21"/>
                <w:lang w:val="en-US" w:eastAsia="zh-CN"/>
              </w:rPr>
              <w:t>100</w:t>
            </w:r>
            <w:r>
              <w:rPr>
                <w:rFonts w:hint="eastAsia" w:ascii="楷体" w:hAnsi="楷体" w:eastAsia="楷体" w:cs="楷体"/>
                <w:color w:val="auto"/>
                <w:sz w:val="21"/>
                <w:szCs w:val="21"/>
                <w:lang w:eastAsia="zh-CN"/>
              </w:rPr>
              <w:t>万元，注册地址：</w:t>
            </w:r>
            <w:bookmarkStart w:id="1" w:name="注册地址"/>
            <w:r>
              <w:rPr>
                <w:rFonts w:hint="eastAsia" w:ascii="楷体" w:hAnsi="楷体" w:eastAsia="楷体" w:cs="楷体"/>
                <w:sz w:val="21"/>
                <w:szCs w:val="21"/>
              </w:rPr>
              <w:t>安徽省滁州市城东工业园经二路嘉明机电仓库</w:t>
            </w:r>
            <w:bookmarkEnd w:id="1"/>
            <w:r>
              <w:rPr>
                <w:rFonts w:hint="eastAsia" w:ascii="楷体" w:hAnsi="楷体" w:eastAsia="楷体" w:cs="楷体"/>
                <w:sz w:val="21"/>
                <w:szCs w:val="21"/>
                <w:lang w:eastAsia="zh-CN"/>
              </w:rPr>
              <w:t>，</w:t>
            </w:r>
            <w:r>
              <w:rPr>
                <w:rFonts w:hint="eastAsia" w:ascii="楷体" w:hAnsi="楷体" w:eastAsia="楷体" w:cs="楷体"/>
                <w:color w:val="auto"/>
                <w:sz w:val="21"/>
                <w:szCs w:val="21"/>
                <w:lang w:eastAsia="zh-CN"/>
              </w:rPr>
              <w:t>生产地址:</w:t>
            </w:r>
            <w:r>
              <w:rPr>
                <w:rFonts w:hint="eastAsia" w:ascii="楷体" w:hAnsi="楷体" w:eastAsia="楷体" w:cs="楷体"/>
                <w:sz w:val="21"/>
                <w:szCs w:val="21"/>
              </w:rPr>
              <w:t>安徽省滁州市城东工业园经二路嘉明机电仓库</w:t>
            </w:r>
            <w:r>
              <w:rPr>
                <w:rFonts w:hint="eastAsia" w:ascii="楷体" w:hAnsi="楷体" w:eastAsia="楷体" w:cs="楷体"/>
                <w:color w:val="auto"/>
                <w:sz w:val="21"/>
                <w:szCs w:val="21"/>
                <w:lang w:eastAsia="zh-CN"/>
              </w:rPr>
              <w:t>,车间占地面积</w:t>
            </w:r>
            <w:r>
              <w:rPr>
                <w:rFonts w:hint="eastAsia" w:ascii="楷体" w:hAnsi="楷体" w:eastAsia="楷体" w:cs="楷体"/>
                <w:color w:val="auto"/>
                <w:sz w:val="21"/>
                <w:szCs w:val="21"/>
                <w:lang w:val="en-US" w:eastAsia="zh-CN"/>
              </w:rPr>
              <w:t>1800</w:t>
            </w:r>
            <w:r>
              <w:rPr>
                <w:rFonts w:hint="eastAsia" w:ascii="楷体" w:hAnsi="楷体" w:eastAsia="楷体" w:cs="楷体"/>
                <w:color w:val="auto"/>
                <w:sz w:val="21"/>
                <w:szCs w:val="21"/>
                <w:lang w:eastAsia="zh-CN"/>
              </w:rPr>
              <w:t>平。</w:t>
            </w:r>
          </w:p>
          <w:p>
            <w:pPr>
              <w:bidi w:val="0"/>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4、主要经营范围：</w:t>
            </w:r>
            <w:bookmarkStart w:id="2" w:name="审核范围"/>
            <w:r>
              <w:rPr>
                <w:rFonts w:hint="eastAsia" w:ascii="楷体" w:hAnsi="楷体" w:eastAsia="楷体" w:cs="楷体"/>
                <w:sz w:val="21"/>
                <w:szCs w:val="21"/>
              </w:rPr>
              <w:t>刹车片的生产及销售</w:t>
            </w:r>
            <w:bookmarkEnd w:id="2"/>
            <w:r>
              <w:rPr>
                <w:rFonts w:hint="eastAsia" w:ascii="楷体" w:hAnsi="楷体" w:eastAsia="楷体" w:cs="楷体"/>
                <w:color w:val="auto"/>
                <w:sz w:val="21"/>
                <w:szCs w:val="21"/>
                <w:lang w:eastAsia="zh-CN"/>
              </w:rPr>
              <w:t>；</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5、公司设有管理层、</w:t>
            </w:r>
            <w:r>
              <w:rPr>
                <w:rFonts w:hint="eastAsia" w:ascii="楷体" w:hAnsi="楷体" w:eastAsia="楷体" w:cs="楷体"/>
                <w:color w:val="auto"/>
                <w:sz w:val="21"/>
                <w:szCs w:val="21"/>
                <w:lang w:val="en-US" w:eastAsia="zh-CN"/>
              </w:rPr>
              <w:t>综合</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、生产技术部等部门。</w:t>
            </w:r>
          </w:p>
          <w:p>
            <w:pPr>
              <w:rPr>
                <w:rFonts w:hint="eastAsia" w:ascii="楷体" w:hAnsi="楷体" w:eastAsia="楷体" w:cs="楷体"/>
                <w:b w:val="0"/>
                <w:bCs w:val="0"/>
                <w:color w:val="auto"/>
                <w:sz w:val="21"/>
                <w:szCs w:val="21"/>
                <w:lang w:val="en-GB"/>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b w:val="0"/>
                <w:bCs w:val="0"/>
                <w:color w:val="auto"/>
                <w:sz w:val="21"/>
                <w:szCs w:val="21"/>
                <w:lang w:val="en-GB"/>
              </w:rPr>
              <w:t>通过制定管理制度、作业文件及相关措施，对活动的主要环节实施了有效的控制。</w:t>
            </w:r>
            <w:r>
              <w:rPr>
                <w:rFonts w:hint="eastAsia" w:ascii="楷体" w:hAnsi="楷体" w:eastAsia="楷体" w:cs="楷体"/>
                <w:b w:val="0"/>
                <w:bCs w:val="0"/>
                <w:color w:val="auto"/>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审核组与受审核方管代通过电话确认的审核范围：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QMS：</w:t>
            </w:r>
            <w:r>
              <w:rPr>
                <w:rFonts w:hint="eastAsia" w:ascii="楷体" w:hAnsi="楷体" w:eastAsia="楷体" w:cs="楷体"/>
                <w:sz w:val="21"/>
                <w:szCs w:val="21"/>
              </w:rPr>
              <w:t>刹车片的生产及销售</w:t>
            </w:r>
            <w:r>
              <w:rPr>
                <w:rFonts w:hint="eastAsia" w:ascii="楷体" w:hAnsi="楷体" w:eastAsia="楷体" w:cs="楷体"/>
                <w:color w:val="auto"/>
                <w:sz w:val="21"/>
                <w:szCs w:val="21"/>
                <w:lang w:eastAsia="zh-CN"/>
              </w:rPr>
              <w:t>；</w:t>
            </w:r>
            <w:r>
              <w:rPr>
                <w:rFonts w:hint="eastAsia" w:ascii="楷体" w:hAnsi="楷体" w:eastAsia="楷体" w:cs="楷体"/>
                <w:b w:val="0"/>
                <w:bCs w:val="0"/>
                <w:color w:val="auto"/>
                <w:sz w:val="21"/>
                <w:szCs w:val="21"/>
              </w:rPr>
              <w:t xml:space="preserve"> </w:t>
            </w:r>
          </w:p>
          <w:p>
            <w:pPr>
              <w:pStyle w:val="2"/>
              <w:spacing w:line="4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产品依据客户要求、</w:t>
            </w:r>
            <w:r>
              <w:rPr>
                <w:rFonts w:hint="eastAsia" w:ascii="楷体" w:hAnsi="楷体" w:eastAsia="楷体" w:cs="楷体"/>
                <w:b w:val="0"/>
                <w:bCs w:val="0"/>
                <w:color w:val="auto"/>
                <w:sz w:val="21"/>
                <w:szCs w:val="21"/>
                <w:lang w:val="en-US" w:eastAsia="zh-CN"/>
              </w:rPr>
              <w:t>客供图纸、</w:t>
            </w:r>
            <w:r>
              <w:rPr>
                <w:rFonts w:hint="eastAsia" w:ascii="楷体" w:hAnsi="楷体" w:eastAsia="楷体" w:cs="楷体"/>
                <w:b w:val="0"/>
                <w:bCs w:val="0"/>
                <w:color w:val="auto"/>
                <w:sz w:val="21"/>
                <w:szCs w:val="21"/>
              </w:rPr>
              <w:t>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外包过程：</w:t>
            </w:r>
            <w:r>
              <w:rPr>
                <w:rFonts w:hint="eastAsia" w:ascii="楷体" w:hAnsi="楷体" w:eastAsia="楷体" w:cs="楷体"/>
                <w:b w:val="0"/>
                <w:bCs w:val="0"/>
                <w:color w:val="auto"/>
                <w:sz w:val="21"/>
                <w:szCs w:val="21"/>
                <w:lang w:val="en-US" w:eastAsia="zh-CN"/>
              </w:rPr>
              <w:t>镀铜、报关</w:t>
            </w:r>
            <w:r>
              <w:rPr>
                <w:rFonts w:hint="eastAsia" w:ascii="楷体" w:hAnsi="楷体" w:eastAsia="楷体" w:cs="楷体"/>
                <w:b w:val="0"/>
                <w:bCs w:val="0"/>
                <w:color w:val="auto"/>
                <w:sz w:val="21"/>
                <w:szCs w:val="21"/>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管理体系覆盖人数</w:t>
            </w:r>
            <w:r>
              <w:rPr>
                <w:rFonts w:hint="eastAsia" w:ascii="楷体" w:hAnsi="楷体" w:eastAsia="楷体" w:cs="楷体"/>
                <w:b w:val="0"/>
                <w:bCs w:val="0"/>
                <w:color w:val="auto"/>
                <w:sz w:val="21"/>
                <w:szCs w:val="21"/>
                <w:lang w:val="en-US" w:eastAsia="zh-CN"/>
              </w:rPr>
              <w:t>22</w:t>
            </w:r>
            <w:r>
              <w:rPr>
                <w:rFonts w:hint="eastAsia" w:ascii="楷体" w:hAnsi="楷体" w:eastAsia="楷体" w:cs="楷体"/>
                <w:b w:val="0"/>
                <w:bCs w:val="0"/>
                <w:color w:val="auto"/>
                <w:sz w:val="21"/>
                <w:szCs w:val="21"/>
              </w:rPr>
              <w:t>人，白班生产，无倒班情况</w:t>
            </w:r>
          </w:p>
        </w:tc>
        <w:tc>
          <w:tcPr>
            <w:tcW w:w="709" w:type="dxa"/>
          </w:tcPr>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管理方针和目标的适宜性</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5.2     6.2</w:t>
            </w:r>
          </w:p>
        </w:tc>
        <w:tc>
          <w:tcPr>
            <w:tcW w:w="11490" w:type="dxa"/>
          </w:tcPr>
          <w:p>
            <w:pPr>
              <w:adjustRightInd w:val="0"/>
              <w:snapToGrid w:val="0"/>
              <w:spacing w:line="3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公司质量方针：</w:t>
            </w:r>
          </w:p>
          <w:p>
            <w:pPr>
              <w:adjustRightInd w:val="0"/>
              <w:snapToGrid w:val="0"/>
              <w:spacing w:line="36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践行工匠精神、尊重产品的品质灵魂。</w:t>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方针与企业的经营宗旨相适应，协调一致；通过会议传达，沟通，让全体员工理解执行。并定期进行评审（一般一年一次）。</w:t>
            </w: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lang w:val="en-US" w:eastAsia="zh-CN"/>
              </w:rPr>
              <w:t>管理</w:t>
            </w:r>
            <w:r>
              <w:rPr>
                <w:rFonts w:hint="eastAsia" w:ascii="楷体" w:hAnsi="楷体" w:eastAsia="楷体" w:cs="楷体"/>
                <w:b w:val="0"/>
                <w:bCs w:val="0"/>
                <w:color w:val="auto"/>
                <w:sz w:val="21"/>
                <w:szCs w:val="21"/>
              </w:rPr>
              <w:t>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其中质量目标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 xml:space="preserve">                    完成情况</w:t>
            </w:r>
            <w:r>
              <w:rPr>
                <w:rFonts w:hint="eastAsia" w:ascii="楷体" w:hAnsi="楷体" w:eastAsia="楷体" w:cs="楷体"/>
                <w:b w:val="0"/>
                <w:bCs w:val="0"/>
                <w:color w:val="auto"/>
                <w:sz w:val="21"/>
                <w:szCs w:val="21"/>
              </w:rPr>
              <w:t xml:space="preserve"> </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2021年1-2季度</w:t>
            </w:r>
            <w:r>
              <w:rPr>
                <w:rFonts w:hint="eastAsia" w:ascii="楷体" w:hAnsi="楷体" w:eastAsia="楷体" w:cs="楷体"/>
                <w:b w:val="0"/>
                <w:bCs w:val="0"/>
                <w:color w:val="auto"/>
                <w:sz w:val="21"/>
                <w:szCs w:val="21"/>
                <w:lang w:eastAsia="zh-CN"/>
              </w:rPr>
              <w:t>）</w:t>
            </w:r>
          </w:p>
          <w:p>
            <w:pPr>
              <w:adjustRightInd w:val="0"/>
              <w:snapToGrid w:val="0"/>
              <w:spacing w:line="360" w:lineRule="auto"/>
              <w:ind w:firstLine="420" w:firstLineChars="200"/>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产品出厂合格率100%；</w:t>
            </w:r>
            <w:r>
              <w:rPr>
                <w:rFonts w:hint="eastAsia" w:ascii="楷体" w:hAnsi="楷体" w:eastAsia="楷体" w:cs="楷体"/>
                <w:color w:val="000000"/>
                <w:sz w:val="21"/>
                <w:szCs w:val="21"/>
                <w:lang w:val="en-US" w:eastAsia="zh-CN"/>
              </w:rPr>
              <w:t xml:space="preserve">                    100%</w:t>
            </w:r>
          </w:p>
          <w:p>
            <w:pPr>
              <w:ind w:firstLine="420" w:firstLineChars="200"/>
              <w:rPr>
                <w:rFonts w:hint="eastAsia" w:ascii="楷体" w:hAnsi="楷体" w:eastAsia="楷体" w:cs="楷体"/>
                <w:b/>
                <w:bCs/>
                <w:sz w:val="21"/>
                <w:szCs w:val="21"/>
                <w:lang w:val="en-US" w:eastAsia="zh-CN"/>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 xml:space="preserve">顾客满意度达到≥95% </w:t>
            </w:r>
            <w:r>
              <w:rPr>
                <w:rFonts w:hint="eastAsia" w:ascii="楷体" w:hAnsi="楷体" w:eastAsia="楷体" w:cs="楷体"/>
                <w:color w:val="000000"/>
                <w:sz w:val="21"/>
                <w:szCs w:val="21"/>
                <w:lang w:val="en-US" w:eastAsia="zh-CN"/>
              </w:rPr>
              <w:t xml:space="preserve">                     100%</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基本符合标准要求。在方针框架下展开，并分解到各职能部门。</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内审、管理评审策划和实施的符合性及可信性</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9.3</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4</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27-28</w:t>
            </w:r>
            <w:r>
              <w:rPr>
                <w:rFonts w:hint="eastAsia" w:ascii="楷体" w:hAnsi="楷体" w:eastAsia="楷体" w:cs="楷体"/>
                <w:b w:val="0"/>
                <w:bCs w:val="0"/>
                <w:color w:val="auto"/>
                <w:sz w:val="21"/>
                <w:szCs w:val="21"/>
              </w:rPr>
              <w:t>日进行内部审核，提供内部审核计划、内审检查表、不合格报告、内部质量管理体系审核报告等，基本符合要求。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5</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20</w:t>
            </w:r>
            <w:r>
              <w:rPr>
                <w:rFonts w:hint="eastAsia" w:ascii="楷体" w:hAnsi="楷体" w:eastAsia="楷体" w:cs="楷体"/>
                <w:b w:val="0"/>
                <w:bCs w:val="0"/>
                <w:color w:val="auto"/>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申请资料信息的核实确认</w:t>
            </w: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确定第二阶段</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提供营业执照扫描件，网上查询，有效。</w:t>
            </w: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第二阶段审核所需资源的配置较充分。</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商定第二阶段审核时间：202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7</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23-24</w:t>
            </w:r>
            <w:r>
              <w:rPr>
                <w:rFonts w:hint="eastAsia" w:ascii="楷体" w:hAnsi="楷体" w:eastAsia="楷体" w:cs="楷体"/>
                <w:b w:val="0"/>
                <w:bCs w:val="0"/>
                <w:color w:val="auto"/>
                <w:sz w:val="21"/>
                <w:szCs w:val="21"/>
              </w:rPr>
              <w:t>日</w:t>
            </w:r>
          </w:p>
        </w:tc>
        <w:tc>
          <w:tcPr>
            <w:tcW w:w="709" w:type="dxa"/>
          </w:tcPr>
          <w:p>
            <w:pPr>
              <w:rPr>
                <w:rFonts w:hint="eastAsia" w:ascii="楷体" w:hAnsi="楷体" w:eastAsia="楷体" w:cs="楷体"/>
                <w:b w:val="0"/>
                <w:bCs w:val="0"/>
                <w:color w:val="auto"/>
                <w:sz w:val="21"/>
                <w:szCs w:val="21"/>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ind w:firstLine="4680" w:firstLineChars="13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办公室</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覃艳</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欧阳方明</w:t>
            </w:r>
          </w:p>
        </w:tc>
        <w:tc>
          <w:tcPr>
            <w:tcW w:w="70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bidi w:val="0"/>
              <w:rPr>
                <w:rFonts w:hint="eastAsia" w:ascii="楷体" w:hAnsi="楷体" w:eastAsia="楷体" w:cs="楷体"/>
                <w:sz w:val="21"/>
                <w:szCs w:val="21"/>
              </w:rPr>
            </w:pPr>
          </w:p>
        </w:tc>
        <w:tc>
          <w:tcPr>
            <w:tcW w:w="869" w:type="dxa"/>
            <w:vMerge w:val="continue"/>
            <w:vAlign w:val="center"/>
          </w:tcPr>
          <w:p>
            <w:pPr>
              <w:bidi w:val="0"/>
              <w:rPr>
                <w:rFonts w:hint="eastAsia" w:ascii="楷体" w:hAnsi="楷体" w:eastAsia="楷体" w:cs="楷体"/>
                <w:sz w:val="21"/>
                <w:szCs w:val="21"/>
              </w:rPr>
            </w:pPr>
          </w:p>
        </w:tc>
        <w:tc>
          <w:tcPr>
            <w:tcW w:w="1149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1.7.20</w:t>
            </w:r>
          </w:p>
        </w:tc>
        <w:tc>
          <w:tcPr>
            <w:tcW w:w="70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bidi w:val="0"/>
              <w:rPr>
                <w:rFonts w:hint="eastAsia" w:ascii="楷体" w:hAnsi="楷体" w:eastAsia="楷体" w:cs="楷体"/>
                <w:sz w:val="21"/>
                <w:szCs w:val="21"/>
              </w:rPr>
            </w:pPr>
          </w:p>
        </w:tc>
        <w:tc>
          <w:tcPr>
            <w:tcW w:w="869" w:type="dxa"/>
            <w:vMerge w:val="continue"/>
            <w:vAlign w:val="center"/>
          </w:tcPr>
          <w:p>
            <w:pPr>
              <w:bidi w:val="0"/>
              <w:rPr>
                <w:rFonts w:hint="eastAsia" w:ascii="楷体" w:hAnsi="楷体" w:eastAsia="楷体" w:cs="楷体"/>
                <w:sz w:val="21"/>
                <w:szCs w:val="21"/>
              </w:rPr>
            </w:pPr>
          </w:p>
        </w:tc>
        <w:tc>
          <w:tcPr>
            <w:tcW w:w="1149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审核条款：7.1.2/7.1.6/7.5</w:t>
            </w:r>
          </w:p>
        </w:tc>
        <w:tc>
          <w:tcPr>
            <w:tcW w:w="70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bidi w:val="0"/>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bidi w:val="0"/>
              <w:rPr>
                <w:rFonts w:hint="eastAsia" w:ascii="楷体" w:hAnsi="楷体" w:eastAsia="楷体" w:cs="楷体"/>
                <w:sz w:val="21"/>
                <w:szCs w:val="21"/>
              </w:rPr>
            </w:pPr>
            <w:r>
              <w:rPr>
                <w:rFonts w:hint="eastAsia" w:ascii="楷体" w:hAnsi="楷体" w:eastAsia="楷体" w:cs="楷体"/>
                <w:sz w:val="21"/>
                <w:szCs w:val="21"/>
              </w:rPr>
              <w:t>7.1.2/7.1.6/7.5</w:t>
            </w:r>
          </w:p>
        </w:tc>
        <w:tc>
          <w:tcPr>
            <w:tcW w:w="11490" w:type="dxa"/>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目前企业拥有职工2</w:t>
            </w:r>
            <w:r>
              <w:rPr>
                <w:rFonts w:hint="eastAsia" w:ascii="楷体" w:hAnsi="楷体" w:eastAsia="楷体" w:cs="楷体"/>
                <w:sz w:val="21"/>
                <w:szCs w:val="21"/>
                <w:lang w:val="en-US" w:eastAsia="zh-CN"/>
              </w:rPr>
              <w:t>2</w:t>
            </w:r>
            <w:r>
              <w:rPr>
                <w:rFonts w:hint="eastAsia" w:ascii="楷体" w:hAnsi="楷体" w:eastAsia="楷体" w:cs="楷体"/>
                <w:sz w:val="21"/>
                <w:szCs w:val="21"/>
              </w:rPr>
              <w:t>人，包括管理人员</w:t>
            </w:r>
            <w:r>
              <w:rPr>
                <w:rFonts w:hint="eastAsia" w:ascii="楷体" w:hAnsi="楷体" w:eastAsia="楷体" w:cs="楷体"/>
                <w:sz w:val="21"/>
                <w:szCs w:val="21"/>
                <w:lang w:val="en-US" w:eastAsia="zh-CN"/>
              </w:rPr>
              <w:t>4</w:t>
            </w:r>
            <w:r>
              <w:rPr>
                <w:rFonts w:hint="eastAsia" w:ascii="楷体" w:hAnsi="楷体" w:eastAsia="楷体" w:cs="楷体"/>
                <w:sz w:val="21"/>
                <w:szCs w:val="21"/>
              </w:rPr>
              <w:t>人、生产人员、业务人员等。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策划了公司管理体系文件，包括以下层次：</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管理手册 </w:t>
            </w:r>
            <w:r>
              <w:rPr>
                <w:rFonts w:hint="eastAsia" w:ascii="楷体" w:hAnsi="楷体" w:eastAsia="楷体" w:cs="楷体"/>
                <w:sz w:val="21"/>
                <w:szCs w:val="21"/>
                <w:lang w:eastAsia="zh-CN"/>
              </w:rPr>
              <w:t>ORS</w:t>
            </w:r>
            <w:r>
              <w:rPr>
                <w:rFonts w:hint="eastAsia" w:ascii="楷体" w:hAnsi="楷体" w:eastAsia="楷体" w:cs="楷体"/>
                <w:sz w:val="21"/>
                <w:szCs w:val="21"/>
              </w:rPr>
              <w:t>-QM-</w:t>
            </w:r>
            <w:r>
              <w:rPr>
                <w:rFonts w:hint="eastAsia" w:ascii="楷体" w:hAnsi="楷体" w:eastAsia="楷体" w:cs="楷体"/>
                <w:sz w:val="21"/>
                <w:szCs w:val="21"/>
                <w:lang w:eastAsia="zh-CN"/>
              </w:rPr>
              <w:t>2021</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2021年1月1日（含质量目标、方针）</w:t>
            </w:r>
            <w:r>
              <w:rPr>
                <w:rFonts w:hint="eastAsia" w:ascii="楷体" w:hAnsi="楷体" w:eastAsia="楷体" w:cs="楷体"/>
                <w:sz w:val="21"/>
                <w:szCs w:val="21"/>
              </w:rPr>
              <w:t xml:space="preserve">                   </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程序文件</w:t>
            </w:r>
            <w:r>
              <w:rPr>
                <w:rFonts w:hint="eastAsia" w:ascii="楷体" w:hAnsi="楷体" w:eastAsia="楷体" w:cs="楷体"/>
                <w:sz w:val="21"/>
                <w:szCs w:val="21"/>
                <w:lang w:eastAsia="zh-CN"/>
              </w:rPr>
              <w:t>ORS</w:t>
            </w:r>
            <w:r>
              <w:rPr>
                <w:rFonts w:hint="eastAsia" w:ascii="楷体" w:hAnsi="楷体" w:eastAsia="楷体" w:cs="楷体"/>
                <w:sz w:val="21"/>
                <w:szCs w:val="21"/>
              </w:rPr>
              <w:t>-CX-</w:t>
            </w:r>
            <w:r>
              <w:rPr>
                <w:rFonts w:hint="eastAsia" w:ascii="楷体" w:hAnsi="楷体" w:eastAsia="楷体" w:cs="楷体"/>
                <w:sz w:val="21"/>
                <w:szCs w:val="21"/>
                <w:lang w:eastAsia="zh-CN"/>
              </w:rPr>
              <w:t>2021</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2021年1月1日，计18个文件，包含体系所需要的文件</w:t>
            </w:r>
          </w:p>
          <w:p>
            <w:pPr>
              <w:bidi w:val="0"/>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3.管理、作业文件汇编，包括：岗位人员任职要求、质量目标统计分析考核办法、公司设施管理规定等。</w:t>
            </w:r>
          </w:p>
          <w:p>
            <w:pPr>
              <w:bidi w:val="0"/>
              <w:rPr>
                <w:rFonts w:hint="eastAsia" w:ascii="楷体" w:hAnsi="楷体" w:eastAsia="楷体" w:cs="楷体"/>
                <w:sz w:val="21"/>
                <w:szCs w:val="21"/>
              </w:rPr>
            </w:pPr>
            <w:r>
              <w:rPr>
                <w:rFonts w:hint="eastAsia" w:ascii="楷体" w:hAnsi="楷体" w:eastAsia="楷体" w:cs="楷体"/>
                <w:sz w:val="21"/>
                <w:szCs w:val="21"/>
              </w:rPr>
              <w:t>4.体系运行所需要的记录</w:t>
            </w:r>
          </w:p>
          <w:p>
            <w:pPr>
              <w:bidi w:val="0"/>
              <w:rPr>
                <w:rFonts w:hint="eastAsia" w:ascii="楷体" w:hAnsi="楷体" w:eastAsia="楷体" w:cs="楷体"/>
                <w:sz w:val="21"/>
                <w:szCs w:val="21"/>
              </w:rPr>
            </w:pPr>
            <w:r>
              <w:rPr>
                <w:rFonts w:hint="eastAsia" w:ascii="楷体" w:hAnsi="楷体" w:eastAsia="楷体" w:cs="楷体"/>
                <w:sz w:val="21"/>
                <w:szCs w:val="21"/>
              </w:rPr>
              <w:t>成文信息管理目前基本满足要求。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编制了文件控制程序，用于对管理体系文件的管理</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对外来文件进行了识别收集，现场提供有《外来文件清单》包括产品质量法、合同法、标准化法、公司法、</w:t>
            </w:r>
            <w:r>
              <w:rPr>
                <w:rFonts w:hint="eastAsia" w:ascii="楷体" w:hAnsi="楷体" w:eastAsia="楷体" w:cs="楷体"/>
                <w:sz w:val="21"/>
                <w:szCs w:val="21"/>
                <w:lang w:val="en-US" w:eastAsia="zh-CN"/>
              </w:rPr>
              <w:t>相关标准规范：</w:t>
            </w:r>
          </w:p>
          <w:p>
            <w:pPr>
              <w:bidi w:val="0"/>
              <w:rPr>
                <w:rFonts w:hint="eastAsia" w:ascii="楷体" w:hAnsi="楷体" w:eastAsia="楷体" w:cs="楷体"/>
                <w:sz w:val="21"/>
                <w:szCs w:val="21"/>
              </w:rPr>
            </w:pPr>
            <w:r>
              <w:rPr>
                <w:rFonts w:hint="eastAsia" w:ascii="楷体" w:hAnsi="楷体" w:eastAsia="楷体" w:cs="楷体"/>
                <w:sz w:val="21"/>
                <w:szCs w:val="21"/>
              </w:rPr>
              <w:t>质量管理体系 要求</w:t>
            </w:r>
            <w:r>
              <w:rPr>
                <w:rFonts w:hint="eastAsia" w:ascii="楷体" w:hAnsi="楷体" w:eastAsia="楷体" w:cs="楷体"/>
                <w:sz w:val="21"/>
                <w:szCs w:val="21"/>
              </w:rPr>
              <w:tab/>
            </w:r>
            <w:r>
              <w:rPr>
                <w:rFonts w:hint="eastAsia" w:ascii="楷体" w:hAnsi="楷体" w:eastAsia="楷体" w:cs="楷体"/>
                <w:sz w:val="21"/>
                <w:szCs w:val="21"/>
              </w:rPr>
              <w:t>GB/T19001-2016</w:t>
            </w:r>
          </w:p>
          <w:p>
            <w:pPr>
              <w:bidi w:val="0"/>
              <w:rPr>
                <w:rFonts w:hint="eastAsia" w:ascii="楷体" w:hAnsi="楷体" w:eastAsia="楷体" w:cs="楷体"/>
                <w:sz w:val="21"/>
                <w:szCs w:val="21"/>
              </w:rPr>
            </w:pPr>
            <w:r>
              <w:rPr>
                <w:rFonts w:hint="eastAsia" w:ascii="楷体" w:hAnsi="楷体" w:eastAsia="楷体" w:cs="楷体"/>
                <w:sz w:val="21"/>
                <w:szCs w:val="21"/>
              </w:rPr>
              <w:t>质量管理体系 基础和术语</w:t>
            </w:r>
            <w:r>
              <w:rPr>
                <w:rFonts w:hint="eastAsia" w:ascii="楷体" w:hAnsi="楷体" w:eastAsia="楷体" w:cs="楷体"/>
                <w:sz w:val="21"/>
                <w:szCs w:val="21"/>
              </w:rPr>
              <w:tab/>
            </w:r>
            <w:r>
              <w:rPr>
                <w:rFonts w:hint="eastAsia" w:ascii="楷体" w:hAnsi="楷体" w:eastAsia="楷体" w:cs="楷体"/>
                <w:sz w:val="21"/>
                <w:szCs w:val="21"/>
              </w:rPr>
              <w:t>GB/T19000-2016</w:t>
            </w:r>
          </w:p>
          <w:p>
            <w:pPr>
              <w:bidi w:val="0"/>
              <w:rPr>
                <w:rFonts w:hint="eastAsia" w:ascii="楷体" w:hAnsi="楷体" w:eastAsia="楷体" w:cs="楷体"/>
                <w:sz w:val="21"/>
                <w:szCs w:val="21"/>
              </w:rPr>
            </w:pPr>
            <w:r>
              <w:rPr>
                <w:rFonts w:hint="eastAsia" w:ascii="楷体" w:hAnsi="楷体" w:eastAsia="楷体" w:cs="楷体"/>
                <w:sz w:val="21"/>
                <w:szCs w:val="21"/>
              </w:rPr>
              <w:t>中华人民共和国产品质量法</w:t>
            </w:r>
            <w:r>
              <w:rPr>
                <w:rFonts w:hint="eastAsia" w:ascii="楷体" w:hAnsi="楷体" w:eastAsia="楷体" w:cs="楷体"/>
                <w:sz w:val="21"/>
                <w:szCs w:val="21"/>
              </w:rPr>
              <w:tab/>
            </w:r>
            <w:r>
              <w:rPr>
                <w:rFonts w:hint="eastAsia" w:ascii="楷体" w:hAnsi="楷体" w:eastAsia="楷体" w:cs="楷体"/>
                <w:sz w:val="21"/>
                <w:szCs w:val="21"/>
              </w:rPr>
              <w:t>2018年</w:t>
            </w:r>
          </w:p>
          <w:p>
            <w:pPr>
              <w:bidi w:val="0"/>
              <w:rPr>
                <w:rFonts w:hint="eastAsia" w:ascii="楷体" w:hAnsi="楷体" w:eastAsia="楷体" w:cs="楷体"/>
                <w:sz w:val="21"/>
                <w:szCs w:val="21"/>
              </w:rPr>
            </w:pPr>
            <w:r>
              <w:rPr>
                <w:rFonts w:hint="eastAsia" w:ascii="楷体" w:hAnsi="楷体" w:eastAsia="楷体" w:cs="楷体"/>
                <w:sz w:val="21"/>
                <w:szCs w:val="21"/>
              </w:rPr>
              <w:t>中华人民共和国标准化法</w:t>
            </w:r>
            <w:r>
              <w:rPr>
                <w:rFonts w:hint="eastAsia" w:ascii="楷体" w:hAnsi="楷体" w:eastAsia="楷体" w:cs="楷体"/>
                <w:sz w:val="21"/>
                <w:szCs w:val="21"/>
              </w:rPr>
              <w:tab/>
            </w:r>
            <w:r>
              <w:rPr>
                <w:rFonts w:hint="eastAsia" w:ascii="楷体" w:hAnsi="楷体" w:eastAsia="楷体" w:cs="楷体"/>
                <w:sz w:val="21"/>
                <w:szCs w:val="21"/>
              </w:rPr>
              <w:t>2018年</w:t>
            </w:r>
          </w:p>
          <w:p>
            <w:pPr>
              <w:bidi w:val="0"/>
              <w:rPr>
                <w:rFonts w:hint="eastAsia" w:ascii="楷体" w:hAnsi="楷体" w:eastAsia="楷体" w:cs="楷体"/>
                <w:sz w:val="21"/>
                <w:szCs w:val="21"/>
              </w:rPr>
            </w:pPr>
            <w:r>
              <w:rPr>
                <w:rFonts w:hint="eastAsia" w:ascii="楷体" w:hAnsi="楷体" w:eastAsia="楷体" w:cs="楷体"/>
                <w:sz w:val="21"/>
                <w:szCs w:val="21"/>
              </w:rPr>
              <w:t>中华人民共和国安全生产法</w:t>
            </w:r>
            <w:r>
              <w:rPr>
                <w:rFonts w:hint="eastAsia" w:ascii="楷体" w:hAnsi="楷体" w:eastAsia="楷体" w:cs="楷体"/>
                <w:sz w:val="21"/>
                <w:szCs w:val="21"/>
              </w:rPr>
              <w:tab/>
            </w:r>
            <w:r>
              <w:rPr>
                <w:rFonts w:hint="eastAsia" w:ascii="楷体" w:hAnsi="楷体" w:eastAsia="楷体" w:cs="楷体"/>
                <w:sz w:val="21"/>
                <w:szCs w:val="21"/>
              </w:rPr>
              <w:t>2014年</w:t>
            </w:r>
          </w:p>
          <w:p>
            <w:pPr>
              <w:bidi w:val="0"/>
              <w:rPr>
                <w:rFonts w:hint="eastAsia" w:ascii="楷体" w:hAnsi="楷体" w:eastAsia="楷体" w:cs="楷体"/>
                <w:sz w:val="21"/>
                <w:szCs w:val="21"/>
              </w:rPr>
            </w:pPr>
            <w:r>
              <w:rPr>
                <w:rFonts w:hint="eastAsia" w:ascii="楷体" w:hAnsi="楷体" w:eastAsia="楷体" w:cs="楷体"/>
                <w:sz w:val="21"/>
                <w:szCs w:val="21"/>
              </w:rPr>
              <w:t>民法典</w:t>
            </w:r>
            <w:r>
              <w:rPr>
                <w:rFonts w:hint="eastAsia" w:ascii="楷体" w:hAnsi="楷体" w:eastAsia="楷体" w:cs="楷体"/>
                <w:sz w:val="21"/>
                <w:szCs w:val="21"/>
              </w:rPr>
              <w:tab/>
            </w:r>
            <w:r>
              <w:rPr>
                <w:rFonts w:hint="eastAsia" w:ascii="楷体" w:hAnsi="楷体" w:eastAsia="楷体" w:cs="楷体"/>
                <w:sz w:val="21"/>
                <w:szCs w:val="21"/>
              </w:rPr>
              <w:t>2021年</w:t>
            </w:r>
          </w:p>
          <w:p>
            <w:pPr>
              <w:bidi w:val="0"/>
              <w:rPr>
                <w:rFonts w:hint="eastAsia" w:ascii="楷体" w:hAnsi="楷体" w:eastAsia="楷体" w:cs="楷体"/>
                <w:sz w:val="21"/>
                <w:szCs w:val="21"/>
              </w:rPr>
            </w:pPr>
            <w:r>
              <w:rPr>
                <w:rFonts w:hint="eastAsia" w:ascii="楷体" w:hAnsi="楷体" w:eastAsia="楷体" w:cs="楷体"/>
                <w:sz w:val="21"/>
                <w:szCs w:val="21"/>
              </w:rPr>
              <w:t>GB/T 22309-2008《道路车辆.制动衬片.盘式制动块总成和鼓式制动蹄总成剪切强度试验方法》</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QC/T 226-2014 《摩托车和轻便摩托车制动蹄组件和制动衬组件》</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经常上网查询，以更新最新版本</w:t>
            </w:r>
          </w:p>
        </w:tc>
        <w:tc>
          <w:tcPr>
            <w:tcW w:w="709" w:type="dxa"/>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r>
    </w:tbl>
    <w:p>
      <w:pPr>
        <w:spacing w:line="480" w:lineRule="exact"/>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869"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1490"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受审核部门：生产技术部       主管领导：</w:t>
            </w:r>
            <w:r>
              <w:rPr>
                <w:rFonts w:hint="eastAsia" w:ascii="楷体" w:hAnsi="楷体" w:eastAsia="楷体" w:cs="楷体"/>
                <w:color w:val="auto"/>
                <w:sz w:val="21"/>
                <w:szCs w:val="21"/>
                <w:lang w:val="en-US" w:eastAsia="zh-CN"/>
              </w:rPr>
              <w:t>李占良</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欧阳方明</w:t>
            </w:r>
          </w:p>
        </w:tc>
        <w:tc>
          <w:tcPr>
            <w:tcW w:w="709"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color w:val="auto"/>
                <w:sz w:val="21"/>
                <w:szCs w:val="21"/>
              </w:rPr>
            </w:pPr>
          </w:p>
        </w:tc>
        <w:tc>
          <w:tcPr>
            <w:tcW w:w="869" w:type="dxa"/>
            <w:vMerge w:val="continue"/>
            <w:vAlign w:val="center"/>
          </w:tcPr>
          <w:p>
            <w:pPr>
              <w:rPr>
                <w:rFonts w:hint="eastAsia" w:ascii="楷体" w:hAnsi="楷体" w:eastAsia="楷体" w:cs="楷体"/>
                <w:color w:val="auto"/>
                <w:sz w:val="21"/>
                <w:szCs w:val="21"/>
              </w:rPr>
            </w:pPr>
          </w:p>
        </w:tc>
        <w:tc>
          <w:tcPr>
            <w:tcW w:w="11490" w:type="dxa"/>
            <w:vAlign w:val="center"/>
          </w:tcPr>
          <w:p>
            <w:pPr>
              <w:spacing w:before="12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审核员：周文廷                 审核时间：202</w:t>
            </w:r>
            <w:r>
              <w:rPr>
                <w:rFonts w:hint="eastAsia" w:ascii="楷体" w:hAnsi="楷体" w:eastAsia="楷体" w:cs="楷体"/>
                <w:color w:val="auto"/>
                <w:sz w:val="21"/>
                <w:szCs w:val="21"/>
                <w:lang w:val="en-US" w:eastAsia="zh-CN"/>
              </w:rPr>
              <w:t>1.7.20</w:t>
            </w:r>
          </w:p>
        </w:tc>
        <w:tc>
          <w:tcPr>
            <w:tcW w:w="709"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hint="eastAsia" w:ascii="楷体" w:hAnsi="楷体" w:eastAsia="楷体" w:cs="楷体"/>
                <w:color w:val="auto"/>
                <w:sz w:val="21"/>
                <w:szCs w:val="21"/>
              </w:rPr>
            </w:pPr>
          </w:p>
        </w:tc>
        <w:tc>
          <w:tcPr>
            <w:tcW w:w="869" w:type="dxa"/>
            <w:vMerge w:val="continue"/>
            <w:vAlign w:val="center"/>
          </w:tcPr>
          <w:p>
            <w:pPr>
              <w:rPr>
                <w:rFonts w:hint="eastAsia" w:ascii="楷体" w:hAnsi="楷体" w:eastAsia="楷体" w:cs="楷体"/>
                <w:color w:val="auto"/>
                <w:sz w:val="21"/>
                <w:szCs w:val="21"/>
              </w:rPr>
            </w:pPr>
          </w:p>
        </w:tc>
        <w:tc>
          <w:tcPr>
            <w:tcW w:w="1149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b/>
                <w:color w:val="auto"/>
                <w:sz w:val="21"/>
                <w:szCs w:val="21"/>
              </w:rPr>
              <w:t>7.1.3/7.1.4/7.1.5/8.1/8.3/8.5.1</w:t>
            </w:r>
          </w:p>
        </w:tc>
        <w:tc>
          <w:tcPr>
            <w:tcW w:w="709"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人员、组织的知识、体系文件的建立</w:t>
            </w:r>
          </w:p>
        </w:tc>
        <w:tc>
          <w:tcPr>
            <w:tcW w:w="869" w:type="dxa"/>
          </w:tcPr>
          <w:p>
            <w:pPr>
              <w:rPr>
                <w:rFonts w:hint="eastAsia" w:ascii="楷体" w:hAnsi="楷体" w:eastAsia="楷体" w:cs="楷体"/>
                <w:color w:val="auto"/>
                <w:sz w:val="21"/>
                <w:szCs w:val="21"/>
              </w:rPr>
            </w:pPr>
            <w:r>
              <w:rPr>
                <w:rFonts w:hint="eastAsia" w:ascii="楷体" w:hAnsi="楷体" w:eastAsia="楷体" w:cs="楷体"/>
                <w:b/>
                <w:color w:val="auto"/>
                <w:sz w:val="21"/>
                <w:szCs w:val="21"/>
              </w:rPr>
              <w:t>7.1.3/7.1.4/7.1.5/8.1/8.3/8.5.1</w:t>
            </w:r>
          </w:p>
        </w:tc>
        <w:tc>
          <w:tcPr>
            <w:tcW w:w="11490"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配备有办公室、会议室、车间、仓库等基础设施，办公主要设施：电脑、电话、一体机等，满足办公需求。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主要生产设备：三位混合机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空压机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冷干机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抛丸机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堆高车</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氨分解带纯化</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平面磨床</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剪板机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贴体包装机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振动研磨机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经济型开式固定台式压力机可选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液压机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全纤维钟罩式加压烧结炉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吸塑包装机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卧式球磨机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高周波熔接机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V型混料机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粉末冶金粉碎机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集尘器</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立轴圆台平面磨床</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精密四柱裁断机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板材自动上料机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满足生产需求</w:t>
            </w:r>
          </w:p>
          <w:p>
            <w:pPr>
              <w:pStyle w:val="2"/>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特种设备：2.8T天车</w:t>
            </w:r>
          </w:p>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工作环境：</w:t>
            </w:r>
            <w:r>
              <w:rPr>
                <w:rFonts w:hint="eastAsia" w:ascii="楷体" w:hAnsi="楷体" w:eastAsia="楷体" w:cs="楷体"/>
                <w:color w:val="auto"/>
                <w:sz w:val="21"/>
                <w:szCs w:val="21"/>
                <w:lang w:val="en-US" w:eastAsia="zh-CN"/>
              </w:rPr>
              <w:t>车间</w:t>
            </w:r>
            <w:r>
              <w:rPr>
                <w:rFonts w:hint="eastAsia" w:ascii="楷体" w:hAnsi="楷体" w:eastAsia="楷体" w:cs="楷体"/>
                <w:color w:val="auto"/>
                <w:sz w:val="21"/>
                <w:szCs w:val="21"/>
              </w:rPr>
              <w:t>占地面积</w:t>
            </w:r>
            <w:r>
              <w:rPr>
                <w:rFonts w:hint="eastAsia" w:ascii="楷体" w:hAnsi="楷体" w:eastAsia="楷体" w:cs="楷体"/>
                <w:color w:val="auto"/>
                <w:sz w:val="21"/>
                <w:szCs w:val="21"/>
                <w:lang w:val="en-US" w:eastAsia="zh-CN"/>
              </w:rPr>
              <w:t>1800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尚可（配备有集尘器等环保设备，现场查看环保设备正在运行）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办公环境：环境整洁，配备有空调，</w:t>
            </w:r>
          </w:p>
          <w:p>
            <w:pPr>
              <w:rPr>
                <w:rFonts w:hint="eastAsia" w:ascii="楷体" w:hAnsi="楷体" w:eastAsia="楷体" w:cs="楷体"/>
                <w:color w:val="auto"/>
                <w:sz w:val="21"/>
                <w:szCs w:val="21"/>
                <w:highlight w:val="yellow"/>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检验检测设备：游标卡</w:t>
            </w:r>
            <w:r>
              <w:rPr>
                <w:rFonts w:hint="eastAsia" w:ascii="楷体" w:hAnsi="楷体" w:eastAsia="楷体" w:cs="楷体"/>
                <w:color w:val="auto"/>
                <w:sz w:val="21"/>
                <w:szCs w:val="21"/>
                <w:lang w:val="en-US" w:eastAsia="zh-CN"/>
              </w:rPr>
              <w:t>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钢直尺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卷尺等，满足检验需求。</w:t>
            </w:r>
          </w:p>
          <w:p>
            <w:pPr>
              <w:pStyle w:val="2"/>
              <w:spacing w:line="440" w:lineRule="exact"/>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产品依据客户要求、</w:t>
            </w:r>
            <w:r>
              <w:rPr>
                <w:rFonts w:hint="eastAsia" w:ascii="楷体" w:hAnsi="楷体" w:eastAsia="楷体" w:cs="楷体"/>
                <w:b w:val="0"/>
                <w:bCs w:val="0"/>
                <w:color w:val="auto"/>
                <w:sz w:val="21"/>
                <w:szCs w:val="21"/>
                <w:lang w:val="en-US" w:eastAsia="zh-CN"/>
              </w:rPr>
              <w:t>客供图纸、</w:t>
            </w:r>
            <w:r>
              <w:rPr>
                <w:rFonts w:hint="eastAsia" w:ascii="楷体" w:hAnsi="楷体" w:eastAsia="楷体" w:cs="楷体"/>
                <w:b w:val="0"/>
                <w:bCs w:val="0"/>
                <w:color w:val="auto"/>
                <w:sz w:val="21"/>
                <w:szCs w:val="21"/>
              </w:rPr>
              <w:t>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p>
          <w:p>
            <w:pPr>
              <w:numPr>
                <w:ilvl w:val="0"/>
                <w:numId w:val="0"/>
              </w:numPr>
              <w:adjustRightInd w:val="0"/>
              <w:snapToGrid w:val="0"/>
              <w:spacing w:line="360" w:lineRule="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建立了质量目标</w:t>
            </w:r>
            <w:r>
              <w:rPr>
                <w:rFonts w:hint="eastAsia" w:ascii="楷体" w:hAnsi="楷体" w:eastAsia="楷体" w:cs="楷体"/>
                <w:color w:val="auto"/>
                <w:sz w:val="21"/>
                <w:szCs w:val="21"/>
                <w:lang w:eastAsia="zh-CN"/>
              </w:rPr>
              <w:t>：</w:t>
            </w:r>
          </w:p>
          <w:p>
            <w:pPr>
              <w:numPr>
                <w:ilvl w:val="0"/>
                <w:numId w:val="0"/>
              </w:numPr>
              <w:adjustRightInd w:val="0"/>
              <w:snapToGrid w:val="0"/>
              <w:spacing w:line="360" w:lineRule="auto"/>
              <w:ind w:firstLine="420" w:firstLineChars="200"/>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产品出厂合格率100%；</w:t>
            </w:r>
            <w:r>
              <w:rPr>
                <w:rFonts w:hint="eastAsia" w:ascii="楷体" w:hAnsi="楷体" w:eastAsia="楷体" w:cs="楷体"/>
                <w:color w:val="000000"/>
                <w:sz w:val="21"/>
                <w:szCs w:val="21"/>
                <w:lang w:val="en-US" w:eastAsia="zh-CN"/>
              </w:rPr>
              <w:t xml:space="preserve">                   </w:t>
            </w:r>
          </w:p>
          <w:p>
            <w:pPr>
              <w:ind w:firstLine="420" w:firstLineChars="200"/>
              <w:rPr>
                <w:rFonts w:hint="eastAsia" w:ascii="楷体" w:hAnsi="楷体" w:eastAsia="楷体" w:cs="楷体"/>
                <w:color w:val="auto"/>
                <w:sz w:val="21"/>
                <w:szCs w:val="21"/>
                <w:lang w:eastAsia="zh-CN"/>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 xml:space="preserve">顾客满意度达到≥95% </w:t>
            </w:r>
            <w:r>
              <w:rPr>
                <w:rFonts w:hint="eastAsia" w:ascii="楷体" w:hAnsi="楷体" w:eastAsia="楷体" w:cs="楷体"/>
                <w:color w:val="000000"/>
                <w:sz w:val="21"/>
                <w:szCs w:val="21"/>
                <w:lang w:val="en-US" w:eastAsia="zh-CN"/>
              </w:rPr>
              <w:t xml:space="preserve">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2、收集的相关法律法规、技术标准：质量法、合同法、标准化法、公司法</w:t>
            </w:r>
            <w:r>
              <w:rPr>
                <w:rFonts w:hint="eastAsia" w:ascii="楷体" w:hAnsi="楷体" w:eastAsia="楷体" w:cs="楷体"/>
                <w:color w:val="auto"/>
                <w:sz w:val="21"/>
                <w:szCs w:val="21"/>
                <w:lang w:val="en-US" w:eastAsia="zh-CN"/>
              </w:rPr>
              <w:t>及相关标准规范：</w:t>
            </w:r>
          </w:p>
          <w:p>
            <w:pPr>
              <w:bidi w:val="0"/>
              <w:rPr>
                <w:rFonts w:hint="eastAsia" w:ascii="楷体" w:hAnsi="楷体" w:eastAsia="楷体" w:cs="楷体"/>
                <w:sz w:val="21"/>
                <w:szCs w:val="21"/>
              </w:rPr>
            </w:pPr>
            <w:r>
              <w:rPr>
                <w:rFonts w:hint="eastAsia" w:ascii="楷体" w:hAnsi="楷体" w:eastAsia="楷体" w:cs="楷体"/>
                <w:sz w:val="21"/>
                <w:szCs w:val="21"/>
              </w:rPr>
              <w:t>中华人民共和国产品质量法</w:t>
            </w:r>
            <w:r>
              <w:rPr>
                <w:rFonts w:hint="eastAsia" w:ascii="楷体" w:hAnsi="楷体" w:eastAsia="楷体" w:cs="楷体"/>
                <w:sz w:val="21"/>
                <w:szCs w:val="21"/>
              </w:rPr>
              <w:tab/>
            </w:r>
            <w:r>
              <w:rPr>
                <w:rFonts w:hint="eastAsia" w:ascii="楷体" w:hAnsi="楷体" w:eastAsia="楷体" w:cs="楷体"/>
                <w:sz w:val="21"/>
                <w:szCs w:val="21"/>
              </w:rPr>
              <w:t>2018年</w:t>
            </w:r>
          </w:p>
          <w:p>
            <w:pPr>
              <w:bidi w:val="0"/>
              <w:rPr>
                <w:rFonts w:hint="eastAsia" w:ascii="楷体" w:hAnsi="楷体" w:eastAsia="楷体" w:cs="楷体"/>
                <w:sz w:val="21"/>
                <w:szCs w:val="21"/>
              </w:rPr>
            </w:pPr>
            <w:r>
              <w:rPr>
                <w:rFonts w:hint="eastAsia" w:ascii="楷体" w:hAnsi="楷体" w:eastAsia="楷体" w:cs="楷体"/>
                <w:sz w:val="21"/>
                <w:szCs w:val="21"/>
              </w:rPr>
              <w:t>中华人民共和国标准化法</w:t>
            </w:r>
            <w:r>
              <w:rPr>
                <w:rFonts w:hint="eastAsia" w:ascii="楷体" w:hAnsi="楷体" w:eastAsia="楷体" w:cs="楷体"/>
                <w:sz w:val="21"/>
                <w:szCs w:val="21"/>
              </w:rPr>
              <w:tab/>
            </w:r>
            <w:r>
              <w:rPr>
                <w:rFonts w:hint="eastAsia" w:ascii="楷体" w:hAnsi="楷体" w:eastAsia="楷体" w:cs="楷体"/>
                <w:sz w:val="21"/>
                <w:szCs w:val="21"/>
              </w:rPr>
              <w:t>2018年</w:t>
            </w:r>
          </w:p>
          <w:p>
            <w:pPr>
              <w:bidi w:val="0"/>
              <w:rPr>
                <w:rFonts w:hint="eastAsia" w:ascii="楷体" w:hAnsi="楷体" w:eastAsia="楷体" w:cs="楷体"/>
                <w:sz w:val="21"/>
                <w:szCs w:val="21"/>
              </w:rPr>
            </w:pPr>
            <w:r>
              <w:rPr>
                <w:rFonts w:hint="eastAsia" w:ascii="楷体" w:hAnsi="楷体" w:eastAsia="楷体" w:cs="楷体"/>
                <w:sz w:val="21"/>
                <w:szCs w:val="21"/>
              </w:rPr>
              <w:t>中华人民共和国安全生产法</w:t>
            </w:r>
            <w:r>
              <w:rPr>
                <w:rFonts w:hint="eastAsia" w:ascii="楷体" w:hAnsi="楷体" w:eastAsia="楷体" w:cs="楷体"/>
                <w:sz w:val="21"/>
                <w:szCs w:val="21"/>
              </w:rPr>
              <w:tab/>
            </w:r>
            <w:r>
              <w:rPr>
                <w:rFonts w:hint="eastAsia" w:ascii="楷体" w:hAnsi="楷体" w:eastAsia="楷体" w:cs="楷体"/>
                <w:sz w:val="21"/>
                <w:szCs w:val="21"/>
              </w:rPr>
              <w:t>2014年</w:t>
            </w:r>
          </w:p>
          <w:p>
            <w:pPr>
              <w:bidi w:val="0"/>
              <w:rPr>
                <w:rFonts w:hint="eastAsia" w:ascii="楷体" w:hAnsi="楷体" w:eastAsia="楷体" w:cs="楷体"/>
                <w:sz w:val="21"/>
                <w:szCs w:val="21"/>
              </w:rPr>
            </w:pPr>
            <w:r>
              <w:rPr>
                <w:rFonts w:hint="eastAsia" w:ascii="楷体" w:hAnsi="楷体" w:eastAsia="楷体" w:cs="楷体"/>
                <w:sz w:val="21"/>
                <w:szCs w:val="21"/>
              </w:rPr>
              <w:t>民法典</w:t>
            </w:r>
            <w:r>
              <w:rPr>
                <w:rFonts w:hint="eastAsia" w:ascii="楷体" w:hAnsi="楷体" w:eastAsia="楷体" w:cs="楷体"/>
                <w:sz w:val="21"/>
                <w:szCs w:val="21"/>
              </w:rPr>
              <w:tab/>
            </w:r>
            <w:r>
              <w:rPr>
                <w:rFonts w:hint="eastAsia" w:ascii="楷体" w:hAnsi="楷体" w:eastAsia="楷体" w:cs="楷体"/>
                <w:sz w:val="21"/>
                <w:szCs w:val="21"/>
              </w:rPr>
              <w:t>2021年</w:t>
            </w:r>
          </w:p>
          <w:p>
            <w:pPr>
              <w:bidi w:val="0"/>
              <w:rPr>
                <w:rFonts w:hint="eastAsia" w:ascii="楷体" w:hAnsi="楷体" w:eastAsia="楷体" w:cs="楷体"/>
                <w:sz w:val="21"/>
                <w:szCs w:val="21"/>
              </w:rPr>
            </w:pPr>
            <w:r>
              <w:rPr>
                <w:rFonts w:hint="eastAsia" w:ascii="楷体" w:hAnsi="楷体" w:eastAsia="楷体" w:cs="楷体"/>
                <w:sz w:val="21"/>
                <w:szCs w:val="21"/>
              </w:rPr>
              <w:t>GB/T 22309-2008《道路车辆.制动衬片.盘式制动块总成和鼓式制动蹄总成剪切强度试验方法》</w:t>
            </w:r>
          </w:p>
          <w:p>
            <w:pPr>
              <w:rPr>
                <w:rFonts w:hint="eastAsia" w:ascii="楷体" w:hAnsi="楷体" w:eastAsia="楷体" w:cs="楷体"/>
                <w:sz w:val="21"/>
                <w:szCs w:val="21"/>
              </w:rPr>
            </w:pPr>
            <w:r>
              <w:rPr>
                <w:rFonts w:hint="eastAsia" w:ascii="楷体" w:hAnsi="楷体" w:eastAsia="楷体" w:cs="楷体"/>
                <w:sz w:val="21"/>
                <w:szCs w:val="21"/>
              </w:rPr>
              <w:t>QC/T 226-2014 《摩托车和轻便摩托车制动蹄组件和制动衬组件》</w:t>
            </w:r>
          </w:p>
          <w:p>
            <w:pPr>
              <w:numPr>
                <w:ilvl w:val="0"/>
                <w:numId w:val="1"/>
              </w:numPr>
              <w:rPr>
                <w:rFonts w:hint="eastAsia" w:ascii="楷体" w:hAnsi="楷体" w:eastAsia="楷体" w:cs="楷体"/>
                <w:color w:val="auto"/>
                <w:sz w:val="21"/>
                <w:szCs w:val="21"/>
              </w:rPr>
            </w:pPr>
            <w:r>
              <w:rPr>
                <w:rFonts w:hint="eastAsia" w:ascii="楷体" w:hAnsi="楷体" w:eastAsia="楷体" w:cs="楷体"/>
                <w:color w:val="auto"/>
                <w:sz w:val="21"/>
                <w:szCs w:val="21"/>
              </w:rPr>
              <w:t>现场询问了解的产品和服务实现流程为：</w:t>
            </w:r>
          </w:p>
          <w:p>
            <w:pPr>
              <w:pStyle w:val="2"/>
              <w:numPr>
                <w:ilvl w:val="0"/>
                <w:numId w:val="0"/>
              </w:numPr>
              <w:rPr>
                <w:rFonts w:hint="default" w:eastAsia="宋体"/>
                <w:lang w:val="en-US" w:eastAsia="zh-CN"/>
              </w:rPr>
            </w:pPr>
            <w:r>
              <w:rPr>
                <w:rFonts w:hint="eastAsia"/>
                <w:lang w:val="en-US" w:eastAsia="zh-CN"/>
              </w:rPr>
              <w:t>1）生产流程</w:t>
            </w:r>
          </w:p>
          <w:p>
            <w:pPr>
              <w:pStyle w:val="16"/>
              <w:spacing w:line="700" w:lineRule="exact"/>
              <w:ind w:firstLine="3780" w:firstLineChars="1800"/>
              <w:textAlignment w:val="baseline"/>
              <w:rPr>
                <w:rFonts w:hint="eastAsia" w:ascii="楷体" w:hAnsi="楷体" w:eastAsia="楷体" w:cs="楷体"/>
                <w:bCs/>
                <w:color w:val="auto"/>
                <w:sz w:val="21"/>
                <w:szCs w:val="21"/>
                <w:u w:val="none"/>
                <w:lang w:val="en-US" w:eastAsia="zh-CN"/>
              </w:rPr>
            </w:pPr>
            <w:r>
              <w:rPr>
                <w:rFonts w:hint="eastAsia" w:ascii="楷体" w:hAnsi="楷体" w:eastAsia="楷体" w:cs="楷体"/>
                <w:sz w:val="21"/>
                <w:szCs w:val="21"/>
              </w:rPr>
              <w:drawing>
                <wp:anchor distT="0" distB="0" distL="114300" distR="114300" simplePos="0" relativeHeight="251660288" behindDoc="0" locked="0" layoutInCell="1" allowOverlap="1">
                  <wp:simplePos x="0" y="0"/>
                  <wp:positionH relativeFrom="column">
                    <wp:posOffset>863600</wp:posOffset>
                  </wp:positionH>
                  <wp:positionV relativeFrom="paragraph">
                    <wp:posOffset>38100</wp:posOffset>
                  </wp:positionV>
                  <wp:extent cx="2762250" cy="3937000"/>
                  <wp:effectExtent l="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762250" cy="3937000"/>
                          </a:xfrm>
                          <a:prstGeom prst="rect">
                            <a:avLst/>
                          </a:prstGeom>
                          <a:noFill/>
                          <a:ln>
                            <a:noFill/>
                          </a:ln>
                        </pic:spPr>
                      </pic:pic>
                    </a:graphicData>
                  </a:graphic>
                </wp:anchor>
              </w:drawing>
            </w: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rPr>
                <w:rFonts w:hint="eastAsia" w:ascii="楷体" w:hAnsi="楷体" w:eastAsia="楷体" w:cs="楷体"/>
                <w:bCs/>
                <w:color w:val="auto"/>
                <w:sz w:val="21"/>
                <w:szCs w:val="21"/>
                <w:u w:val="none"/>
                <w:lang w:val="en-US" w:eastAsia="zh-CN"/>
              </w:rPr>
            </w:pPr>
          </w:p>
          <w:p>
            <w:pPr>
              <w:pStyle w:val="2"/>
              <w:rPr>
                <w:rFonts w:hint="default"/>
                <w:lang w:val="en-US" w:eastAsia="zh-CN"/>
              </w:rPr>
            </w:pPr>
            <w:r>
              <w:rPr>
                <w:rFonts w:hint="eastAsia"/>
                <w:lang w:val="en-US" w:eastAsia="zh-CN"/>
              </w:rPr>
              <w:t>外包过程：镀铜</w:t>
            </w:r>
          </w:p>
          <w:p>
            <w:pPr>
              <w:rPr>
                <w:rFonts w:hint="eastAsia" w:ascii="楷体" w:hAnsi="楷体" w:eastAsia="楷体" w:cs="楷体"/>
                <w:sz w:val="21"/>
                <w:szCs w:val="21"/>
              </w:rPr>
            </w:pPr>
            <w:r>
              <w:rPr>
                <w:rFonts w:hint="eastAsia" w:ascii="楷体" w:hAnsi="楷体" w:eastAsia="楷体" w:cs="楷体"/>
                <w:bCs/>
                <w:color w:val="auto"/>
                <w:sz w:val="21"/>
                <w:szCs w:val="21"/>
                <w:u w:val="none"/>
                <w:lang w:val="en-US" w:eastAsia="zh-CN"/>
              </w:rPr>
              <w:t>2）销售服务流程：</w:t>
            </w:r>
            <w:r>
              <w:rPr>
                <w:rFonts w:hint="eastAsia" w:ascii="楷体" w:hAnsi="楷体" w:eastAsia="楷体" w:cs="楷体"/>
                <w:sz w:val="21"/>
                <w:szCs w:val="21"/>
              </w:rPr>
              <w:t>业务洽谈-顾客要求评审-签订合同→CIF客户打款→</w:t>
            </w:r>
            <w:r>
              <w:rPr>
                <w:rFonts w:hint="eastAsia" w:ascii="楷体" w:hAnsi="楷体" w:eastAsia="楷体" w:cs="楷体"/>
                <w:sz w:val="21"/>
                <w:szCs w:val="21"/>
                <w:lang w:val="en-US" w:eastAsia="zh-CN"/>
              </w:rPr>
              <w:t>组织产品</w:t>
            </w:r>
            <w:r>
              <w:rPr>
                <w:rFonts w:hint="eastAsia" w:ascii="楷体" w:hAnsi="楷体" w:eastAsia="楷体" w:cs="楷体"/>
                <w:sz w:val="21"/>
                <w:szCs w:val="21"/>
              </w:rPr>
              <w:t>→</w:t>
            </w:r>
            <w:r>
              <w:rPr>
                <w:rFonts w:hint="eastAsia" w:ascii="楷体" w:hAnsi="楷体" w:eastAsia="楷体" w:cs="楷体"/>
                <w:sz w:val="21"/>
                <w:szCs w:val="21"/>
                <w:lang w:val="en-US" w:eastAsia="zh-CN"/>
              </w:rPr>
              <w:t>报关</w:t>
            </w:r>
            <w:r>
              <w:rPr>
                <w:rFonts w:hint="eastAsia" w:ascii="楷体" w:hAnsi="楷体" w:eastAsia="楷体" w:cs="楷体"/>
                <w:sz w:val="21"/>
                <w:szCs w:val="21"/>
              </w:rPr>
              <w:t>→</w:t>
            </w:r>
            <w:r>
              <w:rPr>
                <w:rFonts w:hint="eastAsia" w:ascii="楷体" w:hAnsi="楷体" w:eastAsia="楷体" w:cs="楷体"/>
                <w:sz w:val="21"/>
                <w:szCs w:val="21"/>
                <w:lang w:val="en-US" w:eastAsia="zh-CN"/>
              </w:rPr>
              <w:t>发货</w:t>
            </w:r>
          </w:p>
          <w:p>
            <w:pPr>
              <w:rPr>
                <w:rFonts w:hint="default" w:ascii="楷体" w:hAnsi="楷体" w:eastAsia="楷体" w:cs="楷体"/>
                <w:bCs/>
                <w:color w:val="auto"/>
                <w:sz w:val="21"/>
                <w:szCs w:val="21"/>
                <w:u w:val="none"/>
                <w:lang w:val="en-US" w:eastAsia="zh-CN"/>
              </w:rPr>
            </w:pPr>
            <w:r>
              <w:rPr>
                <w:rFonts w:hint="eastAsia" w:ascii="楷体" w:hAnsi="楷体" w:eastAsia="楷体" w:cs="楷体"/>
                <w:bCs/>
                <w:color w:val="auto"/>
                <w:sz w:val="21"/>
                <w:szCs w:val="21"/>
                <w:u w:val="none"/>
                <w:lang w:val="en-US" w:eastAsia="zh-CN"/>
              </w:rPr>
              <w:t>外包过程：报关</w:t>
            </w:r>
          </w:p>
          <w:p>
            <w:pPr>
              <w:rPr>
                <w:rFonts w:hint="eastAsia" w:ascii="楷体" w:hAnsi="楷体" w:eastAsia="楷体" w:cs="楷体"/>
                <w:color w:val="auto"/>
                <w:sz w:val="21"/>
                <w:szCs w:val="21"/>
                <w:highlight w:val="yellow"/>
              </w:rPr>
            </w:pPr>
            <w:r>
              <w:rPr>
                <w:rFonts w:hint="eastAsia" w:ascii="楷体" w:hAnsi="楷体" w:eastAsia="楷体" w:cs="楷体"/>
                <w:color w:val="auto"/>
                <w:sz w:val="21"/>
                <w:szCs w:val="21"/>
              </w:rPr>
              <w:t>4、规定了产品和服务实现所需的设备设施、人员等资源要求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pict>
                <v:line id="Line 19" o:spid="_x0000_s3074"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eastAsia" w:ascii="楷体" w:hAnsi="楷体" w:eastAsia="楷体" w:cs="楷体"/>
                <w:color w:val="auto"/>
                <w:sz w:val="21"/>
                <w:szCs w:val="21"/>
              </w:rPr>
              <w:t>5、编制了《设备管理制度》、《销售服务规范》、《顾客满意度调查制度》、《服务质量检查制度》等作业文件。</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6、需确认过程：</w:t>
            </w:r>
            <w:r>
              <w:rPr>
                <w:rFonts w:hint="eastAsia" w:ascii="楷体" w:hAnsi="楷体" w:eastAsia="楷体" w:cs="楷体"/>
                <w:color w:val="auto"/>
                <w:sz w:val="21"/>
                <w:szCs w:val="21"/>
                <w:lang w:val="en-US" w:eastAsia="zh-CN"/>
              </w:rPr>
              <w:t>烧结</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配料、销售</w:t>
            </w:r>
            <w:bookmarkStart w:id="3" w:name="_GoBack"/>
            <w:bookmarkEnd w:id="3"/>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7、关键过程：</w:t>
            </w:r>
            <w:r>
              <w:rPr>
                <w:rFonts w:hint="eastAsia" w:ascii="楷体" w:hAnsi="楷体" w:eastAsia="楷体" w:cs="楷体"/>
                <w:color w:val="auto"/>
                <w:sz w:val="21"/>
                <w:szCs w:val="21"/>
                <w:lang w:val="en-US" w:eastAsia="zh-CN"/>
              </w:rPr>
              <w:t>配料、压制成型、烧结、冲压、镀铜</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等</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8、外包过程：</w:t>
            </w:r>
            <w:r>
              <w:rPr>
                <w:rFonts w:hint="eastAsia" w:ascii="楷体" w:hAnsi="楷体" w:eastAsia="楷体" w:cs="楷体"/>
                <w:color w:val="auto"/>
                <w:sz w:val="21"/>
                <w:szCs w:val="21"/>
                <w:lang w:val="en-US" w:eastAsia="zh-CN"/>
              </w:rPr>
              <w:t>镀铜、报关</w:t>
            </w:r>
          </w:p>
        </w:tc>
        <w:tc>
          <w:tcPr>
            <w:tcW w:w="709" w:type="dxa"/>
          </w:tcPr>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A4FA5"/>
    <w:multiLevelType w:val="singleLevel"/>
    <w:tmpl w:val="A08A4FA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50785"/>
    <w:rsid w:val="00067B35"/>
    <w:rsid w:val="001003E0"/>
    <w:rsid w:val="0012740B"/>
    <w:rsid w:val="00132C8E"/>
    <w:rsid w:val="00204CB9"/>
    <w:rsid w:val="00241FB0"/>
    <w:rsid w:val="00242652"/>
    <w:rsid w:val="00280729"/>
    <w:rsid w:val="00314638"/>
    <w:rsid w:val="00323081"/>
    <w:rsid w:val="00326600"/>
    <w:rsid w:val="00387D6F"/>
    <w:rsid w:val="003C5450"/>
    <w:rsid w:val="003F5BD2"/>
    <w:rsid w:val="004568E9"/>
    <w:rsid w:val="00475A89"/>
    <w:rsid w:val="004A6408"/>
    <w:rsid w:val="004D4E37"/>
    <w:rsid w:val="00503F53"/>
    <w:rsid w:val="00522463"/>
    <w:rsid w:val="005F41B2"/>
    <w:rsid w:val="00632D1A"/>
    <w:rsid w:val="00677648"/>
    <w:rsid w:val="006868D8"/>
    <w:rsid w:val="006E262E"/>
    <w:rsid w:val="006E616A"/>
    <w:rsid w:val="00710B61"/>
    <w:rsid w:val="007354B4"/>
    <w:rsid w:val="00754452"/>
    <w:rsid w:val="00783134"/>
    <w:rsid w:val="007D7523"/>
    <w:rsid w:val="008473EB"/>
    <w:rsid w:val="008828F5"/>
    <w:rsid w:val="00885E55"/>
    <w:rsid w:val="008E7390"/>
    <w:rsid w:val="008F42C1"/>
    <w:rsid w:val="00935F38"/>
    <w:rsid w:val="00987D1E"/>
    <w:rsid w:val="0099575D"/>
    <w:rsid w:val="00A516A3"/>
    <w:rsid w:val="00A770C9"/>
    <w:rsid w:val="00A9594E"/>
    <w:rsid w:val="00B10C1F"/>
    <w:rsid w:val="00B30A47"/>
    <w:rsid w:val="00B668F1"/>
    <w:rsid w:val="00B7129D"/>
    <w:rsid w:val="00BB12A6"/>
    <w:rsid w:val="00BF2E0E"/>
    <w:rsid w:val="00C113B3"/>
    <w:rsid w:val="00C1748F"/>
    <w:rsid w:val="00C61A85"/>
    <w:rsid w:val="00CD6D47"/>
    <w:rsid w:val="00CE5738"/>
    <w:rsid w:val="00CE6B72"/>
    <w:rsid w:val="00CF5CDC"/>
    <w:rsid w:val="00D14D7F"/>
    <w:rsid w:val="00D56061"/>
    <w:rsid w:val="00D62600"/>
    <w:rsid w:val="00DA7E49"/>
    <w:rsid w:val="00DF12D0"/>
    <w:rsid w:val="00E01DAA"/>
    <w:rsid w:val="00E22AF8"/>
    <w:rsid w:val="00E25B09"/>
    <w:rsid w:val="00E3020D"/>
    <w:rsid w:val="00E371B7"/>
    <w:rsid w:val="00E42992"/>
    <w:rsid w:val="00E76BC3"/>
    <w:rsid w:val="00EC74A8"/>
    <w:rsid w:val="00F30B3E"/>
    <w:rsid w:val="00F60B43"/>
    <w:rsid w:val="00F82BC7"/>
    <w:rsid w:val="00F95887"/>
    <w:rsid w:val="00FB2262"/>
    <w:rsid w:val="00FD546B"/>
    <w:rsid w:val="00FF4B6B"/>
    <w:rsid w:val="022F0CD0"/>
    <w:rsid w:val="07157E86"/>
    <w:rsid w:val="09A43B5E"/>
    <w:rsid w:val="0E3177B3"/>
    <w:rsid w:val="14127058"/>
    <w:rsid w:val="16505087"/>
    <w:rsid w:val="1AA002A5"/>
    <w:rsid w:val="29E66853"/>
    <w:rsid w:val="2BFD5E4C"/>
    <w:rsid w:val="30C4175D"/>
    <w:rsid w:val="333A2128"/>
    <w:rsid w:val="340E3F7A"/>
    <w:rsid w:val="37AF1F02"/>
    <w:rsid w:val="37C35E16"/>
    <w:rsid w:val="398D1639"/>
    <w:rsid w:val="542B440B"/>
    <w:rsid w:val="554E27EE"/>
    <w:rsid w:val="595E491B"/>
    <w:rsid w:val="63640933"/>
    <w:rsid w:val="68675B71"/>
    <w:rsid w:val="69B150A1"/>
    <w:rsid w:val="6E9E367C"/>
    <w:rsid w:val="7FAD2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pPr>
    <w:rPr>
      <w:szCs w:val="24"/>
    </w:rPr>
  </w:style>
  <w:style w:type="paragraph" w:styleId="4">
    <w:name w:val="Plain Text"/>
    <w:basedOn w:val="1"/>
    <w:link w:val="18"/>
    <w:qFormat/>
    <w:uiPriority w:val="0"/>
    <w:pPr>
      <w:spacing w:line="360" w:lineRule="auto"/>
      <w:ind w:left="200" w:leftChars="200"/>
    </w:pPr>
    <w:rPr>
      <w:rFonts w:ascii="宋体" w:hAnsi="Courier New" w:cs="Courier New" w:eastAsiaTheme="minorEastAsia"/>
      <w:sz w:val="24"/>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Emphasis"/>
    <w:basedOn w:val="9"/>
    <w:qFormat/>
    <w:uiPriority w:val="20"/>
    <w:rPr>
      <w:i/>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character" w:customStyle="1" w:styleId="17">
    <w:name w:val="纯文本 Char"/>
    <w:link w:val="4"/>
    <w:qFormat/>
    <w:uiPriority w:val="0"/>
    <w:rPr>
      <w:rFonts w:ascii="宋体" w:hAnsi="Courier New" w:cs="Courier New"/>
      <w:kern w:val="2"/>
      <w:sz w:val="24"/>
      <w:szCs w:val="21"/>
    </w:rPr>
  </w:style>
  <w:style w:type="character" w:customStyle="1" w:styleId="18">
    <w:name w:val="纯文本 Char1"/>
    <w:basedOn w:val="9"/>
    <w:link w:val="4"/>
    <w:semiHidden/>
    <w:qFormat/>
    <w:uiPriority w:val="99"/>
    <w:rPr>
      <w:rFonts w:ascii="宋体" w:hAnsi="Courier New" w:eastAsia="宋体" w:cs="Courier New"/>
      <w:kern w:val="2"/>
      <w:sz w:val="21"/>
      <w:szCs w:val="21"/>
    </w:rPr>
  </w:style>
  <w:style w:type="character" w:customStyle="1" w:styleId="19">
    <w:name w:val="正文文本 Char"/>
    <w:basedOn w:val="9"/>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482</Words>
  <Characters>2748</Characters>
  <Lines>22</Lines>
  <Paragraphs>6</Paragraphs>
  <TotalTime>2</TotalTime>
  <ScaleCrop>false</ScaleCrop>
  <LinksUpToDate>false</LinksUpToDate>
  <CharactersWithSpaces>3224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2021-07-26T06:39:54Z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E0A36325C7B34634B37061C907C4B645</vt:lpwstr>
  </property>
</Properties>
</file>