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752" w:type="dxa"/>
            <w:vAlign w:val="center"/>
          </w:tcPr>
          <w:p>
            <w:pPr>
              <w:rPr>
                <w:rFonts w:hint="eastAsia" w:eastAsia="宋体"/>
                <w:color w:val="auto"/>
                <w:sz w:val="24"/>
                <w:szCs w:val="24"/>
                <w:lang w:val="en-US" w:eastAsia="zh-CN"/>
              </w:rPr>
            </w:pPr>
            <w:r>
              <w:rPr>
                <w:rFonts w:hint="eastAsia"/>
                <w:color w:val="auto"/>
                <w:sz w:val="24"/>
                <w:szCs w:val="24"/>
              </w:rPr>
              <w:t>受审核部门：管理层</w:t>
            </w:r>
            <w:r>
              <w:rPr>
                <w:color w:val="auto"/>
                <w:sz w:val="24"/>
                <w:szCs w:val="24"/>
              </w:rPr>
              <w:t xml:space="preserve">           </w:t>
            </w:r>
            <w:r>
              <w:rPr>
                <w:rFonts w:hint="eastAsia"/>
                <w:color w:val="auto"/>
                <w:sz w:val="24"/>
                <w:szCs w:val="24"/>
              </w:rPr>
              <w:t xml:space="preserve">         主管领</w:t>
            </w:r>
            <w:r>
              <w:rPr>
                <w:rFonts w:hint="eastAsia" w:ascii="宋体" w:hAnsi="宋体" w:cs="宋体"/>
                <w:color w:val="auto"/>
                <w:sz w:val="24"/>
                <w:szCs w:val="24"/>
              </w:rPr>
              <w:t>导：</w:t>
            </w:r>
            <w:r>
              <w:rPr>
                <w:rFonts w:hint="eastAsia"/>
                <w:lang w:val="en-US" w:eastAsia="zh-CN"/>
              </w:rPr>
              <w:t>谭明军</w:t>
            </w:r>
            <w:r>
              <w:rPr>
                <w:rFonts w:hint="eastAsia" w:ascii="宋体" w:hAnsi="宋体" w:cs="宋体"/>
                <w:color w:val="auto"/>
                <w:sz w:val="24"/>
                <w:szCs w:val="24"/>
              </w:rPr>
              <w:t xml:space="preserve">  </w:t>
            </w:r>
            <w:r>
              <w:rPr>
                <w:rFonts w:hint="eastAsia"/>
                <w:color w:val="auto"/>
                <w:sz w:val="24"/>
                <w:szCs w:val="24"/>
              </w:rPr>
              <w:t>陪同人员：</w:t>
            </w:r>
            <w:bookmarkStart w:id="0" w:name="联系人"/>
            <w:r>
              <w:rPr>
                <w:rFonts w:ascii="宋体" w:hAnsi="宋体" w:cs="宋体"/>
                <w:color w:val="000000"/>
                <w:kern w:val="0"/>
                <w:szCs w:val="24"/>
              </w:rPr>
              <w:t>姜红梅</w:t>
            </w:r>
            <w:bookmarkEnd w:id="0"/>
          </w:p>
        </w:tc>
        <w:tc>
          <w:tcPr>
            <w:tcW w:w="83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rPr>
                <w:rFonts w:hint="default" w:eastAsia="宋体"/>
                <w:color w:val="auto"/>
                <w:sz w:val="24"/>
                <w:szCs w:val="24"/>
                <w:lang w:val="en-US" w:eastAsia="zh-CN"/>
              </w:rPr>
            </w:pPr>
            <w:r>
              <w:rPr>
                <w:rFonts w:hint="eastAsia"/>
                <w:color w:val="auto"/>
                <w:sz w:val="24"/>
                <w:szCs w:val="24"/>
              </w:rPr>
              <w:t>审核员：</w:t>
            </w:r>
            <w:r>
              <w:rPr>
                <w:color w:val="auto"/>
                <w:sz w:val="24"/>
                <w:szCs w:val="24"/>
              </w:rPr>
              <w:t xml:space="preserve">  </w:t>
            </w:r>
            <w:r>
              <w:rPr>
                <w:rFonts w:hint="eastAsia"/>
                <w:color w:val="auto"/>
                <w:sz w:val="24"/>
                <w:szCs w:val="24"/>
                <w:lang w:val="en-US" w:eastAsia="zh-CN"/>
              </w:rPr>
              <w:t>李京田</w:t>
            </w:r>
            <w:r>
              <w:rPr>
                <w:color w:val="auto"/>
                <w:sz w:val="24"/>
                <w:szCs w:val="24"/>
              </w:rPr>
              <w:t xml:space="preserve">      </w:t>
            </w:r>
            <w:r>
              <w:rPr>
                <w:rFonts w:hint="eastAsia"/>
                <w:color w:val="auto"/>
                <w:sz w:val="24"/>
                <w:szCs w:val="24"/>
              </w:rPr>
              <w:t>审核时间</w:t>
            </w:r>
            <w:r>
              <w:rPr>
                <w:rFonts w:hint="eastAsia" w:ascii="宋体" w:hAnsi="宋体" w:cs="宋体"/>
                <w:color w:val="auto"/>
                <w:sz w:val="24"/>
                <w:szCs w:val="24"/>
              </w:rPr>
              <w:t>：</w:t>
            </w:r>
            <w:r>
              <w:rPr>
                <w:rFonts w:ascii="宋体" w:hAnsi="宋体" w:cs="宋体"/>
                <w:color w:val="auto"/>
                <w:sz w:val="24"/>
                <w:szCs w:val="24"/>
              </w:rPr>
              <w:t>2021.</w:t>
            </w:r>
            <w:r>
              <w:rPr>
                <w:rFonts w:hint="eastAsia" w:ascii="宋体" w:hAnsi="宋体" w:cs="宋体"/>
                <w:color w:val="auto"/>
                <w:sz w:val="24"/>
                <w:szCs w:val="24"/>
                <w:lang w:val="en-US" w:eastAsia="zh-CN"/>
              </w:rPr>
              <w:t>11.5</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752" w:type="dxa"/>
            <w:vAlign w:val="center"/>
          </w:tcPr>
          <w:p>
            <w:pPr>
              <w:snapToGrid w:val="0"/>
              <w:spacing w:line="320" w:lineRule="exact"/>
              <w:jc w:val="left"/>
              <w:rPr>
                <w:rFonts w:hint="eastAsia" w:asciiTheme="minorEastAsia" w:hAnsiTheme="minorEastAsia" w:eastAsiaTheme="minorEastAsia" w:cstheme="minorEastAsia"/>
                <w:b w:val="0"/>
                <w:bCs w:val="0"/>
                <w:color w:val="auto"/>
                <w:sz w:val="18"/>
                <w:szCs w:val="18"/>
                <w:lang w:val="en-US" w:eastAsia="zh-CN"/>
              </w:rPr>
            </w:pPr>
            <w:r>
              <w:rPr>
                <w:rFonts w:hint="eastAsia"/>
                <w:color w:val="auto"/>
                <w:sz w:val="24"/>
                <w:szCs w:val="24"/>
              </w:rPr>
              <w:t>审核条款</w:t>
            </w:r>
            <w:r>
              <w:rPr>
                <w:rFonts w:hint="eastAsia"/>
                <w:color w:val="auto"/>
                <w:sz w:val="24"/>
                <w:szCs w:val="24"/>
                <w:lang w:eastAsia="zh-CN"/>
              </w:rPr>
              <w:t>：</w:t>
            </w:r>
            <w:r>
              <w:rPr>
                <w:rFonts w:hint="eastAsia" w:asciiTheme="minorEastAsia" w:hAnsiTheme="minorEastAsia" w:eastAsiaTheme="minorEastAsia" w:cstheme="minorEastAsia"/>
                <w:b/>
                <w:bCs/>
                <w:color w:val="auto"/>
                <w:sz w:val="18"/>
                <w:szCs w:val="18"/>
                <w:lang w:val="en-US" w:eastAsia="zh-CN"/>
              </w:rPr>
              <w:t>En :</w:t>
            </w:r>
            <w:r>
              <w:rPr>
                <w:rFonts w:hint="eastAsia" w:asciiTheme="minorEastAsia" w:hAnsiTheme="minorEastAsia" w:eastAsiaTheme="minorEastAsia" w:cstheme="minorEastAsia"/>
                <w:b w:val="0"/>
                <w:bCs w:val="0"/>
                <w:color w:val="auto"/>
                <w:sz w:val="18"/>
                <w:szCs w:val="18"/>
                <w:lang w:val="en-US" w:eastAsia="zh-CN"/>
              </w:rPr>
              <w:t xml:space="preserve">4.1-4/5.1-3/6.1/6.2/7.1/9.1.1/9.3/10.1/10.2 </w:t>
            </w:r>
          </w:p>
          <w:p>
            <w:pPr>
              <w:snapToGrid w:val="0"/>
              <w:spacing w:line="320" w:lineRule="exact"/>
              <w:jc w:val="left"/>
              <w:rPr>
                <w:color w:val="auto"/>
                <w:sz w:val="24"/>
                <w:szCs w:val="24"/>
              </w:rPr>
            </w:pPr>
            <w:r>
              <w:rPr>
                <w:rFonts w:hint="eastAsia" w:asciiTheme="minorEastAsia" w:hAnsiTheme="minorEastAsia" w:eastAsiaTheme="minorEastAsia" w:cstheme="minorEastAsia"/>
                <w:b w:val="0"/>
                <w:bCs w:val="0"/>
                <w:color w:val="auto"/>
                <w:sz w:val="18"/>
                <w:szCs w:val="18"/>
                <w:lang w:val="en-US" w:eastAsia="zh-CN"/>
              </w:rPr>
              <w:t xml:space="preserve"> </w:t>
            </w:r>
            <w:r>
              <w:rPr>
                <w:rFonts w:hint="eastAsia" w:asciiTheme="minorEastAsia" w:hAnsiTheme="minorEastAsia" w:eastAsiaTheme="minorEastAsia" w:cstheme="minorEastAsia"/>
                <w:b/>
                <w:bCs/>
                <w:color w:val="auto"/>
                <w:sz w:val="18"/>
                <w:szCs w:val="18"/>
                <w:lang w:val="en-US" w:eastAsia="zh-CN"/>
              </w:rPr>
              <w:t>En:</w:t>
            </w:r>
            <w:r>
              <w:rPr>
                <w:rFonts w:hint="eastAsia" w:asciiTheme="minorEastAsia" w:hAnsiTheme="minorEastAsia" w:eastAsiaTheme="minorEastAsia" w:cstheme="minorEastAsia"/>
                <w:b w:val="0"/>
                <w:bCs w:val="0"/>
                <w:color w:val="auto"/>
                <w:sz w:val="18"/>
                <w:szCs w:val="18"/>
                <w:lang w:val="en-US" w:eastAsia="zh-CN"/>
              </w:rPr>
              <w:t>6.1</w:t>
            </w:r>
          </w:p>
        </w:tc>
        <w:tc>
          <w:tcPr>
            <w:tcW w:w="83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tcPr>
          <w:p>
            <w:pPr>
              <w:rPr>
                <w:rFonts w:ascii="宋体" w:cs="Arial"/>
                <w:color w:val="auto"/>
                <w:spacing w:val="-6"/>
                <w:szCs w:val="21"/>
              </w:rPr>
            </w:pPr>
            <w:r>
              <w:rPr>
                <w:rFonts w:hint="eastAsia" w:ascii="宋体" w:hAnsi="宋体" w:cs="Arial"/>
                <w:color w:val="auto"/>
                <w:spacing w:val="-6"/>
                <w:szCs w:val="21"/>
              </w:rPr>
              <w:t>理解组织及其环境</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4.1</w:t>
            </w:r>
          </w:p>
          <w:p>
            <w:pPr>
              <w:rPr>
                <w:color w:val="auto"/>
              </w:rPr>
            </w:pPr>
          </w:p>
        </w:tc>
        <w:tc>
          <w:tcPr>
            <w:tcW w:w="10752" w:type="dxa"/>
          </w:tcPr>
          <w:p>
            <w:pPr>
              <w:rPr>
                <w:rFonts w:hint="eastAsia"/>
              </w:rPr>
            </w:pPr>
            <w:r>
              <w:rPr>
                <w:rFonts w:hint="eastAsia"/>
              </w:rPr>
              <w:t>湖北洪伯车辆有限公司</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bookmarkStart w:id="1" w:name="注册地址"/>
            <w:r>
              <w:rPr>
                <w:rFonts w:hint="eastAsia" w:ascii="宋体" w:hAnsi="宋体" w:cs="宋体"/>
                <w:color w:val="000000"/>
                <w:kern w:val="0"/>
                <w:szCs w:val="21"/>
              </w:rPr>
              <w:t>湖北省谷城经济开发区</w:t>
            </w:r>
            <w:bookmarkEnd w:id="1"/>
          </w:p>
          <w:p>
            <w:r>
              <w:rPr>
                <w:rFonts w:hint="eastAsia" w:asciiTheme="minorEastAsia" w:hAnsiTheme="minorEastAsia" w:eastAsiaTheme="minorEastAsia" w:cstheme="minorEastAsia"/>
                <w:color w:val="auto"/>
                <w:szCs w:val="21"/>
              </w:rPr>
              <w:t>经营地址：</w:t>
            </w:r>
            <w:r>
              <w:rPr>
                <w:rFonts w:hint="eastAsia" w:ascii="宋体" w:hAnsi="宋体" w:cs="宋体"/>
                <w:color w:val="000000"/>
                <w:kern w:val="0"/>
                <w:szCs w:val="21"/>
              </w:rPr>
              <w:t>湖北省谷城经济开发区</w:t>
            </w:r>
          </w:p>
          <w:p>
            <w:pPr>
              <w:rPr>
                <w:rFonts w:hint="eastAsia" w:ascii="宋体" w:hAnsi="宋体" w:cs="宋体"/>
                <w:color w:val="000000"/>
                <w:kern w:val="0"/>
                <w:szCs w:val="21"/>
              </w:rPr>
            </w:pPr>
            <w:r>
              <w:rPr>
                <w:rFonts w:hint="eastAsia" w:asciiTheme="minorEastAsia" w:hAnsiTheme="minorEastAsia" w:eastAsiaTheme="minorEastAsia" w:cstheme="minorEastAsia"/>
                <w:color w:val="auto"/>
                <w:szCs w:val="21"/>
              </w:rPr>
              <w:t>查营业执照</w:t>
            </w:r>
            <w:r>
              <w:rPr>
                <w:rFonts w:hint="eastAsia" w:ascii="宋体" w:hAnsi="宋体" w:cs="宋体"/>
                <w:color w:val="000000"/>
                <w:kern w:val="0"/>
                <w:szCs w:val="21"/>
              </w:rPr>
              <w:t>，统一社会信用代码</w:t>
            </w:r>
            <w:r>
              <w:rPr>
                <w:rFonts w:hint="eastAsia" w:ascii="宋体" w:hAnsi="宋体" w:cs="宋体"/>
                <w:color w:val="000000"/>
                <w:kern w:val="0"/>
                <w:szCs w:val="21"/>
              </w:rPr>
              <w:t>：914206255627285975</w:t>
            </w:r>
          </w:p>
          <w:p>
            <w:pPr>
              <w:rPr>
                <w:rFonts w:hint="eastAsia" w:ascii="宋体" w:hAnsi="宋体" w:cs="宋体"/>
                <w:color w:val="000000"/>
                <w:kern w:val="0"/>
                <w:szCs w:val="21"/>
                <w:lang w:val="en-US" w:eastAsia="zh-CN"/>
              </w:rPr>
            </w:pPr>
            <w:r>
              <w:rPr>
                <w:rFonts w:hint="eastAsia" w:ascii="宋体" w:hAnsi="宋体" w:cs="宋体"/>
                <w:color w:val="000000"/>
                <w:kern w:val="0"/>
                <w:szCs w:val="21"/>
              </w:rPr>
              <w:t>成立日期：2010-10-28 至 -</w:t>
            </w:r>
            <w:r>
              <w:rPr>
                <w:rFonts w:hint="eastAsia" w:ascii="宋体" w:hAnsi="宋体" w:cs="宋体"/>
                <w:color w:val="000000"/>
                <w:kern w:val="0"/>
                <w:szCs w:val="21"/>
                <w:lang w:val="en-US" w:eastAsia="zh-CN"/>
              </w:rPr>
              <w:t xml:space="preserve"> 长期</w:t>
            </w:r>
          </w:p>
          <w:p>
            <w:pPr>
              <w:rPr>
                <w:rFonts w:hint="eastAsia" w:ascii="宋体" w:hAnsi="宋体" w:cs="宋体"/>
                <w:color w:val="000000"/>
                <w:kern w:val="0"/>
                <w:szCs w:val="21"/>
              </w:rPr>
            </w:pPr>
            <w:r>
              <w:rPr>
                <w:rFonts w:hint="eastAsia" w:ascii="宋体" w:hAnsi="宋体" w:cs="宋体"/>
                <w:color w:val="000000"/>
                <w:kern w:val="0"/>
                <w:szCs w:val="21"/>
              </w:rPr>
              <w:t>法人代表：谭明军   </w:t>
            </w:r>
          </w:p>
          <w:p>
            <w:pPr>
              <w:rPr>
                <w:rFonts w:hint="eastAsia" w:ascii="宋体" w:hAnsi="宋体" w:cs="宋体"/>
                <w:color w:val="000000"/>
                <w:kern w:val="0"/>
                <w:szCs w:val="21"/>
              </w:rPr>
            </w:pPr>
            <w:r>
              <w:rPr>
                <w:rFonts w:hint="eastAsia" w:ascii="宋体" w:hAnsi="宋体" w:cs="宋体"/>
                <w:color w:val="000000"/>
                <w:kern w:val="0"/>
                <w:szCs w:val="21"/>
              </w:rPr>
              <w:t>营业执照范围：经营范围包括制造、销售：汽车零部件及配件、钢铁锻造件、机械零部件及配件。货物进出口、技术进出口（不含国家禁止或限制进出口的货物或技术）。</w:t>
            </w:r>
          </w:p>
          <w:p>
            <w:pPr>
              <w:rPr>
                <w:rFonts w:hint="eastAsia" w:ascii="宋体" w:hAnsi="宋体" w:cs="宋体"/>
                <w:color w:val="000000"/>
                <w:kern w:val="0"/>
                <w:szCs w:val="21"/>
              </w:rPr>
            </w:pPr>
            <w:r>
              <w:rPr>
                <w:rFonts w:hint="eastAsia" w:ascii="宋体" w:hAnsi="宋体" w:cs="宋体"/>
                <w:color w:val="000000"/>
                <w:kern w:val="0"/>
                <w:szCs w:val="21"/>
              </w:rPr>
              <w:t>查国家企业信用信息公示系统，企业无异常经营记录、无违法失信记录。</w:t>
            </w:r>
          </w:p>
          <w:p>
            <w:pPr>
              <w:pStyle w:val="6"/>
              <w:ind w:left="0" w:leftChars="0" w:firstLine="0" w:firstLineChars="0"/>
              <w:rPr>
                <w:rFonts w:hint="eastAsia"/>
                <w:lang w:val="en-US" w:eastAsia="zh-CN"/>
              </w:rPr>
            </w:pPr>
          </w:p>
          <w:p>
            <w:pP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认证范围：</w:t>
            </w:r>
          </w:p>
          <w:p>
            <w:pPr>
              <w:rPr>
                <w:rFonts w:hint="eastAsia" w:ascii="宋体" w:hAnsi="宋体"/>
                <w:szCs w:val="21"/>
              </w:rPr>
            </w:pPr>
            <w:bookmarkStart w:id="2" w:name="审核范围"/>
            <w:r>
              <w:rPr>
                <w:rFonts w:hint="eastAsia" w:ascii="宋体" w:hAnsi="宋体"/>
                <w:szCs w:val="21"/>
              </w:rPr>
              <w:t>EnMS：</w:t>
            </w:r>
            <w:bookmarkEnd w:id="2"/>
            <w:r>
              <w:rPr>
                <w:rFonts w:hint="eastAsia" w:ascii="宋体" w:hAnsi="宋体" w:cs="宋体"/>
                <w:color w:val="000000"/>
                <w:kern w:val="0"/>
                <w:szCs w:val="21"/>
              </w:rPr>
              <w:t>转向节及转向节臂锻件制造</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无投诉或事故</w:t>
            </w:r>
          </w:p>
          <w:p>
            <w:pPr>
              <w:spacing w:line="360" w:lineRule="auto"/>
              <w:ind w:firstLine="360" w:firstLineChars="200"/>
              <w:rPr>
                <w:rFonts w:hint="eastAsia"/>
                <w:color w:val="auto"/>
              </w:rPr>
            </w:pPr>
            <w:r>
              <w:rPr>
                <w:rFonts w:hint="eastAsia" w:ascii="宋体" w:hAnsi="宋体" w:eastAsia="宋体" w:cs="Times New Roman"/>
                <w:color w:val="auto"/>
                <w:kern w:val="2"/>
                <w:sz w:val="18"/>
                <w:szCs w:val="22"/>
                <w:lang w:val="en-US" w:eastAsia="zh-CN" w:bidi="ar-SA"/>
              </w:rPr>
              <w:t>一阶段问题：无</w:t>
            </w:r>
          </w:p>
          <w:p>
            <w:pPr>
              <w:rPr>
                <w:rFonts w:hint="default"/>
                <w:color w:val="auto"/>
                <w:lang w:val="en-US" w:eastAsia="zh-CN"/>
              </w:rPr>
            </w:pPr>
            <w:r>
              <w:rPr>
                <w:rFonts w:hint="eastAsia" w:asciiTheme="minorEastAsia" w:hAnsiTheme="minorEastAsia" w:eastAsiaTheme="minorEastAsia" w:cstheme="minorEastAsia"/>
                <w:color w:val="auto"/>
                <w:szCs w:val="21"/>
                <w:lang w:val="en-US" w:eastAsia="zh-CN"/>
              </w:rPr>
              <w:t>近一年</w:t>
            </w:r>
            <w:r>
              <w:rPr>
                <w:rFonts w:hint="eastAsia" w:asciiTheme="minorEastAsia" w:hAnsiTheme="minorEastAsia" w:eastAsiaTheme="minorEastAsia" w:cstheme="minorEastAsia"/>
                <w:color w:val="auto"/>
                <w:szCs w:val="21"/>
              </w:rPr>
              <w:t>政府主管部门监督抽查情况</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无</w:t>
            </w:r>
          </w:p>
          <w:p>
            <w:pPr>
              <w:spacing w:line="2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hint="eastAsia" w:ascii="宋体" w:hAnsi="宋体" w:cs="Arial"/>
                <w:color w:val="auto"/>
                <w:spacing w:val="-6"/>
                <w:szCs w:val="21"/>
              </w:rPr>
            </w:pPr>
            <w:r>
              <w:rPr>
                <w:rFonts w:hint="eastAsia" w:asciiTheme="minorEastAsia" w:hAnsiTheme="minorEastAsia" w:eastAsiaTheme="minorEastAsia" w:cstheme="minorEastAsia"/>
                <w:color w:val="auto"/>
                <w:szCs w:val="21"/>
              </w:rPr>
              <w:t>公司每年根据由公司销售人员从市场、客户、网络等搜集到的信息并结合公司自身业务运作情况进行分析，通过分析对这些内部和外部因素的相关信息进行监视和评审以确保其充分和适宜。</w:t>
            </w:r>
          </w:p>
          <w:p>
            <w:pPr>
              <w:rPr>
                <w:color w:val="auto"/>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rPr>
                <w:rFonts w:ascii="宋体" w:cs="Arial"/>
                <w:color w:val="auto"/>
                <w:spacing w:val="-6"/>
                <w:szCs w:val="21"/>
              </w:rPr>
            </w:pPr>
            <w:r>
              <w:rPr>
                <w:rFonts w:hint="eastAsia" w:ascii="宋体" w:hAnsi="宋体" w:cs="Arial"/>
                <w:color w:val="auto"/>
                <w:spacing w:val="-6"/>
                <w:szCs w:val="21"/>
              </w:rPr>
              <w:t>理解相关方的需求和期望</w:t>
            </w: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pStyle w:val="3"/>
              <w:rPr>
                <w:rFonts w:ascii="宋体" w:cs="Arial"/>
                <w:color w:val="auto"/>
                <w:spacing w:val="-6"/>
                <w:sz w:val="21"/>
                <w:szCs w:val="21"/>
              </w:rPr>
            </w:pPr>
          </w:p>
          <w:p>
            <w:pPr>
              <w:rPr>
                <w:rFonts w:ascii="宋体" w:cs="Arial"/>
                <w:b/>
                <w:bCs/>
                <w:color w:val="auto"/>
                <w:spacing w:val="-6"/>
                <w:szCs w:val="21"/>
              </w:rPr>
            </w:pPr>
            <w:r>
              <w:rPr>
                <w:rFonts w:hint="eastAsia" w:ascii="宋体" w:hAnsi="宋体" w:cs="Arial"/>
                <w:b/>
                <w:bCs/>
                <w:color w:val="auto"/>
                <w:spacing w:val="-6"/>
                <w:szCs w:val="21"/>
              </w:rPr>
              <w:t>法律法规和其他要求</w:t>
            </w:r>
          </w:p>
          <w:p>
            <w:pPr>
              <w:rPr>
                <w:color w:val="auto"/>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4.2</w:t>
            </w:r>
          </w:p>
          <w:p>
            <w:pPr>
              <w:rPr>
                <w:color w:val="auto"/>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与公司高管交流，内外部相关方需求分析到位，未形成很好的书面材料。口头交流。</w:t>
            </w:r>
          </w:p>
          <w:p>
            <w:pPr>
              <w:rPr>
                <w:rFonts w:ascii="宋体" w:cs="Arial"/>
                <w:color w:val="auto"/>
                <w:spacing w:val="-6"/>
                <w:szCs w:val="21"/>
              </w:rPr>
            </w:pPr>
            <w:r>
              <w:rPr>
                <w:rFonts w:hint="eastAsia" w:asciiTheme="minorEastAsia" w:hAnsiTheme="minorEastAsia" w:eastAsiaTheme="minorEastAsia" w:cstheme="minorEastAsia"/>
                <w:color w:val="auto"/>
                <w:szCs w:val="21"/>
              </w:rPr>
              <w:t>内外部环境要素识别与评估：在每年的管理评审前，由相关部门负责人进行识别并评估其适宜性。以便于持续满足相关方的需求和期望</w:t>
            </w:r>
          </w:p>
          <w:p>
            <w:pPr>
              <w:rPr>
                <w:rFonts w:ascii="宋体" w:cs="Arial"/>
                <w:color w:val="auto"/>
                <w:spacing w:val="-6"/>
                <w:szCs w:val="21"/>
              </w:rPr>
            </w:pPr>
          </w:p>
          <w:p>
            <w:pPr>
              <w:rPr>
                <w:rFonts w:ascii="宋体" w:cs="Arial"/>
                <w:color w:val="auto"/>
                <w:spacing w:val="-6"/>
                <w:szCs w:val="21"/>
              </w:rPr>
            </w:pPr>
            <w:r>
              <w:rPr>
                <w:rFonts w:hint="eastAsia" w:ascii="宋体" w:hAnsi="宋体" w:cs="Arial"/>
                <w:color w:val="auto"/>
                <w:spacing w:val="-6"/>
                <w:szCs w:val="21"/>
              </w:rPr>
              <w:t>编制了《法律、法规及其它要求适用性识别单》其中法律法规及其他要求</w:t>
            </w:r>
            <w:r>
              <w:rPr>
                <w:rFonts w:hint="eastAsia" w:ascii="宋体" w:hAnsi="宋体" w:cs="Arial"/>
                <w:color w:val="auto"/>
                <w:spacing w:val="-6"/>
                <w:szCs w:val="21"/>
                <w:lang w:val="en-US" w:eastAsia="zh-CN"/>
              </w:rPr>
              <w:t>48</w:t>
            </w:r>
            <w:r>
              <w:rPr>
                <w:rFonts w:hint="eastAsia" w:ascii="宋体" w:hAnsi="宋体" w:cs="Arial"/>
                <w:color w:val="auto"/>
                <w:spacing w:val="-6"/>
                <w:szCs w:val="21"/>
              </w:rPr>
              <w:t>条、抽查若干《中华人民共和国节约能源法》、《中华人民共和国可再生能源法》、《中华人民共和国清洁生产促进法》发布日期、实施日期、适用条款</w:t>
            </w:r>
            <w:r>
              <w:rPr>
                <w:rFonts w:ascii="宋体" w:hAnsi="宋体" w:cs="Arial"/>
                <w:color w:val="auto"/>
                <w:spacing w:val="-6"/>
                <w:szCs w:val="21"/>
              </w:rPr>
              <w:t>——</w:t>
            </w:r>
            <w:r>
              <w:rPr>
                <w:rFonts w:hint="eastAsia" w:ascii="宋体" w:hAnsi="宋体" w:cs="Arial"/>
                <w:color w:val="auto"/>
                <w:spacing w:val="-6"/>
                <w:szCs w:val="21"/>
              </w:rPr>
              <w:t>识别正确、符合规定；</w:t>
            </w:r>
          </w:p>
          <w:p>
            <w:pPr>
              <w:rPr>
                <w:rFonts w:ascii="宋体" w:cs="Arial"/>
                <w:color w:val="auto"/>
                <w:spacing w:val="-6"/>
                <w:szCs w:val="21"/>
              </w:rPr>
            </w:pPr>
            <w:r>
              <w:rPr>
                <w:rFonts w:hint="eastAsia" w:ascii="宋体" w:hAnsi="宋体" w:cs="Arial"/>
                <w:color w:val="auto"/>
                <w:spacing w:val="-6"/>
                <w:szCs w:val="21"/>
              </w:rPr>
              <w:t>另查《</w:t>
            </w:r>
            <w:r>
              <w:rPr>
                <w:rFonts w:ascii="宋体" w:hAnsi="宋体" w:cs="Arial"/>
                <w:color w:val="auto"/>
                <w:spacing w:val="-6"/>
                <w:szCs w:val="21"/>
              </w:rPr>
              <w:t>GBT17167</w:t>
            </w:r>
            <w:r>
              <w:rPr>
                <w:rFonts w:hint="eastAsia" w:ascii="宋体" w:hAnsi="宋体" w:cs="Arial"/>
                <w:color w:val="auto"/>
                <w:spacing w:val="-6"/>
                <w:szCs w:val="21"/>
              </w:rPr>
              <w:t>用能计量器具》、《企业能源审计技术通则</w:t>
            </w:r>
            <w:r>
              <w:rPr>
                <w:rFonts w:ascii="宋体" w:hAnsi="宋体" w:cs="Arial"/>
                <w:color w:val="auto"/>
                <w:spacing w:val="-6"/>
                <w:szCs w:val="21"/>
              </w:rPr>
              <w:t>__</w:t>
            </w:r>
            <w:r>
              <w:rPr>
                <w:rFonts w:hint="eastAsia" w:ascii="宋体" w:hAnsi="宋体" w:cs="Arial"/>
                <w:color w:val="auto"/>
                <w:spacing w:val="-6"/>
                <w:szCs w:val="21"/>
                <w:lang w:val="en-US" w:eastAsia="zh-CN"/>
              </w:rPr>
              <w:t>GB</w:t>
            </w:r>
            <w:r>
              <w:rPr>
                <w:rFonts w:hint="eastAsia" w:ascii="宋体" w:hAnsi="宋体" w:cs="Arial"/>
                <w:color w:val="auto"/>
                <w:spacing w:val="-6"/>
                <w:szCs w:val="21"/>
              </w:rPr>
              <w:t>/</w:t>
            </w:r>
            <w:r>
              <w:rPr>
                <w:rFonts w:hint="eastAsia" w:ascii="宋体" w:hAnsi="宋体" w:cs="Arial"/>
                <w:color w:val="auto"/>
                <w:spacing w:val="-6"/>
                <w:szCs w:val="21"/>
                <w:lang w:val="en-US" w:eastAsia="zh-CN"/>
              </w:rPr>
              <w:t>T</w:t>
            </w:r>
            <w:r>
              <w:rPr>
                <w:rFonts w:hint="eastAsia" w:ascii="宋体" w:hAnsi="宋体" w:cs="Arial"/>
                <w:color w:val="auto"/>
                <w:spacing w:val="-6"/>
                <w:szCs w:val="21"/>
              </w:rPr>
              <w:t xml:space="preserve"> 17166-2019》、《</w:t>
            </w:r>
            <w:r>
              <w:rPr>
                <w:rFonts w:ascii="宋体" w:hAnsi="宋体" w:cs="Arial"/>
                <w:color w:val="auto"/>
                <w:spacing w:val="-6"/>
                <w:szCs w:val="21"/>
              </w:rPr>
              <w:t xml:space="preserve">GBT 15587-2008 </w:t>
            </w:r>
            <w:r>
              <w:rPr>
                <w:rFonts w:hint="eastAsia" w:ascii="宋体" w:hAnsi="宋体" w:cs="Arial"/>
                <w:color w:val="auto"/>
                <w:spacing w:val="-6"/>
                <w:szCs w:val="21"/>
              </w:rPr>
              <w:t>工业企业能源管理导则》、《</w:t>
            </w:r>
            <w:r>
              <w:rPr>
                <w:rFonts w:ascii="宋体" w:hAnsi="宋体" w:cs="Arial"/>
                <w:color w:val="auto"/>
                <w:spacing w:val="-6"/>
                <w:szCs w:val="21"/>
              </w:rPr>
              <w:t xml:space="preserve">GBT 2587-2009 </w:t>
            </w:r>
            <w:r>
              <w:rPr>
                <w:rFonts w:hint="eastAsia" w:ascii="宋体" w:hAnsi="宋体" w:cs="Arial"/>
                <w:color w:val="auto"/>
                <w:spacing w:val="-6"/>
                <w:szCs w:val="21"/>
              </w:rPr>
              <w:t>用能设备能量平衡通则》、《</w:t>
            </w:r>
            <w:r>
              <w:rPr>
                <w:rFonts w:ascii="宋体" w:hAnsi="宋体" w:cs="Arial"/>
                <w:color w:val="auto"/>
                <w:spacing w:val="-6"/>
                <w:szCs w:val="21"/>
              </w:rPr>
              <w:t xml:space="preserve">GBT 3484-2009 </w:t>
            </w:r>
            <w:r>
              <w:rPr>
                <w:rFonts w:hint="eastAsia" w:ascii="宋体" w:hAnsi="宋体" w:cs="Arial"/>
                <w:color w:val="auto"/>
                <w:spacing w:val="-6"/>
                <w:szCs w:val="21"/>
              </w:rPr>
              <w:t>企业能量平衡通则》等、查“发布日期、实施日期、适用条款”等信息基本适于本组织实际情况；</w:t>
            </w:r>
          </w:p>
          <w:p>
            <w:pPr>
              <w:rPr>
                <w:rFonts w:ascii="宋体" w:cs="Arial"/>
                <w:color w:val="auto"/>
                <w:spacing w:val="-6"/>
                <w:szCs w:val="21"/>
              </w:rPr>
            </w:pPr>
            <w:r>
              <w:rPr>
                <w:rFonts w:hint="eastAsia" w:ascii="宋体" w:hAnsi="宋体" w:cs="Arial"/>
                <w:color w:val="auto"/>
                <w:spacing w:val="-6"/>
                <w:szCs w:val="21"/>
              </w:rPr>
              <w:t>上述信息来源：网络、政府下达文件等；</w:t>
            </w:r>
          </w:p>
          <w:p>
            <w:pPr>
              <w:rPr>
                <w:rFonts w:ascii="宋体" w:cs="Arial"/>
                <w:color w:val="auto"/>
                <w:spacing w:val="-6"/>
                <w:szCs w:val="21"/>
              </w:rPr>
            </w:pPr>
            <w:r>
              <w:rPr>
                <w:rFonts w:hint="eastAsia" w:ascii="宋体" w:hAnsi="宋体" w:cs="Arial"/>
                <w:color w:val="auto"/>
                <w:spacing w:val="-6"/>
                <w:szCs w:val="21"/>
              </w:rPr>
              <w:t>组织定期对收集的法律法规和其他要求进行了评审、包括“适用性”、“合规性”等</w:t>
            </w:r>
            <w:r>
              <w:rPr>
                <w:rFonts w:ascii="宋体" w:hAnsi="宋体" w:cs="Arial"/>
                <w:color w:val="auto"/>
                <w:spacing w:val="-6"/>
                <w:szCs w:val="21"/>
              </w:rPr>
              <w:t>——</w:t>
            </w:r>
            <w:r>
              <w:rPr>
                <w:rFonts w:hint="eastAsia" w:ascii="宋体" w:hAnsi="宋体" w:cs="Arial"/>
                <w:color w:val="auto"/>
                <w:spacing w:val="-6"/>
                <w:szCs w:val="21"/>
              </w:rPr>
              <w:t>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2160" w:type="dxa"/>
          </w:tcPr>
          <w:p>
            <w:pPr>
              <w:rPr>
                <w:rFonts w:ascii="宋体" w:cs="宋体"/>
                <w:color w:val="auto"/>
                <w:spacing w:val="-6"/>
                <w:szCs w:val="21"/>
              </w:rPr>
            </w:pPr>
            <w:r>
              <w:rPr>
                <w:rFonts w:hint="eastAsia" w:ascii="宋体" w:hAnsi="宋体" w:cs="宋体"/>
                <w:color w:val="auto"/>
                <w:spacing w:val="-6"/>
                <w:szCs w:val="21"/>
              </w:rPr>
              <w:t>确定能源管理体系的范围</w:t>
            </w:r>
          </w:p>
          <w:p>
            <w:pPr>
              <w:rPr>
                <w:rFonts w:ascii="宋体" w:cs="宋体"/>
                <w:color w:val="auto"/>
                <w:spacing w:val="-6"/>
                <w:szCs w:val="21"/>
              </w:rPr>
            </w:pPr>
          </w:p>
        </w:tc>
        <w:tc>
          <w:tcPr>
            <w:tcW w:w="960" w:type="dxa"/>
          </w:tcPr>
          <w:p>
            <w:pPr>
              <w:rPr>
                <w:rFonts w:ascii="宋体" w:cs="宋体"/>
                <w:color w:val="auto"/>
                <w:spacing w:val="-6"/>
                <w:szCs w:val="21"/>
              </w:rPr>
            </w:pPr>
            <w:r>
              <w:rPr>
                <w:rFonts w:hint="eastAsia" w:ascii="宋体" w:hAnsi="宋体" w:cs="Arial"/>
                <w:color w:val="auto"/>
                <w:spacing w:val="-6"/>
                <w:szCs w:val="21"/>
                <w:lang w:val="en-US" w:eastAsia="zh-CN"/>
              </w:rPr>
              <w:t xml:space="preserve">En  </w:t>
            </w:r>
            <w:r>
              <w:rPr>
                <w:rFonts w:ascii="宋体" w:hAnsi="宋体" w:cs="宋体"/>
                <w:color w:val="auto"/>
                <w:spacing w:val="-6"/>
                <w:szCs w:val="21"/>
              </w:rPr>
              <w:t xml:space="preserve">4.3 </w:t>
            </w:r>
          </w:p>
          <w:p>
            <w:pPr>
              <w:rPr>
                <w:rFonts w:ascii="宋体" w:cs="宋体"/>
                <w:color w:val="auto"/>
                <w:spacing w:val="-6"/>
                <w:szCs w:val="21"/>
              </w:rPr>
            </w:pPr>
          </w:p>
        </w:tc>
        <w:tc>
          <w:tcPr>
            <w:tcW w:w="10752" w:type="dxa"/>
          </w:tcPr>
          <w:p>
            <w:pPr>
              <w:rPr>
                <w:rFonts w:ascii="宋体" w:cs="宋体"/>
                <w:color w:val="auto"/>
                <w:szCs w:val="21"/>
              </w:rPr>
            </w:pPr>
            <w:r>
              <w:rPr>
                <w:rFonts w:hint="eastAsia" w:ascii="宋体" w:hAnsi="宋体" w:cs="宋体"/>
                <w:color w:val="auto"/>
                <w:szCs w:val="21"/>
              </w:rPr>
              <w:t>查已经成文信息包括：</w:t>
            </w:r>
          </w:p>
          <w:p>
            <w:pPr>
              <w:rPr>
                <w:rFonts w:ascii="宋体" w:cs="宋体"/>
                <w:color w:val="auto"/>
                <w:szCs w:val="21"/>
              </w:rPr>
            </w:pPr>
            <w:r>
              <w:rPr>
                <w:rFonts w:ascii="宋体" w:hAnsi="宋体" w:cs="宋体"/>
                <w:color w:val="auto"/>
                <w:szCs w:val="21"/>
              </w:rPr>
              <w:t>1.</w:t>
            </w:r>
            <w:r>
              <w:rPr>
                <w:rFonts w:hint="eastAsia" w:ascii="宋体" w:hAnsi="宋体" w:cs="宋体"/>
                <w:color w:val="auto"/>
                <w:szCs w:val="21"/>
              </w:rPr>
              <w:t>“内、外部因素”及“相关方及其需求”；</w:t>
            </w:r>
            <w:r>
              <w:rPr>
                <w:rFonts w:ascii="宋体" w:hAnsi="宋体" w:cs="宋体"/>
                <w:color w:val="auto"/>
                <w:szCs w:val="21"/>
              </w:rPr>
              <w:t xml:space="preserve">  </w:t>
            </w:r>
          </w:p>
          <w:p>
            <w:pPr>
              <w:rPr>
                <w:rFonts w:hint="eastAsia" w:ascii="宋体" w:hAnsi="宋体" w:cs="宋体"/>
                <w:color w:val="auto"/>
                <w:szCs w:val="21"/>
              </w:rPr>
            </w:pPr>
            <w:r>
              <w:rPr>
                <w:rFonts w:hint="eastAsia" w:ascii="宋体" w:hAnsi="宋体" w:cs="宋体"/>
                <w:color w:val="auto"/>
                <w:szCs w:val="21"/>
              </w:rPr>
              <w:t>2.组织界定的</w:t>
            </w:r>
            <w:r>
              <w:rPr>
                <w:rFonts w:hint="eastAsia" w:ascii="宋体" w:hAnsi="宋体" w:cs="宋体"/>
                <w:color w:val="auto"/>
                <w:szCs w:val="21"/>
                <w:lang w:val="en-US" w:eastAsia="zh-CN"/>
              </w:rPr>
              <w:t>环</w:t>
            </w:r>
            <w:r>
              <w:rPr>
                <w:rFonts w:hint="eastAsia" w:ascii="宋体" w:hAnsi="宋体" w:cs="宋体"/>
                <w:color w:val="auto"/>
                <w:szCs w:val="21"/>
              </w:rPr>
              <w:t>能源管理体系的范围：</w:t>
            </w:r>
          </w:p>
          <w:p>
            <w:pPr>
              <w:rPr>
                <w:rFonts w:hint="eastAsia" w:ascii="宋体" w:hAnsi="宋体" w:cs="宋体"/>
                <w:color w:val="000000"/>
                <w:kern w:val="0"/>
                <w:szCs w:val="21"/>
              </w:rPr>
            </w:pPr>
            <w:r>
              <w:rPr>
                <w:rFonts w:hint="eastAsia" w:ascii="宋体" w:hAnsi="宋体" w:cs="宋体"/>
                <w:color w:val="auto"/>
                <w:szCs w:val="21"/>
                <w:lang w:val="en-US" w:eastAsia="zh-CN"/>
              </w:rPr>
              <w:t>位于</w:t>
            </w:r>
            <w:r>
              <w:rPr>
                <w:rFonts w:hint="eastAsia" w:ascii="宋体" w:hAnsi="宋体" w:cs="宋体"/>
                <w:color w:val="000000"/>
                <w:kern w:val="0"/>
                <w:szCs w:val="21"/>
              </w:rPr>
              <w:t>湖北省谷城经济开发区</w:t>
            </w:r>
            <w:r>
              <w:rPr>
                <w:rFonts w:hint="eastAsia" w:ascii="宋体" w:hAnsi="宋体" w:cs="宋体"/>
                <w:color w:val="auto"/>
                <w:szCs w:val="21"/>
                <w:lang w:val="en-US" w:eastAsia="zh-CN"/>
              </w:rPr>
              <w:t>的</w:t>
            </w:r>
            <w:bookmarkStart w:id="3" w:name="组织名称"/>
            <w:r>
              <w:rPr>
                <w:rFonts w:hint="eastAsia" w:ascii="宋体" w:hAnsi="宋体" w:cs="宋体"/>
                <w:color w:val="000000"/>
                <w:kern w:val="0"/>
                <w:szCs w:val="21"/>
              </w:rPr>
              <w:t>湖北洪伯车辆有限公司</w:t>
            </w:r>
            <w:bookmarkEnd w:id="3"/>
          </w:p>
          <w:p>
            <w:pPr>
              <w:rPr>
                <w:rFonts w:hint="eastAsia" w:ascii="宋体" w:hAnsi="宋体"/>
                <w:szCs w:val="21"/>
              </w:rPr>
            </w:pPr>
            <w:r>
              <w:rPr>
                <w:rFonts w:hint="eastAsia" w:ascii="宋体" w:hAnsi="宋体"/>
                <w:szCs w:val="21"/>
              </w:rPr>
              <w:t>EnMS：</w:t>
            </w:r>
            <w:r>
              <w:rPr>
                <w:rFonts w:hint="eastAsia" w:ascii="宋体" w:hAnsi="宋体" w:cs="宋体"/>
                <w:color w:val="000000"/>
                <w:kern w:val="0"/>
                <w:szCs w:val="21"/>
              </w:rPr>
              <w:t>转向节及转向节臂锻件制造</w:t>
            </w:r>
            <w:r>
              <w:rPr>
                <w:rFonts w:hint="eastAsia" w:ascii="宋体" w:hAnsi="宋体"/>
                <w:szCs w:val="21"/>
              </w:rPr>
              <w:t>所涉及的能源管理活动</w:t>
            </w:r>
          </w:p>
          <w:p>
            <w:pPr>
              <w:rPr>
                <w:rFonts w:ascii="宋体" w:cs="宋体"/>
                <w:color w:val="auto"/>
                <w:szCs w:val="21"/>
              </w:rPr>
            </w:pPr>
            <w:r>
              <w:rPr>
                <w:rFonts w:ascii="宋体" w:hAnsi="宋体" w:cs="宋体"/>
                <w:color w:val="auto"/>
                <w:szCs w:val="21"/>
              </w:rPr>
              <w:t>3.</w:t>
            </w:r>
            <w:r>
              <w:rPr>
                <w:rFonts w:hint="eastAsia" w:ascii="宋体" w:hAnsi="宋体" w:cs="宋体"/>
                <w:color w:val="auto"/>
                <w:szCs w:val="21"/>
              </w:rPr>
              <w:t>查组织承诺可以确保在组织管理范围及边界内，能够控制其能源效率、能源使用和能源消耗。</w:t>
            </w:r>
          </w:p>
          <w:p>
            <w:pPr>
              <w:rPr>
                <w:rFonts w:ascii="宋体" w:cs="宋体"/>
                <w:color w:val="auto"/>
                <w:szCs w:val="21"/>
              </w:rPr>
            </w:pPr>
            <w:r>
              <w:rPr>
                <w:rFonts w:hint="eastAsia" w:ascii="宋体" w:hAnsi="宋体" w:cs="宋体"/>
                <w:color w:val="auto"/>
                <w:szCs w:val="21"/>
              </w:rPr>
              <w:t>查组织未在能源范围和边界内，去除能源消耗点。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rPr>
                <w:rFonts w:ascii="宋体" w:cs="Arial"/>
                <w:color w:val="auto"/>
                <w:spacing w:val="-6"/>
                <w:szCs w:val="21"/>
              </w:rPr>
            </w:pPr>
            <w:r>
              <w:rPr>
                <w:rFonts w:hint="eastAsia" w:ascii="宋体" w:hAnsi="宋体" w:cs="宋体"/>
                <w:color w:val="auto"/>
                <w:szCs w:val="21"/>
              </w:rPr>
              <w:t>能源管理体系</w:t>
            </w:r>
            <w:r>
              <w:rPr>
                <w:rFonts w:ascii="宋体" w:hAnsi="宋体" w:cs="Arial"/>
                <w:color w:val="auto"/>
                <w:spacing w:val="-6"/>
                <w:szCs w:val="21"/>
              </w:rPr>
              <w:t xml:space="preserve"> </w:t>
            </w:r>
          </w:p>
          <w:p>
            <w:pPr>
              <w:rPr>
                <w:color w:val="auto"/>
                <w:szCs w:val="21"/>
              </w:rPr>
            </w:pPr>
          </w:p>
        </w:tc>
        <w:tc>
          <w:tcPr>
            <w:tcW w:w="960" w:type="dxa"/>
          </w:tcPr>
          <w:p>
            <w:pPr>
              <w:rPr>
                <w:rFonts w:ascii="宋体" w:cs="Arial"/>
                <w:color w:val="auto"/>
                <w:spacing w:val="-6"/>
                <w:szCs w:val="21"/>
              </w:rPr>
            </w:pPr>
            <w:r>
              <w:rPr>
                <w:rFonts w:hint="eastAsia" w:ascii="宋体" w:hAnsi="宋体" w:cs="Arial"/>
                <w:color w:val="auto"/>
                <w:spacing w:val="-6"/>
                <w:szCs w:val="21"/>
                <w:lang w:val="en-US" w:eastAsia="zh-CN"/>
              </w:rPr>
              <w:t xml:space="preserve">En  </w:t>
            </w:r>
            <w:r>
              <w:rPr>
                <w:rFonts w:ascii="宋体" w:hAnsi="宋体" w:cs="Arial"/>
                <w:color w:val="auto"/>
                <w:spacing w:val="-6"/>
                <w:szCs w:val="21"/>
              </w:rPr>
              <w:t xml:space="preserve">4.4 </w:t>
            </w:r>
          </w:p>
          <w:p>
            <w:pPr>
              <w:rPr>
                <w:color w:val="auto"/>
                <w:szCs w:val="21"/>
              </w:rPr>
            </w:pPr>
          </w:p>
        </w:tc>
        <w:tc>
          <w:tcPr>
            <w:tcW w:w="10752"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w:t>
            </w:r>
            <w:r>
              <w:rPr>
                <w:rFonts w:hint="eastAsia" w:asciiTheme="minorEastAsia" w:hAnsiTheme="minorEastAsia" w:eastAsiaTheme="minorEastAsia" w:cstheme="minorEastAsia"/>
                <w:color w:val="auto"/>
                <w:szCs w:val="21"/>
                <w:lang w:val="en-US" w:eastAsia="zh-CN"/>
              </w:rPr>
              <w:t>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25</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发布，2021年1月1日</w:t>
            </w:r>
            <w:r>
              <w:rPr>
                <w:rFonts w:hint="eastAsia" w:asciiTheme="minorEastAsia" w:hAnsiTheme="minorEastAsia" w:eastAsiaTheme="minorEastAsia" w:cstheme="minorEastAsia"/>
                <w:color w:val="auto"/>
                <w:szCs w:val="21"/>
              </w:rPr>
              <w:t>正式实施</w:t>
            </w:r>
            <w:r>
              <w:rPr>
                <w:rFonts w:hint="eastAsia" w:asciiTheme="minorEastAsia" w:hAnsiTheme="minorEastAsia" w:eastAsiaTheme="minorEastAsia" w:cstheme="minorEastAsia"/>
                <w:color w:val="auto"/>
                <w:szCs w:val="21"/>
                <w:lang w:val="en-US" w:eastAsia="zh-CN"/>
              </w:rPr>
              <w:t>能源</w:t>
            </w:r>
            <w:r>
              <w:rPr>
                <w:rFonts w:hint="eastAsia" w:asciiTheme="minorEastAsia" w:hAnsiTheme="minorEastAsia" w:eastAsiaTheme="minorEastAsia" w:cstheme="minorEastAsia"/>
                <w:color w:val="auto"/>
                <w:szCs w:val="21"/>
              </w:rPr>
              <w:t>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确定了管理体系所需的过程，如文件与记录管理过程、人力资源管理过程、</w:t>
            </w:r>
            <w:r>
              <w:rPr>
                <w:rFonts w:hint="eastAsia" w:asciiTheme="minorEastAsia" w:hAnsiTheme="minorEastAsia" w:eastAsiaTheme="minorEastAsia" w:cstheme="minorEastAsia"/>
                <w:color w:val="auto"/>
                <w:szCs w:val="21"/>
                <w:lang w:val="en-US" w:eastAsia="zh-CN"/>
              </w:rPr>
              <w:t>生产</w:t>
            </w:r>
            <w:r>
              <w:rPr>
                <w:rFonts w:hint="eastAsia" w:asciiTheme="minorEastAsia" w:hAnsiTheme="minorEastAsia" w:eastAsiaTheme="minorEastAsia" w:cstheme="minorEastAsia"/>
                <w:color w:val="auto"/>
                <w:szCs w:val="21"/>
              </w:rPr>
              <w:t xml:space="preserve">过程等，并明确各过程的目标和职责，及各过程之间的衔接和影响。 </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出示有“部门管理目标策划记录”对管理目标完成情况进行检查、统计、记录。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提供了支持过程策划和运行的形成文件的信息。</w:t>
            </w:r>
          </w:p>
          <w:p>
            <w:pPr>
              <w:rPr>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tcPr>
          <w:p>
            <w:pPr>
              <w:spacing w:line="280" w:lineRule="exact"/>
              <w:rPr>
                <w:rFonts w:ascii="宋体" w:cs="宋体"/>
                <w:color w:val="auto"/>
                <w:szCs w:val="21"/>
              </w:rPr>
            </w:pPr>
            <w:r>
              <w:rPr>
                <w:rFonts w:hint="eastAsia" w:ascii="宋体" w:hAnsi="宋体" w:cs="宋体"/>
                <w:color w:val="auto"/>
                <w:szCs w:val="21"/>
              </w:rPr>
              <w:t>领导作用与承诺</w:t>
            </w:r>
          </w:p>
          <w:p>
            <w:pPr>
              <w:spacing w:line="280" w:lineRule="exact"/>
              <w:rPr>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5.1</w:t>
            </w:r>
          </w:p>
          <w:p>
            <w:pPr>
              <w:spacing w:line="280" w:lineRule="exact"/>
              <w:rPr>
                <w:rFonts w:ascii="宋体" w:cs="宋体"/>
                <w:color w:val="auto"/>
                <w:szCs w:val="21"/>
              </w:rPr>
            </w:pPr>
          </w:p>
          <w:p>
            <w:pPr>
              <w:spacing w:line="280" w:lineRule="exact"/>
              <w:rPr>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企业最高管理者对管理体系的领导作用和承诺主要通过以下方面体现：对</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280" w:lineRule="exact"/>
              <w:rPr>
                <w:color w:val="auto"/>
                <w:szCs w:val="21"/>
              </w:rPr>
            </w:pPr>
            <w:r>
              <w:rPr>
                <w:rFonts w:hint="eastAsia" w:asciiTheme="minorEastAsia" w:hAnsiTheme="minorEastAsia" w:eastAsiaTheme="minorEastAsia" w:cstheme="minorEastAsia"/>
                <w:color w:val="auto"/>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color w:val="auto"/>
                <w:szCs w:val="21"/>
              </w:rPr>
            </w:pPr>
            <w:r>
              <w:rPr>
                <w:rFonts w:hint="eastAsia" w:ascii="宋体" w:hAnsi="宋体" w:cs="宋体"/>
                <w:color w:val="auto"/>
                <w:szCs w:val="21"/>
              </w:rPr>
              <w:t>能源方针</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5.2 </w:t>
            </w:r>
          </w:p>
          <w:p>
            <w:pPr>
              <w:rPr>
                <w:rFonts w:ascii="宋体" w:cs="宋体"/>
                <w:color w:val="auto"/>
                <w:szCs w:val="21"/>
              </w:rPr>
            </w:pPr>
          </w:p>
        </w:tc>
        <w:tc>
          <w:tcPr>
            <w:tcW w:w="10752" w:type="dxa"/>
            <w:vAlign w:val="center"/>
          </w:tcPr>
          <w:p>
            <w:pPr>
              <w:rPr>
                <w:rFonts w:ascii="宋体" w:cs="宋体"/>
                <w:color w:val="auto"/>
                <w:szCs w:val="21"/>
              </w:rPr>
            </w:pPr>
            <w:r>
              <w:rPr>
                <w:rFonts w:hint="eastAsia" w:ascii="宋体" w:hAnsi="宋体" w:cs="宋体"/>
                <w:color w:val="auto"/>
                <w:szCs w:val="21"/>
                <w:u w:val="single"/>
              </w:rPr>
              <w:t>组织的</w:t>
            </w:r>
            <w:r>
              <w:rPr>
                <w:rFonts w:hint="eastAsia" w:ascii="宋体" w:hAnsi="宋体" w:cs="Arial"/>
                <w:color w:val="auto"/>
                <w:spacing w:val="-6"/>
                <w:szCs w:val="21"/>
                <w:lang w:val="en-US" w:eastAsia="zh-CN"/>
              </w:rPr>
              <w:t xml:space="preserve">En </w:t>
            </w:r>
            <w:r>
              <w:rPr>
                <w:rFonts w:hint="eastAsia" w:ascii="宋体" w:hAnsi="宋体" w:cs="宋体"/>
                <w:color w:val="auto"/>
                <w:szCs w:val="21"/>
                <w:u w:val="single"/>
              </w:rPr>
              <w:t>方针</w:t>
            </w:r>
            <w:r>
              <w:rPr>
                <w:rFonts w:hint="eastAsia" w:ascii="宋体" w:hAnsi="宋体" w:cs="宋体"/>
                <w:color w:val="auto"/>
                <w:szCs w:val="21"/>
              </w:rPr>
              <w:t>：</w:t>
            </w:r>
          </w:p>
          <w:p>
            <w:pPr>
              <w:pStyle w:val="10"/>
              <w:ind w:left="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遵守法规</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清洁生产</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提高能效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持续改进。</w:t>
            </w:r>
          </w:p>
          <w:p>
            <w:pPr>
              <w:ind w:firstLine="420" w:firstLineChars="200"/>
              <w:rPr>
                <w:rFonts w:hint="eastAsia"/>
                <w:color w:val="auto"/>
              </w:rPr>
            </w:pPr>
            <w:r>
              <w:rPr>
                <w:rFonts w:hint="eastAsia"/>
                <w:color w:val="auto"/>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rPr>
                <w:rFonts w:ascii="宋体" w:cs="宋体"/>
                <w:color w:val="auto"/>
                <w:szCs w:val="21"/>
              </w:rPr>
            </w:pPr>
          </w:p>
        </w:tc>
        <w:tc>
          <w:tcPr>
            <w:tcW w:w="837"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组织的岗位、职责和权限</w:t>
            </w:r>
          </w:p>
          <w:p>
            <w:pPr>
              <w:spacing w:line="280" w:lineRule="exact"/>
              <w:ind w:firstLine="420" w:firstLineChars="200"/>
              <w:jc w:val="left"/>
              <w:rPr>
                <w:color w:val="auto"/>
              </w:rPr>
            </w:pPr>
          </w:p>
        </w:tc>
        <w:tc>
          <w:tcPr>
            <w:tcW w:w="960" w:type="dxa"/>
          </w:tcPr>
          <w:p>
            <w:pPr>
              <w:spacing w:line="280" w:lineRule="exact"/>
              <w:jc w:val="left"/>
              <w:rPr>
                <w:color w:val="auto"/>
              </w:rPr>
            </w:pPr>
            <w:r>
              <w:rPr>
                <w:rFonts w:hint="eastAsia" w:ascii="宋体" w:hAnsi="宋体" w:cs="Arial"/>
                <w:color w:val="auto"/>
                <w:spacing w:val="-6"/>
                <w:szCs w:val="21"/>
                <w:lang w:val="en-US" w:eastAsia="zh-CN"/>
              </w:rPr>
              <w:t xml:space="preserve">E/En </w:t>
            </w:r>
            <w:r>
              <w:rPr>
                <w:rFonts w:ascii="宋体" w:hAnsi="宋体" w:cs="宋体"/>
                <w:color w:val="auto"/>
                <w:szCs w:val="21"/>
              </w:rPr>
              <w:t xml:space="preserve">5.3 </w:t>
            </w: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公司设置了完善的组织结构，并规定了各级各岗位人员职责、权限和相互关系，</w:t>
            </w:r>
            <w:r>
              <w:rPr>
                <w:rFonts w:hint="eastAsia"/>
                <w:color w:val="auto"/>
                <w:szCs w:val="21"/>
              </w:rPr>
              <w:t>编制能力、意识、培训控制程序》和《岗位描述书》，规定了控制要求</w:t>
            </w:r>
            <w:r>
              <w:rPr>
                <w:rFonts w:hint="eastAsia" w:asciiTheme="minorEastAsia" w:hAnsiTheme="minorEastAsia" w:eastAsiaTheme="minorEastAsia" w:cstheme="minorEastAsia"/>
                <w:color w:val="auto"/>
                <w:szCs w:val="21"/>
              </w:rPr>
              <w:t>并在公司内对各级员工进行了必要的传达。对从事与环境有关的管理、执行和验证人员规定其职责、权限及其相互关系，并书面化，以实现公司</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管理方针和</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管理目标。有效进行管理体系各项活动，出示了公司管理体系职能分配表。</w:t>
            </w:r>
          </w:p>
          <w:p>
            <w:pPr>
              <w:rPr>
                <w:rFonts w:hint="default" w:eastAsia="宋体"/>
                <w:color w:val="auto"/>
                <w:lang w:val="en-US" w:eastAsia="zh-CN"/>
              </w:rPr>
            </w:pPr>
            <w:r>
              <w:rPr>
                <w:rFonts w:hint="eastAsia"/>
                <w:color w:val="auto"/>
                <w:szCs w:val="21"/>
              </w:rPr>
              <w:t>公司的部门设置有：</w:t>
            </w:r>
            <w:r>
              <w:rPr>
                <w:rFonts w:hint="eastAsia"/>
                <w:color w:val="auto"/>
                <w:szCs w:val="21"/>
                <w:lang w:val="en-US" w:eastAsia="zh-CN"/>
              </w:rPr>
              <w:t>领导层</w:t>
            </w:r>
            <w:r>
              <w:rPr>
                <w:rFonts w:hint="eastAsia"/>
                <w:color w:val="auto"/>
                <w:szCs w:val="21"/>
                <w:lang w:val="en-US" w:eastAsia="zh-CN"/>
              </w:rPr>
              <w:tab/>
            </w:r>
            <w:r>
              <w:rPr>
                <w:rFonts w:hint="eastAsia"/>
                <w:color w:val="auto"/>
                <w:szCs w:val="21"/>
                <w:lang w:val="en-US" w:eastAsia="zh-CN"/>
              </w:rPr>
              <w:t>技术质量部   综合管理部   财务部 生产部</w:t>
            </w:r>
            <w:r>
              <w:rPr>
                <w:rFonts w:hint="eastAsia"/>
                <w:color w:val="auto"/>
                <w:szCs w:val="21"/>
                <w:lang w:val="en-US" w:eastAsia="zh-CN"/>
              </w:rPr>
              <w:tab/>
            </w:r>
            <w:r>
              <w:rPr>
                <w:rFonts w:hint="eastAsia"/>
                <w:color w:val="auto"/>
                <w:szCs w:val="21"/>
                <w:lang w:val="en-US" w:eastAsia="zh-CN"/>
              </w:rPr>
              <w:t>采购部  销售部</w:t>
            </w:r>
          </w:p>
          <w:p>
            <w:pPr>
              <w:rPr>
                <w:rFonts w:hint="default" w:eastAsia="宋体"/>
                <w:color w:val="auto"/>
                <w:lang w:val="en-US" w:eastAsia="zh-CN"/>
              </w:rPr>
            </w:pPr>
            <w:r>
              <w:rPr>
                <w:rFonts w:hint="eastAsia"/>
                <w:color w:val="auto"/>
                <w:lang w:val="en-US" w:eastAsia="zh-CN"/>
              </w:rPr>
              <w:t>部门满足</w:t>
            </w:r>
            <w:r>
              <w:rPr>
                <w:rFonts w:hint="eastAsia" w:ascii="宋体" w:hAnsi="宋体" w:cs="Arial"/>
                <w:color w:val="auto"/>
                <w:spacing w:val="-6"/>
                <w:szCs w:val="21"/>
                <w:lang w:val="en-US" w:eastAsia="zh-CN"/>
              </w:rPr>
              <w:t>En 的要求，与实际相一致</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s="宋体"/>
                <w:color w:val="auto"/>
                <w:szCs w:val="21"/>
              </w:rPr>
              <w:t>应对风险和机遇的措施</w:t>
            </w:r>
          </w:p>
          <w:p>
            <w:pPr>
              <w:spacing w:line="280" w:lineRule="exact"/>
              <w:rPr>
                <w:rFonts w:ascii="宋体" w:cs="宋体"/>
                <w:color w:val="auto"/>
                <w:szCs w:val="21"/>
              </w:rPr>
            </w:pPr>
          </w:p>
        </w:tc>
        <w:tc>
          <w:tcPr>
            <w:tcW w:w="960" w:type="dxa"/>
          </w:tcPr>
          <w:p>
            <w:pPr>
              <w:spacing w:line="280" w:lineRule="exact"/>
              <w:rPr>
                <w:rFonts w:ascii="宋体" w:cs="宋体"/>
                <w:color w:val="auto"/>
                <w:szCs w:val="21"/>
              </w:rPr>
            </w:pPr>
            <w:r>
              <w:rPr>
                <w:rFonts w:hint="eastAsia" w:ascii="宋体" w:hAnsi="宋体" w:cs="Arial"/>
                <w:color w:val="auto"/>
                <w:spacing w:val="-6"/>
                <w:szCs w:val="21"/>
                <w:lang w:val="en-US" w:eastAsia="zh-CN"/>
              </w:rPr>
              <w:t xml:space="preserve"> En:6.1 </w:t>
            </w:r>
          </w:p>
          <w:p>
            <w:pPr>
              <w:spacing w:line="280" w:lineRule="exact"/>
              <w:rPr>
                <w:rFonts w:ascii="宋体" w:cs="宋体"/>
                <w:color w:val="auto"/>
                <w:szCs w:val="21"/>
              </w:rPr>
            </w:pPr>
          </w:p>
        </w:tc>
        <w:tc>
          <w:tcPr>
            <w:tcW w:w="10752"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风险和机遇事件的应对措施的要求、评价这些措施有效性的方法。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制定了《风险和机遇分析、评价和应对措施的确定程序》，提供“</w:t>
            </w:r>
            <w:r>
              <w:rPr>
                <w:rFonts w:hint="eastAsia" w:ascii="宋体" w:hAnsi="宋体" w:cs="Arial"/>
                <w:color w:val="auto"/>
                <w:spacing w:val="-6"/>
                <w:szCs w:val="21"/>
                <w:lang w:val="en-US" w:eastAsia="zh-CN"/>
              </w:rPr>
              <w:t xml:space="preserve">En </w:t>
            </w:r>
            <w:r>
              <w:rPr>
                <w:rFonts w:hint="eastAsia" w:asciiTheme="minorEastAsia" w:hAnsiTheme="minorEastAsia" w:eastAsiaTheme="minorEastAsia" w:cstheme="minorEastAsia"/>
                <w:color w:val="auto"/>
                <w:szCs w:val="21"/>
              </w:rPr>
              <w:t>风险与机遇评价与应对策划表”，按照</w:t>
            </w:r>
            <w:r>
              <w:rPr>
                <w:rFonts w:hint="eastAsia" w:asciiTheme="minorEastAsia" w:hAnsiTheme="minorEastAsia" w:eastAsiaTheme="minorEastAsia" w:cstheme="minorEastAsia"/>
                <w:color w:val="auto"/>
                <w:szCs w:val="21"/>
                <w:lang w:val="en-US" w:eastAsia="zh-CN"/>
              </w:rPr>
              <w:t>生产服务</w:t>
            </w:r>
            <w:r>
              <w:rPr>
                <w:rFonts w:hint="eastAsia" w:asciiTheme="minorEastAsia" w:hAnsiTheme="minorEastAsia" w:eastAsiaTheme="minorEastAsia" w:cstheme="minorEastAsia"/>
                <w:color w:val="auto"/>
                <w:szCs w:val="21"/>
              </w:rPr>
              <w:t>、采购</w:t>
            </w:r>
            <w:r>
              <w:rPr>
                <w:rFonts w:hint="eastAsia" w:asciiTheme="minorEastAsia" w:hAnsiTheme="minorEastAsia" w:eastAsiaTheme="minorEastAsia" w:cstheme="minorEastAsia"/>
                <w:color w:val="auto"/>
                <w:szCs w:val="21"/>
                <w:lang w:val="en-US" w:eastAsia="zh-CN"/>
              </w:rPr>
              <w:t>销售</w:t>
            </w:r>
            <w:r>
              <w:rPr>
                <w:rFonts w:hint="eastAsia" w:asciiTheme="minorEastAsia" w:hAnsiTheme="minorEastAsia" w:eastAsiaTheme="minorEastAsia" w:cstheme="minorEastAsia"/>
                <w:color w:val="auto"/>
                <w:szCs w:val="21"/>
              </w:rPr>
              <w:t>、支持过程/部门对风险和机遇进行了评价识别，并制定应对措施。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采取措施是：制定并严格执行合同会签制度，各部门主管负责人及总经理审阅同意后才能签署盖章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rPr>
                <w:color w:val="auto"/>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识别人</w:t>
            </w:r>
            <w:r>
              <w:rPr>
                <w:rFonts w:hint="eastAsia" w:asciiTheme="minorEastAsia" w:hAnsiTheme="minorEastAsia" w:eastAsiaTheme="minorEastAsia" w:cstheme="minorEastAsia"/>
                <w:color w:val="auto"/>
                <w:szCs w:val="21"/>
                <w:lang w:eastAsia="zh-CN"/>
              </w:rPr>
              <w:t>、</w:t>
            </w:r>
            <w:r>
              <w:rPr>
                <w:rFonts w:hint="eastAsia" w:eastAsiaTheme="minorEastAsia"/>
                <w:color w:val="auto"/>
                <w:lang w:val="en-US" w:eastAsia="zh-CN"/>
              </w:rPr>
              <w:t>批准</w:t>
            </w:r>
            <w:r>
              <w:rPr>
                <w:rFonts w:hint="eastAsia" w:asciiTheme="minorEastAsia" w:hAnsiTheme="minorEastAsia" w:eastAsiaTheme="minorEastAsia" w:cstheme="minorEastAsia"/>
                <w:color w:val="auto"/>
                <w:szCs w:val="21"/>
              </w:rPr>
              <w:t>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w:t>
            </w:r>
          </w:p>
          <w:p>
            <w:pPr>
              <w:spacing w:line="280" w:lineRule="exact"/>
              <w:rPr>
                <w:rFonts w:ascii="宋体" w:cs="宋体"/>
                <w:color w:val="auto"/>
                <w:szCs w:val="21"/>
              </w:rPr>
            </w:pPr>
            <w:r>
              <w:rPr>
                <w:rFonts w:hint="eastAsia" w:ascii="宋体" w:hAnsi="宋体" w:cs="宋体"/>
                <w:color w:val="auto"/>
                <w:szCs w:val="21"/>
                <w:lang w:val="en-US" w:eastAsia="zh-CN"/>
              </w:rPr>
              <w:t>能源方面：</w:t>
            </w:r>
            <w:r>
              <w:rPr>
                <w:rFonts w:hint="eastAsia" w:ascii="宋体" w:hAnsi="宋体" w:cs="宋体"/>
                <w:color w:val="auto"/>
                <w:szCs w:val="21"/>
              </w:rPr>
              <w:t>识别的风险</w:t>
            </w:r>
            <w:r>
              <w:rPr>
                <w:rFonts w:ascii="宋体" w:hAnsi="宋体" w:cs="宋体"/>
                <w:color w:val="auto"/>
                <w:szCs w:val="21"/>
              </w:rPr>
              <w:t>15</w:t>
            </w:r>
            <w:r>
              <w:rPr>
                <w:rFonts w:hint="eastAsia" w:ascii="宋体" w:hAnsi="宋体" w:cs="宋体"/>
                <w:color w:val="auto"/>
                <w:szCs w:val="21"/>
              </w:rPr>
              <w:t>项、具体包括“部分设施、设备的节能管理提升机会较小，简单更新设备设施难以提升，没有从能源购进、储存、转换、输送分配和末端使用方面整体协调，难以提升能源绩效，国内经济形势趋势严峻，加上银行收紧贷款的发放，给海关带来比较大的财务压力。应收款无法及时到位，增加了能源采购、节能技改、工艺更新等费用支出的难度，目前人员特别是优秀人才被外单位吸引离开的情况还是存在，对海关是比较大的损失。员工业务素质在一定程度上存在参差不齐的情况，加上绩效考核不能有效落实，会对能源管理造成不好的影响”等；</w:t>
            </w:r>
          </w:p>
          <w:p>
            <w:pPr>
              <w:spacing w:line="280" w:lineRule="exact"/>
              <w:rPr>
                <w:rFonts w:ascii="宋体" w:cs="宋体"/>
                <w:color w:val="auto"/>
                <w:szCs w:val="21"/>
              </w:rPr>
            </w:pPr>
            <w:r>
              <w:rPr>
                <w:rFonts w:hint="eastAsia" w:ascii="宋体" w:hAnsi="宋体" w:cs="宋体"/>
                <w:color w:val="auto"/>
                <w:szCs w:val="21"/>
              </w:rPr>
              <w:t>相应的控制措施为“避免风险、</w:t>
            </w:r>
            <w:r>
              <w:rPr>
                <w:rFonts w:ascii="宋体" w:hAnsi="宋体" w:cs="宋体"/>
                <w:color w:val="auto"/>
                <w:szCs w:val="21"/>
              </w:rPr>
              <w:t xml:space="preserve"> </w:t>
            </w:r>
            <w:r>
              <w:rPr>
                <w:rFonts w:hint="eastAsia" w:ascii="宋体" w:hAnsi="宋体" w:cs="宋体"/>
                <w:color w:val="auto"/>
                <w:szCs w:val="21"/>
              </w:rPr>
              <w:t>承担风险、消除风险源、改变风险的可能性和后果、分担风险、延缓风险”等；</w:t>
            </w:r>
          </w:p>
          <w:p>
            <w:pPr>
              <w:spacing w:line="280" w:lineRule="exact"/>
              <w:rPr>
                <w:rFonts w:ascii="宋体" w:cs="宋体"/>
                <w:color w:val="auto"/>
                <w:szCs w:val="21"/>
              </w:rPr>
            </w:pPr>
            <w:r>
              <w:rPr>
                <w:rFonts w:hint="eastAsia" w:ascii="宋体" w:hAnsi="宋体" w:cs="宋体"/>
                <w:color w:val="auto"/>
                <w:szCs w:val="21"/>
              </w:rPr>
              <w:t>通过应对措施将风险转换为机遇导致“采用新实践、推出新产品、开辟新市场、赢得新客户、建立合作伙伴关系、使用新技术以及能够解决组织或其顾客需求的其他有利可能性”等内容；</w:t>
            </w:r>
          </w:p>
          <w:p>
            <w:pPr>
              <w:spacing w:line="280" w:lineRule="exact"/>
              <w:rPr>
                <w:rFonts w:ascii="宋体" w:cs="宋体"/>
                <w:color w:val="auto"/>
                <w:szCs w:val="21"/>
              </w:rPr>
            </w:pPr>
            <w:r>
              <w:rPr>
                <w:rFonts w:hint="eastAsia" w:ascii="宋体" w:hAnsi="宋体" w:cs="宋体"/>
                <w:color w:val="auto"/>
                <w:szCs w:val="21"/>
              </w:rPr>
              <w:t>措施评审结论“有效”、有责任部门和相关人员的评审和评价要求信息</w:t>
            </w:r>
            <w:r>
              <w:rPr>
                <w:rFonts w:ascii="宋体" w:hAnsi="宋体" w:cs="宋体"/>
                <w:color w:val="auto"/>
                <w:szCs w:val="21"/>
              </w:rPr>
              <w:t>——</w:t>
            </w:r>
            <w:r>
              <w:rPr>
                <w:rFonts w:hint="eastAsia" w:ascii="宋体" w:hAnsi="宋体" w:cs="宋体"/>
                <w:color w:val="auto"/>
                <w:szCs w:val="21"/>
              </w:rPr>
              <w:t>查应对措施与其对产品和服务符合性的潜在影响基本相适应、文件有编审批；</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cs="宋体"/>
                <w:color w:val="auto"/>
                <w:szCs w:val="21"/>
              </w:rPr>
            </w:pPr>
            <w:r>
              <w:rPr>
                <w:rFonts w:hint="eastAsia" w:ascii="宋体" w:hAnsi="宋体"/>
                <w:color w:val="auto"/>
                <w:kern w:val="0"/>
                <w:sz w:val="24"/>
              </w:rPr>
              <w:t>目标、能源指标及其实现的策划</w:t>
            </w:r>
          </w:p>
        </w:tc>
        <w:tc>
          <w:tcPr>
            <w:tcW w:w="960" w:type="dxa"/>
          </w:tcPr>
          <w:p>
            <w:pPr>
              <w:spacing w:line="280" w:lineRule="exact"/>
              <w:rPr>
                <w:rFonts w:hint="default" w:ascii="宋体" w:eastAsia="宋体" w:cs="宋体"/>
                <w:color w:val="auto"/>
                <w:szCs w:val="21"/>
                <w:lang w:val="en-US" w:eastAsia="zh-CN"/>
              </w:rPr>
            </w:pPr>
            <w:r>
              <w:rPr>
                <w:rFonts w:hint="eastAsia" w:ascii="宋体" w:hAnsi="宋体" w:cs="Arial"/>
                <w:color w:val="auto"/>
                <w:spacing w:val="-6"/>
                <w:szCs w:val="21"/>
                <w:lang w:val="en-US" w:eastAsia="zh-CN"/>
              </w:rPr>
              <w:t xml:space="preserve">En </w:t>
            </w:r>
            <w:r>
              <w:rPr>
                <w:rFonts w:hint="eastAsia" w:ascii="宋体" w:cs="宋体"/>
                <w:color w:val="auto"/>
                <w:szCs w:val="21"/>
                <w:lang w:val="en-US" w:eastAsia="zh-CN"/>
              </w:rPr>
              <w:t>6.2</w:t>
            </w:r>
          </w:p>
        </w:tc>
        <w:tc>
          <w:tcPr>
            <w:tcW w:w="10752" w:type="dxa"/>
            <w:vAlign w:val="center"/>
          </w:tcPr>
          <w:p>
            <w:pPr>
              <w:ind w:firstLine="420" w:firstLineChars="200"/>
              <w:rPr>
                <w:color w:val="auto"/>
              </w:rPr>
            </w:pPr>
            <w:r>
              <w:rPr>
                <w:rFonts w:hint="eastAsia"/>
                <w:color w:val="auto"/>
              </w:rPr>
              <w:t>总经理负责组织制定公司的</w:t>
            </w:r>
            <w:r>
              <w:rPr>
                <w:rFonts w:hint="eastAsia"/>
                <w:color w:val="auto"/>
                <w:lang w:val="en-US" w:eastAsia="zh-CN"/>
              </w:rPr>
              <w:t xml:space="preserve">E/En </w:t>
            </w:r>
            <w:r>
              <w:rPr>
                <w:rFonts w:hint="eastAsia"/>
                <w:color w:val="auto"/>
              </w:rPr>
              <w:t>管理目标，并在公司各部门进行分解，制定时考虑了公司的质量过程及其风险和机遇。</w:t>
            </w:r>
          </w:p>
          <w:p>
            <w:pPr>
              <w:spacing w:line="280" w:lineRule="exact"/>
              <w:rPr>
                <w:rFonts w:hint="eastAsia"/>
                <w:color w:val="auto"/>
                <w:lang w:val="en-US" w:eastAsia="zh-CN"/>
              </w:rPr>
            </w:pPr>
            <w:r>
              <w:rPr>
                <w:rFonts w:hint="eastAsia"/>
                <w:color w:val="auto"/>
                <w:lang w:val="en-US" w:eastAsia="zh-CN"/>
              </w:rPr>
              <w:t>公司的能源总目标</w:t>
            </w:r>
          </w:p>
          <w:p>
            <w:pPr>
              <w:spacing w:line="280" w:lineRule="exact"/>
              <w:rPr>
                <w:rFonts w:hint="eastAsia"/>
                <w:color w:val="FF0000"/>
                <w:lang w:val="en-US" w:eastAsia="zh-CN"/>
              </w:rPr>
            </w:pPr>
            <w:r>
              <w:rPr>
                <w:rFonts w:hint="eastAsia"/>
                <w:color w:val="FF0000"/>
                <w:lang w:val="en-US" w:eastAsia="zh-CN"/>
              </w:rPr>
              <w:t>锻压工序能耗目标完成情况：</w:t>
            </w:r>
          </w:p>
          <w:p>
            <w:pPr>
              <w:spacing w:line="280" w:lineRule="exact"/>
              <w:rPr>
                <w:rFonts w:hint="eastAsia"/>
                <w:color w:val="FF0000"/>
                <w:lang w:val="en-US" w:eastAsia="zh-CN"/>
              </w:rPr>
            </w:pPr>
            <w:r>
              <w:rPr>
                <w:rFonts w:hint="eastAsia"/>
                <w:color w:val="FF0000"/>
                <w:lang w:val="en-US" w:eastAsia="zh-CN"/>
              </w:rPr>
              <w:t>企业2020年制定的目标为：单位产品能耗142.42kgce/t。</w:t>
            </w:r>
          </w:p>
          <w:p>
            <w:pPr>
              <w:spacing w:line="280" w:lineRule="exact"/>
              <w:rPr>
                <w:rFonts w:hint="eastAsia"/>
                <w:color w:val="FF0000"/>
                <w:lang w:val="en-US" w:eastAsia="zh-CN"/>
              </w:rPr>
            </w:pPr>
            <w:r>
              <w:rPr>
                <w:rFonts w:hint="eastAsia"/>
                <w:color w:val="FF0000"/>
                <w:lang w:val="en-US" w:eastAsia="zh-CN"/>
              </w:rPr>
              <w:t>企业2020年完成情况为：单位产品能耗141.51kgce/t。完成了制定的目标。</w:t>
            </w:r>
          </w:p>
          <w:p>
            <w:pPr>
              <w:spacing w:line="280" w:lineRule="exact"/>
              <w:rPr>
                <w:rFonts w:hint="eastAsia"/>
                <w:color w:val="FF0000"/>
                <w:lang w:val="en-US" w:eastAsia="zh-CN"/>
              </w:rPr>
            </w:pPr>
            <w:r>
              <w:rPr>
                <w:rFonts w:hint="eastAsia"/>
                <w:color w:val="FF0000"/>
                <w:lang w:val="en-US" w:eastAsia="zh-CN"/>
              </w:rPr>
              <w:t>2021年制定的目标为：单位产品能耗141.51kgce/t。。</w:t>
            </w:r>
          </w:p>
          <w:p>
            <w:pPr>
              <w:spacing w:line="280" w:lineRule="exact"/>
              <w:rPr>
                <w:rFonts w:hint="eastAsia"/>
                <w:color w:val="FF0000"/>
                <w:lang w:val="en-US" w:eastAsia="zh-CN"/>
              </w:rPr>
            </w:pPr>
            <w:r>
              <w:rPr>
                <w:rFonts w:hint="eastAsia"/>
                <w:color w:val="FF0000"/>
                <w:lang w:val="en-US" w:eastAsia="zh-CN"/>
              </w:rPr>
              <w:t>2021年1-9月份完成情况为：单位产品能耗144.37kgce/t。.没有完成了制定的目标。</w:t>
            </w:r>
          </w:p>
          <w:p>
            <w:pPr>
              <w:spacing w:line="280" w:lineRule="exact"/>
              <w:rPr>
                <w:rFonts w:hint="eastAsia"/>
                <w:color w:val="FF0000"/>
                <w:lang w:val="en-US" w:eastAsia="zh-CN"/>
              </w:rPr>
            </w:pPr>
            <w:r>
              <w:rPr>
                <w:rFonts w:hint="eastAsia"/>
                <w:color w:val="FF0000"/>
                <w:lang w:val="en-US" w:eastAsia="zh-CN"/>
              </w:rPr>
              <w:t>机加工能耗目标完成情况：</w:t>
            </w:r>
          </w:p>
          <w:p>
            <w:pPr>
              <w:spacing w:line="280" w:lineRule="exact"/>
              <w:rPr>
                <w:rFonts w:hint="eastAsia"/>
                <w:color w:val="FF0000"/>
                <w:lang w:val="en-US" w:eastAsia="zh-CN"/>
              </w:rPr>
            </w:pPr>
            <w:r>
              <w:rPr>
                <w:rFonts w:hint="eastAsia"/>
                <w:color w:val="FF0000"/>
                <w:lang w:val="en-US" w:eastAsia="zh-CN"/>
              </w:rPr>
              <w:t>企业2020年制定的目标为：单位产品能耗14.78kgce/t。</w:t>
            </w:r>
          </w:p>
          <w:p>
            <w:pPr>
              <w:spacing w:line="280" w:lineRule="exact"/>
              <w:rPr>
                <w:rFonts w:hint="eastAsia"/>
                <w:color w:val="FF0000"/>
                <w:lang w:val="en-US" w:eastAsia="zh-CN"/>
              </w:rPr>
            </w:pPr>
            <w:r>
              <w:rPr>
                <w:rFonts w:hint="eastAsia"/>
                <w:color w:val="FF0000"/>
                <w:lang w:val="en-US" w:eastAsia="zh-CN"/>
              </w:rPr>
              <w:t>企业2020年完成情况为：单位产品能耗5.74kgce/t，完成了制定的目标。</w:t>
            </w:r>
          </w:p>
          <w:p>
            <w:pPr>
              <w:spacing w:line="280" w:lineRule="exact"/>
              <w:rPr>
                <w:rFonts w:hint="eastAsia"/>
                <w:color w:val="FF0000"/>
                <w:lang w:val="en-US" w:eastAsia="zh-CN"/>
              </w:rPr>
            </w:pPr>
            <w:r>
              <w:rPr>
                <w:rFonts w:hint="eastAsia"/>
                <w:color w:val="FF0000"/>
                <w:lang w:val="en-US" w:eastAsia="zh-CN"/>
              </w:rPr>
              <w:t>2021年制定的目标为：单位产品能耗5.74kgce/t。</w:t>
            </w:r>
          </w:p>
          <w:p>
            <w:pPr>
              <w:spacing w:line="280" w:lineRule="exact"/>
              <w:rPr>
                <w:rFonts w:hint="eastAsia"/>
                <w:color w:val="auto"/>
                <w:lang w:val="en-US" w:eastAsia="zh-CN"/>
              </w:rPr>
            </w:pPr>
            <w:r>
              <w:rPr>
                <w:rFonts w:hint="eastAsia"/>
                <w:color w:val="FF0000"/>
                <w:lang w:val="en-US" w:eastAsia="zh-CN"/>
              </w:rPr>
              <w:t>2021年1-9月份完成情况为：单位产品能耗7.73kgce/t，.没有完成了制定的目标。</w:t>
            </w:r>
            <w:r>
              <w:rPr>
                <w:rFonts w:hint="eastAsia"/>
                <w:color w:val="auto"/>
                <w:lang w:val="en-US" w:eastAsia="zh-CN"/>
              </w:rPr>
              <w:t>”</w:t>
            </w:r>
          </w:p>
          <w:p>
            <w:pPr>
              <w:spacing w:line="280" w:lineRule="exact"/>
              <w:rPr>
                <w:rFonts w:hint="default"/>
                <w:color w:val="0000FF"/>
                <w:lang w:val="en-US" w:eastAsia="zh-CN"/>
              </w:rPr>
            </w:pPr>
            <w:r>
              <w:rPr>
                <w:rFonts w:hint="eastAsia"/>
                <w:color w:val="0000FF"/>
                <w:lang w:val="en-US" w:eastAsia="zh-CN"/>
              </w:rPr>
              <w:t>——查结合了“主要能源使用和改进机会”、“反映组织整体能源利用水平、覆盖全部生产流程的指标、用能设备的源效率等指标”的内容：</w:t>
            </w:r>
          </w:p>
          <w:p>
            <w:pPr>
              <w:spacing w:line="280" w:lineRule="exact"/>
              <w:rPr>
                <w:rFonts w:hint="eastAsia"/>
                <w:color w:val="0000FF"/>
                <w:lang w:val="en-US" w:eastAsia="zh-CN"/>
              </w:rPr>
            </w:pPr>
            <w:r>
              <w:rPr>
                <w:rFonts w:hint="eastAsia"/>
                <w:color w:val="0000FF"/>
                <w:lang w:val="en-US" w:eastAsia="zh-CN"/>
              </w:rPr>
              <w:t>提供《2020能源管理方案》规定了职责和权限、采取的技术方法、施工方法和实施过程中应注意问题；确定需要的资源（人力物力财力）、时间进度表、验证能源绩效改进过程的方法；</w:t>
            </w:r>
          </w:p>
          <w:p>
            <w:pPr>
              <w:spacing w:line="280" w:lineRule="exact"/>
              <w:rPr>
                <w:rFonts w:hint="eastAsia"/>
                <w:color w:val="0000FF"/>
                <w:lang w:val="en-US" w:eastAsia="zh-CN"/>
              </w:rPr>
            </w:pPr>
            <w:r>
              <w:rPr>
                <w:rFonts w:hint="eastAsia"/>
                <w:color w:val="0000FF"/>
                <w:lang w:val="en-US" w:eastAsia="zh-CN"/>
              </w:rPr>
              <w:t>查2020年目标能源指标基本实现、满足要求；</w:t>
            </w:r>
          </w:p>
          <w:p>
            <w:pPr>
              <w:pStyle w:val="9"/>
              <w:rPr>
                <w:rFonts w:hint="eastAsia" w:ascii="Times New Roman" w:hAnsi="Times New Roman" w:eastAsia="宋体" w:cs="Times New Roman"/>
                <w:bCs w:val="0"/>
                <w:color w:val="0000FF"/>
                <w:spacing w:val="0"/>
                <w:kern w:val="2"/>
                <w:sz w:val="21"/>
                <w:szCs w:val="20"/>
                <w:lang w:val="en-US" w:eastAsia="zh-CN" w:bidi="ar-SA"/>
              </w:rPr>
            </w:pPr>
            <w:r>
              <w:rPr>
                <w:rFonts w:hint="eastAsia"/>
                <w:color w:val="0000FF"/>
                <w:lang w:val="en-US" w:eastAsia="zh-CN"/>
              </w:rPr>
              <w:t>能源总目标、目标得到分解、制定了方案、目前方案落实情况符合规定、由于地方政府鼓励生产、2020年</w:t>
            </w:r>
            <w:r>
              <w:rPr>
                <w:rFonts w:hint="eastAsia" w:ascii="Times New Roman" w:hAnsi="Times New Roman" w:eastAsia="宋体" w:cs="Times New Roman"/>
                <w:bCs w:val="0"/>
                <w:color w:val="0000FF"/>
                <w:spacing w:val="0"/>
                <w:kern w:val="2"/>
                <w:sz w:val="21"/>
                <w:szCs w:val="20"/>
                <w:lang w:val="en-US" w:eastAsia="zh-CN" w:bidi="ar-SA"/>
              </w:rPr>
              <w:t>能源目标实现</w:t>
            </w:r>
          </w:p>
          <w:p>
            <w:pPr>
              <w:pStyle w:val="9"/>
              <w:rPr>
                <w:rFonts w:hint="default" w:ascii="Times New Roman" w:hAnsi="Times New Roman" w:eastAsia="宋体" w:cs="Times New Roman"/>
                <w:bCs w:val="0"/>
                <w:color w:val="auto"/>
                <w:spacing w:val="0"/>
                <w:kern w:val="2"/>
                <w:sz w:val="21"/>
                <w:szCs w:val="20"/>
                <w:lang w:val="en-US" w:eastAsia="zh-CN" w:bidi="ar-SA"/>
              </w:rPr>
            </w:pPr>
            <w:r>
              <w:rPr>
                <w:rFonts w:hint="eastAsia" w:cs="Times New Roman"/>
                <w:bCs w:val="0"/>
                <w:color w:val="0000FF"/>
                <w:spacing w:val="0"/>
                <w:kern w:val="2"/>
                <w:sz w:val="21"/>
                <w:szCs w:val="20"/>
                <w:lang w:val="en-US" w:eastAsia="zh-CN" w:bidi="ar-SA"/>
              </w:rPr>
              <w:t>查2021年至今目标完场情况符合规定</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cs="宋体"/>
                <w:color w:val="auto"/>
                <w:szCs w:val="21"/>
              </w:rPr>
            </w:pPr>
            <w:r>
              <w:rPr>
                <w:rFonts w:hint="eastAsia" w:ascii="宋体" w:hAnsi="宋体" w:cs="宋体"/>
                <w:color w:val="auto"/>
                <w:szCs w:val="21"/>
              </w:rPr>
              <w:t>资源</w:t>
            </w:r>
          </w:p>
        </w:tc>
        <w:tc>
          <w:tcPr>
            <w:tcW w:w="960" w:type="dxa"/>
          </w:tcPr>
          <w:p>
            <w:pPr>
              <w:rPr>
                <w:rFonts w:ascii="宋体" w:cs="宋体"/>
                <w:color w:val="auto"/>
                <w:szCs w:val="21"/>
              </w:rPr>
            </w:pPr>
            <w:r>
              <w:rPr>
                <w:rFonts w:hint="eastAsia" w:ascii="宋体" w:hAnsi="宋体" w:cs="Arial"/>
                <w:color w:val="auto"/>
                <w:spacing w:val="-6"/>
                <w:szCs w:val="21"/>
                <w:lang w:val="en-US" w:eastAsia="zh-CN"/>
              </w:rPr>
              <w:t xml:space="preserve">En </w:t>
            </w:r>
            <w:r>
              <w:rPr>
                <w:rFonts w:ascii="宋体" w:hAnsi="宋体" w:cs="宋体"/>
                <w:color w:val="auto"/>
                <w:szCs w:val="21"/>
              </w:rPr>
              <w:t xml:space="preserve">7.1 </w:t>
            </w:r>
          </w:p>
          <w:p>
            <w:pPr>
              <w:rPr>
                <w:rFonts w:ascii="宋体" w:cs="宋体"/>
                <w:color w:val="auto"/>
                <w:szCs w:val="21"/>
              </w:rPr>
            </w:pPr>
          </w:p>
        </w:tc>
        <w:tc>
          <w:tcPr>
            <w:tcW w:w="10752" w:type="dxa"/>
          </w:tcPr>
          <w:p>
            <w:pPr>
              <w:rPr>
                <w:rFonts w:hint="eastAsia" w:ascii="宋体" w:hAnsi="宋体" w:cs="宋体"/>
                <w:color w:val="auto"/>
                <w:szCs w:val="21"/>
              </w:rPr>
            </w:pPr>
            <w:r>
              <w:rPr>
                <w:rFonts w:hint="eastAsia" w:ascii="宋体" w:hAnsi="宋体" w:cs="宋体"/>
                <w:color w:val="auto"/>
                <w:szCs w:val="21"/>
              </w:rPr>
              <w:t>现有资源：</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公司根据公司经营运行需要，配备了各岗位所需人员、经营用房屋、办公设备（电脑、打印机等）、消防器材、防护用品。</w:t>
            </w:r>
          </w:p>
          <w:p>
            <w:pPr>
              <w:ind w:firstLine="420" w:firstLineChars="200"/>
              <w:rPr>
                <w:color w:val="auto"/>
              </w:rPr>
            </w:pPr>
            <w:r>
              <w:rPr>
                <w:rFonts w:hint="eastAsia" w:asciiTheme="minorEastAsia" w:hAnsiTheme="minorEastAsia" w:eastAsiaTheme="minorEastAsia" w:cstheme="minorEastAsia"/>
                <w:color w:val="auto"/>
                <w:szCs w:val="21"/>
              </w:rPr>
              <w:t>经营运行资金等资源，体系建立至今，未发生资源不足影响满足客户要求的现象.</w:t>
            </w:r>
          </w:p>
          <w:p>
            <w:pPr>
              <w:rPr>
                <w:rFonts w:hint="eastAsia" w:ascii="宋体" w:hAnsi="宋体" w:cs="宋体"/>
                <w:color w:val="auto"/>
                <w:szCs w:val="21"/>
              </w:rPr>
            </w:pPr>
            <w:r>
              <w:rPr>
                <w:rFonts w:hint="eastAsia" w:ascii="宋体" w:hAnsi="宋体" w:cs="宋体"/>
                <w:color w:val="auto"/>
                <w:szCs w:val="21"/>
                <w:lang w:val="en-US" w:eastAsia="zh-CN"/>
              </w:rPr>
              <w:t>生产</w:t>
            </w:r>
            <w:r>
              <w:rPr>
                <w:rFonts w:hint="eastAsia" w:ascii="宋体" w:hAnsi="宋体" w:cs="宋体"/>
                <w:color w:val="auto"/>
                <w:szCs w:val="21"/>
              </w:rPr>
              <w:t>设备设施包括“</w:t>
            </w:r>
            <w:r>
              <w:rPr>
                <w:rFonts w:hint="eastAsia" w:ascii="宋体" w:hAnsi="宋体" w:cs="宋体"/>
                <w:color w:val="auto"/>
                <w:szCs w:val="21"/>
                <w:lang w:val="en-US" w:eastAsia="zh-CN"/>
              </w:rPr>
              <w:t>双盘摩擦压力机、普通车床、全液模锻锤、加工中心、数控车床</w:t>
            </w:r>
            <w:r>
              <w:rPr>
                <w:rFonts w:hint="eastAsia" w:ascii="宋体" w:hAnsi="宋体" w:cs="宋体"/>
                <w:color w:val="auto"/>
                <w:szCs w:val="21"/>
              </w:rPr>
              <w:t>”</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rPr>
              <w:t>人员“</w:t>
            </w:r>
            <w:r>
              <w:rPr>
                <w:rFonts w:hint="eastAsia" w:ascii="宋体" w:hAnsi="宋体" w:cs="宋体"/>
                <w:color w:val="auto"/>
                <w:szCs w:val="21"/>
                <w:lang w:val="en-US" w:eastAsia="zh-CN"/>
              </w:rPr>
              <w:t>技术管理人员占比67%</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环保设施有：垃圾桶、灭火器等</w:t>
            </w:r>
          </w:p>
          <w:p>
            <w:pPr>
              <w:rPr>
                <w:rFonts w:hint="default" w:ascii="宋体" w:eastAsia="宋体" w:cs="宋体"/>
                <w:color w:val="auto"/>
                <w:szCs w:val="21"/>
                <w:lang w:val="en-US" w:eastAsia="zh-CN"/>
              </w:rPr>
            </w:pPr>
            <w:r>
              <w:rPr>
                <w:rFonts w:hint="eastAsia" w:ascii="宋体" w:hAnsi="宋体" w:cs="宋体"/>
                <w:color w:val="auto"/>
                <w:szCs w:val="21"/>
                <w:lang w:val="en-US" w:eastAsia="zh-CN"/>
              </w:rPr>
              <w:t>资金：财务充分</w:t>
            </w:r>
          </w:p>
          <w:p>
            <w:pPr>
              <w:rPr>
                <w:rFonts w:ascii="宋体" w:cs="宋体"/>
                <w:color w:val="auto"/>
                <w:szCs w:val="21"/>
              </w:rPr>
            </w:pPr>
            <w:r>
              <w:rPr>
                <w:rFonts w:hint="eastAsia" w:ascii="宋体" w:hAnsi="宋体" w:cs="宋体"/>
                <w:color w:val="auto"/>
                <w:szCs w:val="21"/>
              </w:rPr>
              <w:t>组织目前</w:t>
            </w:r>
            <w:r>
              <w:rPr>
                <w:rFonts w:hint="eastAsia" w:ascii="宋体" w:hAnsi="宋体" w:cs="宋体"/>
                <w:color w:val="auto"/>
                <w:szCs w:val="21"/>
                <w:lang w:val="en-US" w:eastAsia="zh-CN"/>
              </w:rPr>
              <w:t>生产</w:t>
            </w:r>
            <w:r>
              <w:rPr>
                <w:rFonts w:hint="eastAsia" w:ascii="宋体" w:hAnsi="宋体" w:cs="宋体"/>
                <w:color w:val="auto"/>
                <w:szCs w:val="21"/>
              </w:rPr>
              <w:t>能力水平状况，包括现有</w:t>
            </w:r>
            <w:r>
              <w:rPr>
                <w:rFonts w:hint="eastAsia" w:ascii="宋体" w:hAnsi="宋体" w:cs="宋体"/>
                <w:color w:val="auto"/>
                <w:szCs w:val="21"/>
                <w:lang w:val="en-US" w:eastAsia="zh-CN"/>
              </w:rPr>
              <w:t>资质</w:t>
            </w:r>
            <w:r>
              <w:rPr>
                <w:rFonts w:hint="eastAsia" w:ascii="宋体" w:hAnsi="宋体" w:cs="宋体"/>
                <w:color w:val="auto"/>
                <w:szCs w:val="21"/>
              </w:rPr>
              <w:t>，人力资源及其能力，机械设备</w:t>
            </w:r>
            <w:r>
              <w:rPr>
                <w:rFonts w:hint="eastAsia" w:ascii="宋体" w:hAnsi="宋体" w:cs="宋体"/>
                <w:color w:val="auto"/>
                <w:szCs w:val="21"/>
                <w:lang w:eastAsia="zh-CN"/>
              </w:rPr>
              <w:t>、</w:t>
            </w:r>
            <w:r>
              <w:rPr>
                <w:rFonts w:hint="eastAsia" w:ascii="宋体" w:hAnsi="宋体" w:cs="宋体"/>
                <w:color w:val="auto"/>
                <w:szCs w:val="21"/>
                <w:lang w:val="en-US" w:eastAsia="zh-CN"/>
              </w:rPr>
              <w:t>环保设施等</w:t>
            </w:r>
            <w:r>
              <w:rPr>
                <w:rFonts w:hint="eastAsia" w:ascii="宋体" w:hAnsi="宋体" w:cs="宋体"/>
                <w:color w:val="auto"/>
                <w:szCs w:val="21"/>
              </w:rPr>
              <w:t>信息和设施等情况的评审</w:t>
            </w:r>
            <w:r>
              <w:rPr>
                <w:rFonts w:hint="eastAsia" w:ascii="宋体" w:hAnsi="宋体" w:cs="宋体"/>
                <w:color w:val="auto"/>
                <w:szCs w:val="21"/>
                <w:lang w:val="en-US" w:eastAsia="zh-CN"/>
              </w:rPr>
              <w:t>结论：</w:t>
            </w:r>
            <w:r>
              <w:rPr>
                <w:rFonts w:hint="eastAsia" w:ascii="宋体" w:hAnsi="宋体" w:cs="宋体"/>
                <w:color w:val="auto"/>
                <w:szCs w:val="21"/>
              </w:rPr>
              <w:t>“基本满足</w:t>
            </w:r>
            <w:r>
              <w:rPr>
                <w:rFonts w:hint="eastAsia" w:ascii="宋体" w:hAnsi="宋体" w:cs="Arial"/>
                <w:color w:val="auto"/>
                <w:spacing w:val="-6"/>
                <w:szCs w:val="21"/>
                <w:lang w:val="en-US" w:eastAsia="zh-CN"/>
              </w:rPr>
              <w:t>En</w:t>
            </w:r>
            <w:r>
              <w:rPr>
                <w:rFonts w:hint="eastAsia" w:ascii="宋体" w:hAnsi="宋体" w:cs="宋体"/>
                <w:color w:val="auto"/>
                <w:szCs w:val="21"/>
              </w:rPr>
              <w:t>要求”；</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hint="eastAsia" w:ascii="宋体" w:hAnsi="宋体" w:cs="宋体"/>
                <w:color w:val="auto"/>
                <w:szCs w:val="21"/>
              </w:rPr>
            </w:pPr>
            <w:r>
              <w:rPr>
                <w:rFonts w:hint="eastAsia" w:ascii="宋体" w:hAnsi="宋体"/>
                <w:color w:val="auto"/>
                <w:kern w:val="0"/>
                <w:sz w:val="24"/>
              </w:rPr>
              <w:t>能源绩效和能源管理体系的监视、测量、分析和评价</w:t>
            </w: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E/En</w:t>
            </w:r>
          </w:p>
          <w:p>
            <w:pPr>
              <w:spacing w:line="28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9.1</w:t>
            </w:r>
          </w:p>
        </w:tc>
        <w:tc>
          <w:tcPr>
            <w:tcW w:w="10752" w:type="dxa"/>
            <w:vAlign w:val="center"/>
          </w:tcPr>
          <w:p>
            <w:pPr>
              <w:spacing w:line="28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w:t>
            </w:r>
            <w:r>
              <w:rPr>
                <w:rFonts w:hint="eastAsia" w:ascii="宋体" w:hAnsi="宋体" w:cs="Arial"/>
                <w:color w:val="auto"/>
                <w:spacing w:val="-6"/>
                <w:szCs w:val="21"/>
                <w:lang w:val="en-US" w:eastAsia="zh-CN"/>
              </w:rPr>
              <w:t>E/En</w:t>
            </w:r>
            <w:r>
              <w:rPr>
                <w:rFonts w:hint="eastAsia" w:asciiTheme="minorEastAsia" w:hAnsiTheme="minorEastAsia" w:eastAsiaTheme="minorEastAsia" w:cstheme="minorEastAsia"/>
                <w:color w:val="auto"/>
                <w:szCs w:val="21"/>
              </w:rPr>
              <w:t>监视和测量程序》为保证公司</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提供管理目标指标的检查考核工作，均完成目标考核要求。</w:t>
            </w:r>
          </w:p>
          <w:p>
            <w:pPr>
              <w:spacing w:line="280" w:lineRule="exact"/>
              <w:jc w:val="left"/>
              <w:rPr>
                <w:rFonts w:hint="eastAsia" w:ascii="宋体" w:hAnsi="宋体" w:cs="宋体"/>
                <w:color w:val="auto"/>
                <w:szCs w:val="21"/>
              </w:rPr>
            </w:pPr>
            <w:r>
              <w:rPr>
                <w:rFonts w:hint="eastAsia" w:asciiTheme="minorEastAsia" w:hAnsiTheme="minorEastAsia" w:eastAsiaTheme="minorEastAsia" w:cstheme="minorEastAsia"/>
                <w:color w:val="auto"/>
                <w:szCs w:val="21"/>
              </w:rPr>
              <w:t>查阅“</w:t>
            </w:r>
            <w:r>
              <w:rPr>
                <w:rFonts w:hint="eastAsia" w:ascii="宋体" w:hAnsi="宋体" w:cs="Arial"/>
                <w:color w:val="auto"/>
                <w:spacing w:val="-6"/>
                <w:szCs w:val="21"/>
                <w:lang w:val="en-US" w:eastAsia="zh-CN"/>
              </w:rPr>
              <w:t>En</w:t>
            </w:r>
            <w:r>
              <w:rPr>
                <w:rFonts w:hint="eastAsia" w:asciiTheme="minorEastAsia" w:hAnsiTheme="minorEastAsia" w:eastAsiaTheme="minorEastAsia" w:cstheme="minorEastAsia"/>
                <w:color w:val="auto"/>
                <w:szCs w:val="21"/>
              </w:rPr>
              <w:t>目标指标完成情况检查表”，体系建立至今共进行的管理目标指标的检查考核工作，均完成目标考核要求。</w:t>
            </w:r>
          </w:p>
          <w:p>
            <w:pPr>
              <w:rPr>
                <w:rFonts w:ascii="宋体" w:cs="宋体"/>
                <w:color w:val="auto"/>
                <w:szCs w:val="21"/>
              </w:rPr>
            </w:pPr>
            <w:r>
              <w:rPr>
                <w:rFonts w:hint="eastAsia" w:ascii="宋体" w:hAnsi="宋体" w:cs="宋体"/>
                <w:b/>
                <w:bCs/>
                <w:color w:val="auto"/>
                <w:szCs w:val="21"/>
                <w:lang w:val="en-US" w:eastAsia="zh-CN"/>
              </w:rPr>
              <w:t>能源</w:t>
            </w:r>
            <w:r>
              <w:rPr>
                <w:rFonts w:ascii="宋体" w:hAnsi="宋体" w:cs="宋体"/>
                <w:b/>
                <w:bCs/>
                <w:color w:val="auto"/>
                <w:szCs w:val="21"/>
              </w:rPr>
              <w:t xml:space="preserve"> </w:t>
            </w:r>
            <w:r>
              <w:rPr>
                <w:rFonts w:hint="eastAsia" w:ascii="宋体" w:hAnsi="宋体" w:cs="宋体"/>
                <w:b/>
                <w:bCs/>
                <w:color w:val="auto"/>
                <w:szCs w:val="21"/>
              </w:rPr>
              <w:t>：</w:t>
            </w:r>
            <w:r>
              <w:rPr>
                <w:rFonts w:hint="eastAsia" w:ascii="宋体" w:hAnsi="宋体" w:cs="宋体"/>
                <w:color w:val="auto"/>
                <w:szCs w:val="21"/>
              </w:rPr>
              <w:t>行动方案在实现目标和能源指标方面的有效性；能源绩效参数</w:t>
            </w:r>
            <w:r>
              <w:rPr>
                <w:rFonts w:ascii="宋体" w:hAnsi="宋体" w:cs="宋体"/>
                <w:color w:val="auto"/>
                <w:szCs w:val="21"/>
              </w:rPr>
              <w:t>EnPI</w:t>
            </w:r>
            <w:r>
              <w:rPr>
                <w:rFonts w:hint="eastAsia" w:ascii="宋体" w:hAnsi="宋体" w:cs="宋体"/>
                <w:color w:val="auto"/>
                <w:szCs w:val="21"/>
              </w:rPr>
              <w:t>（</w:t>
            </w:r>
            <w:r>
              <w:rPr>
                <w:rFonts w:ascii="宋体" w:hAnsi="宋体" w:cs="宋体"/>
                <w:color w:val="auto"/>
                <w:szCs w:val="21"/>
              </w:rPr>
              <w:t>S</w:t>
            </w:r>
            <w:r>
              <w:rPr>
                <w:rFonts w:hint="eastAsia" w:ascii="宋体" w:hAnsi="宋体" w:cs="宋体"/>
                <w:color w:val="auto"/>
                <w:szCs w:val="21"/>
              </w:rPr>
              <w:t>）；主要能源使用（</w:t>
            </w:r>
            <w:r>
              <w:rPr>
                <w:rFonts w:ascii="宋体" w:hAnsi="宋体" w:cs="宋体"/>
                <w:color w:val="auto"/>
                <w:szCs w:val="21"/>
              </w:rPr>
              <w:t>SEUs</w:t>
            </w:r>
            <w:r>
              <w:rPr>
                <w:rFonts w:hint="eastAsia" w:ascii="宋体" w:hAnsi="宋体" w:cs="宋体"/>
                <w:color w:val="auto"/>
                <w:szCs w:val="21"/>
              </w:rPr>
              <w:t>）的运行；实际能耗与预期能耗的对比评价；确定了：每年每月监视测量</w:t>
            </w:r>
            <w:r>
              <w:rPr>
                <w:rFonts w:ascii="宋体" w:hAnsi="宋体" w:cs="宋体"/>
                <w:color w:val="auto"/>
                <w:szCs w:val="21"/>
              </w:rPr>
              <w:t>1</w:t>
            </w:r>
            <w:r>
              <w:rPr>
                <w:rFonts w:hint="eastAsia" w:ascii="宋体" w:hAnsi="宋体" w:cs="宋体"/>
                <w:color w:val="auto"/>
                <w:szCs w:val="21"/>
              </w:rPr>
              <w:t>次并分析和评价监视和测量的结果以评价其能源绩效和能源管理体系的有效性；</w:t>
            </w:r>
          </w:p>
          <w:p>
            <w:pPr>
              <w:spacing w:line="280" w:lineRule="exact"/>
              <w:rPr>
                <w:rFonts w:ascii="宋体" w:hAnsi="宋体" w:cs="宋体"/>
                <w:color w:val="auto"/>
                <w:szCs w:val="21"/>
              </w:rPr>
            </w:pPr>
            <w:r>
              <w:rPr>
                <w:rFonts w:hint="eastAsia" w:ascii="宋体" w:hAnsi="宋体" w:cs="宋体"/>
                <w:color w:val="auto"/>
                <w:sz w:val="21"/>
                <w:szCs w:val="21"/>
              </w:rPr>
              <w:t>提供《日常能源巡查表》（月查）包括“办公用水、电、空调”等设施设备的防止跑冒滴漏检查、有责任确认信息、日期范围</w:t>
            </w:r>
            <w:r>
              <w:rPr>
                <w:rFonts w:ascii="宋体" w:hAnsi="宋体" w:cs="宋体"/>
                <w:color w:val="auto"/>
                <w:sz w:val="21"/>
                <w:szCs w:val="21"/>
              </w:rPr>
              <w:t>202</w:t>
            </w:r>
            <w:r>
              <w:rPr>
                <w:rFonts w:hint="eastAsia" w:ascii="宋体" w:hAnsi="宋体" w:cs="宋体"/>
                <w:color w:val="auto"/>
                <w:sz w:val="21"/>
                <w:szCs w:val="21"/>
                <w:lang w:val="en-US" w:eastAsia="zh-CN"/>
              </w:rPr>
              <w:t>1.1-9</w:t>
            </w:r>
            <w:r>
              <w:rPr>
                <w:rFonts w:hint="eastAsia" w:ascii="宋体" w:hAnsi="宋体" w:cs="宋体"/>
                <w:color w:val="auto"/>
                <w:sz w:val="21"/>
                <w:szCs w:val="21"/>
              </w:rPr>
              <w:t>结果“合格”；</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pPr>
              <w:spacing w:line="280" w:lineRule="exact"/>
              <w:jc w:val="left"/>
              <w:rPr>
                <w:rFonts w:ascii="宋体" w:cs="宋体"/>
                <w:color w:val="auto"/>
                <w:szCs w:val="21"/>
              </w:rPr>
            </w:pPr>
            <w:r>
              <w:rPr>
                <w:rFonts w:hint="eastAsia" w:ascii="宋体" w:hAnsi="宋体" w:cs="宋体"/>
                <w:color w:val="auto"/>
                <w:szCs w:val="21"/>
              </w:rPr>
              <w:t>管理评审</w:t>
            </w:r>
          </w:p>
          <w:p>
            <w:pPr>
              <w:spacing w:line="280" w:lineRule="exact"/>
              <w:jc w:val="left"/>
              <w:rPr>
                <w:rFonts w:ascii="宋体" w:cs="宋体"/>
                <w:color w:val="auto"/>
                <w:szCs w:val="21"/>
              </w:rPr>
            </w:pPr>
          </w:p>
        </w:tc>
        <w:tc>
          <w:tcPr>
            <w:tcW w:w="960" w:type="dxa"/>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spacing w:line="280" w:lineRule="exact"/>
              <w:jc w:val="left"/>
              <w:rPr>
                <w:rFonts w:ascii="宋体" w:hAnsi="宋体" w:cs="宋体"/>
                <w:color w:val="auto"/>
                <w:szCs w:val="21"/>
              </w:rPr>
            </w:pPr>
          </w:p>
          <w:p>
            <w:pPr>
              <w:spacing w:line="280" w:lineRule="exact"/>
              <w:jc w:val="left"/>
              <w:rPr>
                <w:rFonts w:ascii="宋体" w:cs="宋体"/>
                <w:color w:val="auto"/>
                <w:szCs w:val="21"/>
              </w:rPr>
            </w:pPr>
            <w:r>
              <w:rPr>
                <w:rFonts w:ascii="宋体" w:hAnsi="宋体" w:cs="宋体"/>
                <w:color w:val="auto"/>
                <w:szCs w:val="21"/>
              </w:rPr>
              <w:t xml:space="preserve">9.3 </w:t>
            </w:r>
          </w:p>
          <w:p>
            <w:pPr>
              <w:spacing w:line="280" w:lineRule="exact"/>
              <w:jc w:val="left"/>
              <w:rPr>
                <w:rFonts w:ascii="宋体" w:cs="宋体"/>
                <w:color w:val="auto"/>
                <w:szCs w:val="21"/>
              </w:rPr>
            </w:pPr>
          </w:p>
        </w:tc>
        <w:tc>
          <w:tcPr>
            <w:tcW w:w="10752" w:type="dxa"/>
            <w:vAlign w:val="center"/>
          </w:tcPr>
          <w:p>
            <w:pPr>
              <w:spacing w:line="240" w:lineRule="exact"/>
              <w:rPr>
                <w:rFonts w:hint="eastAsia" w:asciiTheme="minorEastAsia" w:hAnsiTheme="minorEastAsia" w:eastAsiaTheme="minorEastAsia" w:cstheme="minorEastAsia"/>
                <w:color w:val="auto"/>
                <w:szCs w:val="21"/>
              </w:rPr>
            </w:pPr>
          </w:p>
          <w:p>
            <w:pPr>
              <w:spacing w:line="240" w:lineRule="exact"/>
              <w:rPr>
                <w:rFonts w:hint="eastAsia" w:ascii="宋体" w:hAnsi="宋体" w:cs="宋体"/>
                <w:color w:val="auto"/>
                <w:szCs w:val="21"/>
              </w:rPr>
            </w:pPr>
            <w:r>
              <w:rPr>
                <w:rFonts w:hint="eastAsia" w:asciiTheme="minorEastAsia" w:hAnsiTheme="minorEastAsia" w:eastAsiaTheme="minorEastAsia" w:cstheme="minorEastAsia"/>
                <w:color w:val="auto"/>
                <w:szCs w:val="21"/>
              </w:rPr>
              <w:t>公司依</w:t>
            </w:r>
            <w:r>
              <w:rPr>
                <w:rFonts w:hint="eastAsia" w:ascii="宋体" w:hAnsi="宋体" w:cs="宋体"/>
                <w:color w:val="auto"/>
                <w:szCs w:val="21"/>
              </w:rPr>
              <w:t xml:space="preserve">据： </w:t>
            </w:r>
            <w:r>
              <w:rPr>
                <w:rFonts w:hint="eastAsia" w:ascii="宋体" w:hAnsi="宋体" w:cs="宋体"/>
                <w:color w:val="auto"/>
                <w:szCs w:val="21"/>
                <w:lang w:val="en-US" w:eastAsia="zh-CN"/>
              </w:rPr>
              <w:t>GB/T23331-2020</w:t>
            </w:r>
            <w:r>
              <w:rPr>
                <w:rFonts w:hint="eastAsia" w:ascii="宋体" w:hAnsi="宋体" w:cs="宋体"/>
                <w:color w:val="auto"/>
                <w:szCs w:val="21"/>
              </w:rPr>
              <w:t>标准进行管理评审。</w:t>
            </w:r>
          </w:p>
          <w:p>
            <w:pPr>
              <w:spacing w:line="280" w:lineRule="exact"/>
              <w:rPr>
                <w:rFonts w:asci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rPr>
                <w:rFonts w:ascii="宋体" w:cs="宋体"/>
                <w:color w:val="auto"/>
                <w:szCs w:val="21"/>
              </w:rPr>
            </w:pPr>
            <w:r>
              <w:rPr>
                <w:rFonts w:hint="eastAsia" w:ascii="宋体" w:hAnsi="宋体" w:cs="宋体"/>
                <w:color w:val="auto"/>
                <w:szCs w:val="21"/>
              </w:rPr>
              <w:t>查策划：在《管理评审程序》中明确了管理评审的实施要求。策划每年进行一次管理评审，间隔不超过</w:t>
            </w:r>
            <w:r>
              <w:rPr>
                <w:rFonts w:ascii="宋体" w:hAnsi="宋体" w:cs="宋体"/>
                <w:color w:val="auto"/>
                <w:szCs w:val="21"/>
              </w:rPr>
              <w:t>12</w:t>
            </w:r>
            <w:r>
              <w:rPr>
                <w:rFonts w:hint="eastAsia" w:ascii="宋体" w:hAnsi="宋体" w:cs="宋体"/>
                <w:color w:val="auto"/>
                <w:szCs w:val="21"/>
              </w:rPr>
              <w:t>个月。</w:t>
            </w:r>
          </w:p>
          <w:p>
            <w:pPr>
              <w:rPr>
                <w:rFonts w:asciiTheme="minorEastAsia" w:hAnsiTheme="minorEastAsia" w:eastAsiaTheme="minorEastAsia" w:cstheme="minorEastAsia"/>
                <w:color w:val="auto"/>
                <w:szCs w:val="21"/>
              </w:rPr>
            </w:pPr>
            <w:r>
              <w:rPr>
                <w:rFonts w:hint="eastAsia" w:ascii="宋体" w:hAnsi="宋体" w:cs="宋体"/>
                <w:color w:val="auto"/>
                <w:szCs w:val="21"/>
              </w:rPr>
              <w:t>查阅公司管理评审资料，提供：</w:t>
            </w:r>
            <w:r>
              <w:rPr>
                <w:rFonts w:hint="eastAsia" w:asciiTheme="minorEastAsia" w:hAnsiTheme="minorEastAsia" w:eastAsiaTheme="minorEastAsia" w:cstheme="minorEastAsia"/>
                <w:color w:val="auto"/>
                <w:szCs w:val="21"/>
              </w:rPr>
              <w:t>查阅公司管理评审资料：</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一、管理评审计划，评审时间：</w:t>
            </w:r>
            <w:r>
              <w:rPr>
                <w:rFonts w:hint="eastAsia" w:ascii="宋体" w:hAnsi="宋体" w:eastAsia="宋体" w:cs="宋体"/>
                <w:color w:val="auto"/>
                <w:szCs w:val="21"/>
                <w:u w:val="single"/>
                <w:lang w:val="en-US" w:eastAsia="zh-CN"/>
              </w:rPr>
              <w:t>2021</w:t>
            </w:r>
            <w:r>
              <w:rPr>
                <w:rFonts w:hint="eastAsia" w:ascii="宋体" w:hAnsi="宋体" w:eastAsia="宋体" w:cs="宋体"/>
                <w:color w:val="auto"/>
                <w:szCs w:val="21"/>
                <w:u w:val="single"/>
              </w:rPr>
              <w:t xml:space="preserve"> 年 </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 xml:space="preserve"> 月</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日</w:t>
            </w:r>
            <w:r>
              <w:rPr>
                <w:rFonts w:hint="eastAsia" w:asciiTheme="minorEastAsia" w:hAnsiTheme="minorEastAsia" w:eastAsiaTheme="minorEastAsia" w:cstheme="minorEastAsia"/>
                <w:color w:val="auto"/>
                <w:szCs w:val="21"/>
              </w:rPr>
              <w:t>评审方式：会议评审</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参加人员：总经理</w:t>
            </w:r>
            <w:r>
              <w:rPr>
                <w:rFonts w:hint="eastAsia" w:eastAsiaTheme="minorEastAsia"/>
                <w:lang w:val="en-US" w:eastAsia="zh-CN"/>
              </w:rPr>
              <w:t>谭明军</w:t>
            </w:r>
            <w:r>
              <w:rPr>
                <w:rFonts w:hint="eastAsia" w:asciiTheme="minorEastAsia" w:hAnsiTheme="minorEastAsia" w:eastAsiaTheme="minorEastAsia" w:cstheme="minorEastAsia"/>
                <w:color w:val="auto"/>
                <w:szCs w:val="21"/>
                <w:lang w:val="en-US" w:eastAsia="zh-CN"/>
              </w:rPr>
              <w:t>主持</w:t>
            </w:r>
            <w:r>
              <w:rPr>
                <w:rFonts w:hint="eastAsia" w:asciiTheme="minorEastAsia" w:hAnsiTheme="minorEastAsia" w:eastAsiaTheme="minorEastAsia" w:cstheme="minorEastAsia"/>
                <w:color w:val="auto"/>
                <w:szCs w:val="21"/>
              </w:rPr>
              <w:t>、管理者代表、其他人员有：</w:t>
            </w:r>
            <w:r>
              <w:rPr>
                <w:rFonts w:hint="eastAsia"/>
                <w:lang w:val="en-US" w:eastAsia="zh-CN"/>
              </w:rPr>
              <w:t>领导层</w:t>
            </w:r>
            <w:r>
              <w:rPr>
                <w:rFonts w:hint="eastAsia"/>
                <w:lang w:val="en-US" w:eastAsia="zh-CN"/>
              </w:rPr>
              <w:tab/>
            </w:r>
            <w:r>
              <w:rPr>
                <w:rFonts w:hint="eastAsia"/>
                <w:lang w:val="en-US" w:eastAsia="zh-CN"/>
              </w:rPr>
              <w:t>技术质量部   综合管理部   财务部 生产部</w:t>
            </w:r>
            <w:r>
              <w:rPr>
                <w:rFonts w:hint="eastAsia"/>
                <w:lang w:val="en-US" w:eastAsia="zh-CN"/>
              </w:rPr>
              <w:tab/>
            </w:r>
            <w:r>
              <w:rPr>
                <w:rFonts w:hint="eastAsia"/>
                <w:lang w:val="en-US" w:eastAsia="zh-CN"/>
              </w:rPr>
              <w:t>采购部  销售部</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相关负责人</w:t>
            </w:r>
            <w:r>
              <w:rPr>
                <w:rFonts w:hint="eastAsia" w:asciiTheme="minorEastAsia" w:hAnsiTheme="minorEastAsia" w:eastAsiaTheme="minorEastAsia" w:cstheme="minorEastAsia"/>
                <w:color w:val="auto"/>
                <w:szCs w:val="21"/>
              </w:rPr>
              <w:t>。计划中明确了评审内容和资料准备要求。</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二、管理评审输入：</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方针目标适宜性、目标的实现程度、体系策划和运行情况、可能的变更、外部供方的绩效、内审情况、纠正措施完成情况，应对风险和机遇所采取措施的有效性以及改进的建议等等。</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以上内容可通过会上口头发言及工作总结、汇报等形式体现。</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三、查看“管理评审报告”，报告中对本次管理评审做了总结，评价了公司建立、运行管理体系的效果。</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四、管理评审输出/评审结论：</w:t>
            </w:r>
          </w:p>
          <w:p>
            <w:pPr>
              <w:ind w:firstLine="420" w:firstLineChars="200"/>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color w:val="auto"/>
                <w:szCs w:val="21"/>
              </w:rPr>
              <w:t>提供《管理评审报告》结论：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通过半年的运行，检验了本公司能源管理体系的充分性适宜性</w:t>
            </w:r>
            <w:r>
              <w:rPr>
                <w:rFonts w:hint="eastAsia" w:asciiTheme="minorEastAsia" w:hAnsiTheme="minorEastAsia" w:eastAsiaTheme="minorEastAsia" w:cstheme="minorEastAsia"/>
                <w:color w:val="auto"/>
                <w:szCs w:val="21"/>
                <w:lang w:val="en-US" w:eastAsia="zh-CN"/>
              </w:rPr>
              <w:t>有效性</w:t>
            </w:r>
            <w:r>
              <w:rPr>
                <w:rFonts w:hint="eastAsia" w:asciiTheme="minorEastAsia" w:hAnsiTheme="minorEastAsia" w:eastAsiaTheme="minorEastAsia" w:cstheme="minorEastAsia"/>
                <w:color w:val="auto"/>
                <w:szCs w:val="21"/>
              </w:rPr>
              <w:t>。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本公司建立的能源管理体系考虑了本公司内、外部环境，由于运行时间不长，因此，内外部环境变化不会对体系带来影响。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批准</w:t>
            </w:r>
            <w:r>
              <w:rPr>
                <w:rFonts w:hint="eastAsia" w:asciiTheme="minorEastAsia" w:hAnsiTheme="minorEastAsia" w:eastAsiaTheme="minorEastAsia" w:cstheme="minorEastAsia"/>
                <w:color w:val="auto"/>
                <w:szCs w:val="21"/>
                <w:lang w:val="en-US" w:eastAsia="zh-CN"/>
              </w:rPr>
              <w:t xml:space="preserve"> </w:t>
            </w:r>
            <w:r>
              <w:rPr>
                <w:rFonts w:hint="eastAsia" w:eastAsiaTheme="minorEastAsia"/>
                <w:lang w:val="en-US" w:eastAsia="zh-CN"/>
              </w:rPr>
              <w:t>谭明军</w:t>
            </w:r>
            <w:r>
              <w:rPr>
                <w:rFonts w:hint="eastAsia" w:asciiTheme="minorEastAsia" w:hAnsiTheme="minorEastAsia" w:eastAsiaTheme="minorEastAsia" w:cstheme="minorEastAsia"/>
                <w:color w:val="auto"/>
                <w:szCs w:val="21"/>
              </w:rPr>
              <w:t>；日期202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7.1</w:t>
            </w:r>
          </w:p>
          <w:p>
            <w:pPr>
              <w:spacing w:line="280" w:lineRule="exact"/>
              <w:rPr>
                <w:rFonts w:ascii="宋体" w:cs="宋体"/>
                <w:color w:val="auto"/>
                <w:szCs w:val="21"/>
              </w:rPr>
            </w:pP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Times New Roman" w:eastAsia="宋体" w:cs="宋体"/>
                <w:color w:val="auto"/>
                <w:kern w:val="2"/>
                <w:sz w:val="21"/>
                <w:szCs w:val="21"/>
                <w:lang w:val="en-US" w:eastAsia="zh-CN" w:bidi="ar-SA"/>
              </w:rPr>
            </w:pPr>
            <w:r>
              <w:rPr>
                <w:rFonts w:hint="eastAsia" w:ascii="宋体" w:hAnsi="宋体" w:eastAsia="宋体" w:cs="宋体"/>
                <w:color w:val="auto"/>
                <w:sz w:val="24"/>
                <w:szCs w:val="24"/>
              </w:rPr>
              <w:t>不符合和纠正措施</w:t>
            </w:r>
          </w:p>
        </w:tc>
        <w:tc>
          <w:tcPr>
            <w:tcW w:w="960"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En</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p>
            <w:pPr>
              <w:rPr>
                <w:rFonts w:hint="eastAsia" w:asciiTheme="minorEastAsia" w:hAnsiTheme="minorEastAsia" w:eastAsiaTheme="minorEastAsia" w:cstheme="minorEastAsia"/>
                <w:color w:val="auto"/>
                <w:szCs w:val="21"/>
                <w:lang w:val="en-US" w:eastAsia="zh-CN"/>
              </w:rPr>
            </w:pPr>
          </w:p>
        </w:tc>
        <w:tc>
          <w:tcPr>
            <w:tcW w:w="10752" w:type="dxa"/>
            <w:vAlign w:val="top"/>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w:t>
            </w:r>
            <w:r>
              <w:rPr>
                <w:rFonts w:hint="eastAsia" w:asciiTheme="minorEastAsia" w:hAnsiTheme="minorEastAsia" w:eastAsiaTheme="minorEastAsia" w:cstheme="minorEastAsia"/>
                <w:color w:val="auto"/>
                <w:szCs w:val="21"/>
                <w:lang w:val="en-US" w:eastAsia="zh-CN"/>
              </w:rPr>
              <w:t>En</w:t>
            </w:r>
            <w:r>
              <w:rPr>
                <w:rFonts w:hint="eastAsia" w:asciiTheme="minorEastAsia" w:hAnsiTheme="minorEastAsia" w:eastAsiaTheme="minorEastAsia" w:cstheme="minorEastAsia"/>
                <w:color w:val="auto"/>
                <w:szCs w:val="21"/>
              </w:rPr>
              <w:t>管理方针和目标，并鼓励员工提合理化建议，营造了一个激励改进的氛围，通过管理目标的建立与考核，明确了改进、努力的方向。</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通过提高销售服务以满足需求，通过内审、管理评审、数据分析与实施纠正和纠正措施，建立一个自我完善、持续改进的机制，不断改进体系绩效和有效性。</w:t>
            </w: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基本符合要求。</w:t>
            </w:r>
            <w:r>
              <w:rPr>
                <w:rFonts w:hint="eastAsia" w:asciiTheme="minorEastAsia" w:hAnsiTheme="minorEastAsia" w:eastAsiaTheme="minorEastAsia" w:cstheme="minorEastAsia"/>
                <w:color w:val="auto"/>
                <w:szCs w:val="21"/>
                <w:lang w:val="en-US" w:eastAsia="zh-CN"/>
              </w:rPr>
              <w:t>查内审不符合“1”项、有不符合项内容描述、原因分析、及纠正措施的实施及验证信息；</w:t>
            </w:r>
          </w:p>
        </w:tc>
        <w:tc>
          <w:tcPr>
            <w:tcW w:w="83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color w:val="auto"/>
                <w:lang w:val="en-US" w:eastAsia="zh-CN"/>
              </w:rPr>
            </w:pPr>
            <w:r>
              <w:rPr>
                <w:rFonts w:hint="eastAsia"/>
                <w:color w:val="auto"/>
                <w:lang w:val="en-US" w:eastAsia="zh-CN"/>
              </w:rPr>
              <w:t>持续改进</w:t>
            </w:r>
          </w:p>
          <w:p>
            <w:pPr>
              <w:pStyle w:val="9"/>
              <w:rPr>
                <w:rFonts w:hint="eastAsia"/>
                <w:color w:val="auto"/>
              </w:rPr>
            </w:pPr>
            <w:r>
              <w:rPr>
                <w:rFonts w:hint="eastAsia" w:ascii="宋体" w:hAnsi="宋体"/>
                <w:b/>
                <w:color w:val="auto"/>
                <w:sz w:val="18"/>
                <w:szCs w:val="18"/>
              </w:rPr>
              <w:t>不符合和纠正措施</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ascii="Times New Roman" w:hAnsi="Times New Roman" w:eastAsia="宋体" w:cs="Times New Roman"/>
                <w:color w:val="auto"/>
                <w:kern w:val="2"/>
                <w:sz w:val="21"/>
                <w:szCs w:val="21"/>
                <w:lang w:val="en-US" w:eastAsia="zh-CN" w:bidi="ar-SA"/>
              </w:rPr>
            </w:pPr>
          </w:p>
        </w:tc>
        <w:tc>
          <w:tcPr>
            <w:tcW w:w="10752" w:type="dxa"/>
            <w:vAlign w:val="top"/>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通过对管理评审的审核、确定了组织的质量管理体系的适宜性、充分性和有效性——基本满足标准的要求，组织的持续改进绩效明显</w:t>
            </w:r>
          </w:p>
          <w:p>
            <w:pPr>
              <w:ind w:firstLine="480" w:firstLineChars="200"/>
              <w:rPr>
                <w:rFonts w:hint="eastAsia" w:ascii="宋体" w:hAnsi="宋体" w:eastAsia="宋体" w:cs="宋体"/>
                <w:b w:val="0"/>
                <w:bCs w:val="0"/>
                <w:color w:val="auto"/>
                <w:sz w:val="24"/>
                <w:szCs w:val="24"/>
                <w:lang w:val="en-US" w:eastAsia="zh-CN"/>
              </w:rPr>
            </w:pPr>
          </w:p>
          <w:p>
            <w:pPr>
              <w:ind w:firstLine="420" w:firstLineChars="200"/>
              <w:rPr>
                <w:color w:val="auto"/>
              </w:rPr>
            </w:pPr>
            <w:r>
              <w:rPr>
                <w:rFonts w:hint="eastAsia"/>
                <w:color w:val="auto"/>
              </w:rPr>
              <w:t>公司制定《纠正预防措施控制程序》，规定了纠正措施的来源,明确了对不合格项应进行原因分析,制定纠正措施计划,实施跟踪验证,确保所采取 的纠正措施满足预期要求。</w:t>
            </w:r>
          </w:p>
          <w:p>
            <w:pPr>
              <w:ind w:firstLine="420" w:firstLineChars="200"/>
              <w:rPr>
                <w:color w:val="auto"/>
              </w:rPr>
            </w:pPr>
            <w:r>
              <w:rPr>
                <w:rFonts w:hint="eastAsia"/>
                <w:color w:val="auto"/>
              </w:rPr>
              <w:t>内审中发现的不符合项已经采取纠正措施，整改完毕且有效。</w:t>
            </w:r>
          </w:p>
          <w:p>
            <w:pPr>
              <w:ind w:firstLine="420" w:firstLineChars="200"/>
              <w:rPr>
                <w:color w:val="auto"/>
              </w:rPr>
            </w:pPr>
            <w:r>
              <w:rPr>
                <w:rFonts w:hint="eastAsia"/>
                <w:color w:val="auto"/>
              </w:rPr>
              <w:t>通过交谈，基本能清楚纠正和预防措施的控制要求。改进的示例包括纠正、纠正措施、持续改进。</w:t>
            </w:r>
          </w:p>
          <w:p>
            <w:pPr>
              <w:rPr>
                <w:color w:val="auto"/>
              </w:rPr>
            </w:pPr>
            <w:r>
              <w:rPr>
                <w:rFonts w:hint="eastAsia"/>
                <w:color w:val="auto"/>
              </w:rPr>
              <w:t>根据不同过程、不同产品和不同要求，采取不同的方法进行监视、测量和分析。无其他不符合发生。</w:t>
            </w:r>
          </w:p>
          <w:p>
            <w:pPr>
              <w:spacing w:line="280" w:lineRule="exact"/>
              <w:jc w:val="left"/>
              <w:rPr>
                <w:color w:val="auto"/>
              </w:rPr>
            </w:pPr>
            <w:r>
              <w:rPr>
                <w:rFonts w:hint="eastAsia"/>
                <w:color w:val="auto"/>
              </w:rPr>
              <w:t>公司利用</w:t>
            </w:r>
            <w:r>
              <w:rPr>
                <w:rFonts w:hint="eastAsia"/>
                <w:color w:val="auto"/>
                <w:lang w:val="en-US" w:eastAsia="zh-CN"/>
              </w:rPr>
              <w:t>En</w:t>
            </w:r>
            <w:r>
              <w:rPr>
                <w:rFonts w:hint="eastAsia"/>
                <w:color w:val="auto"/>
              </w:rPr>
              <w:t>方针、目标、内审和外审、数据分析、纠正和预防措施以及管理评审，识别任何改进的机会，持续改进质量管理体系的适宜性、充分性和有效性。</w:t>
            </w:r>
          </w:p>
          <w:p>
            <w:pPr>
              <w:ind w:firstLine="420" w:firstLineChars="200"/>
              <w:rPr>
                <w:rFonts w:hint="eastAsia" w:ascii="Times New Roman" w:hAnsi="Times New Roman" w:eastAsia="宋体" w:cs="Times New Roman"/>
                <w:color w:val="auto"/>
              </w:rPr>
            </w:pPr>
            <w:r>
              <w:rPr>
                <w:rFonts w:hint="eastAsia"/>
                <w:color w:val="auto"/>
              </w:rPr>
              <w:t>资质</w:t>
            </w:r>
            <w:r>
              <w:rPr>
                <w:rFonts w:hint="eastAsia" w:ascii="Times New Roman" w:hAnsi="Times New Roman" w:eastAsia="宋体" w:cs="Times New Roman"/>
                <w:color w:val="auto"/>
              </w:rPr>
              <w:t>验证  企业提供营业执照,企业资质在范围内(见附件)</w:t>
            </w:r>
          </w:p>
          <w:p>
            <w:pPr>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投诉或事</w:t>
            </w:r>
            <w:bookmarkStart w:id="4" w:name="_GoBack"/>
            <w:bookmarkEnd w:id="4"/>
            <w:r>
              <w:rPr>
                <w:rFonts w:hint="eastAsia" w:ascii="Times New Roman" w:hAnsi="Times New Roman" w:eastAsia="宋体" w:cs="Times New Roman"/>
                <w:color w:val="auto"/>
              </w:rPr>
              <w:t>故:无</w:t>
            </w:r>
          </w:p>
          <w:p>
            <w:pPr>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政府主管部门监督抽查情况:</w:t>
            </w:r>
            <w:r>
              <w:rPr>
                <w:rFonts w:hint="eastAsia" w:ascii="Times New Roman" w:hAnsi="Times New Roman" w:eastAsia="宋体" w:cs="Times New Roman"/>
                <w:color w:val="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s="宋体"/>
                <w:color w:val="auto"/>
                <w:szCs w:val="21"/>
              </w:rPr>
            </w:pPr>
          </w:p>
        </w:tc>
        <w:tc>
          <w:tcPr>
            <w:tcW w:w="837" w:type="dxa"/>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065F"/>
    <w:rsid w:val="00C64A93"/>
    <w:rsid w:val="025A68EE"/>
    <w:rsid w:val="026C3DE6"/>
    <w:rsid w:val="082F680A"/>
    <w:rsid w:val="0AB04AEA"/>
    <w:rsid w:val="0BD7371B"/>
    <w:rsid w:val="0DCA477E"/>
    <w:rsid w:val="0F730ECC"/>
    <w:rsid w:val="0FFF0D5E"/>
    <w:rsid w:val="10604A3D"/>
    <w:rsid w:val="1BC1195B"/>
    <w:rsid w:val="22C30E0D"/>
    <w:rsid w:val="26D04C23"/>
    <w:rsid w:val="29BD43D7"/>
    <w:rsid w:val="2D0A234F"/>
    <w:rsid w:val="404B4B56"/>
    <w:rsid w:val="473E61A2"/>
    <w:rsid w:val="543A2DF9"/>
    <w:rsid w:val="55B11A7B"/>
    <w:rsid w:val="55BF4D5A"/>
    <w:rsid w:val="56366B12"/>
    <w:rsid w:val="590C6B3F"/>
    <w:rsid w:val="6330179F"/>
    <w:rsid w:val="6D131C33"/>
    <w:rsid w:val="7CB5655B"/>
    <w:rsid w:val="7CCA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rPr>
  </w:style>
  <w:style w:type="paragraph" w:styleId="3">
    <w:name w:val="Body Text"/>
    <w:basedOn w:val="1"/>
    <w:qFormat/>
    <w:uiPriority w:val="99"/>
    <w:rPr>
      <w:sz w:val="24"/>
    </w:rPr>
  </w:style>
  <w:style w:type="paragraph" w:styleId="4">
    <w:name w:val="Body Text Indent"/>
    <w:basedOn w:val="1"/>
    <w:next w:val="5"/>
    <w:unhideWhenUsed/>
    <w:qFormat/>
    <w:uiPriority w:val="0"/>
    <w:pPr>
      <w:spacing w:beforeLines="0" w:after="120" w:afterLines="0"/>
      <w:ind w:left="200" w:leftChars="200"/>
    </w:pPr>
    <w:rPr>
      <w:rFonts w:hint="default"/>
      <w:sz w:val="24"/>
    </w:rPr>
  </w:style>
  <w:style w:type="paragraph" w:styleId="5">
    <w:name w:val="toc 3"/>
    <w:basedOn w:val="1"/>
    <w:next w:val="1"/>
    <w:unhideWhenUsed/>
    <w:qFormat/>
    <w:uiPriority w:val="0"/>
    <w:pPr>
      <w:spacing w:beforeLines="0" w:afterLines="0"/>
      <w:ind w:left="400" w:leftChars="400"/>
    </w:pPr>
    <w:rPr>
      <w:rFonts w:hint="default"/>
      <w:sz w:val="21"/>
    </w:rPr>
  </w:style>
  <w:style w:type="paragraph" w:styleId="6">
    <w:name w:val="Body Text First Indent 2"/>
    <w:basedOn w:val="4"/>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9">
    <w:name w:val="表格文字"/>
    <w:basedOn w:val="1"/>
    <w:qFormat/>
    <w:uiPriority w:val="0"/>
    <w:pPr>
      <w:spacing w:before="25" w:after="25"/>
    </w:pPr>
    <w:rPr>
      <w:bCs/>
      <w:spacing w:val="10"/>
    </w:rPr>
  </w:style>
  <w:style w:type="paragraph" w:customStyle="1" w:styleId="10">
    <w:name w:val="正文1"/>
    <w:basedOn w:val="1"/>
    <w:qFormat/>
    <w:uiPriority w:val="0"/>
    <w:pPr>
      <w:spacing w:line="360" w:lineRule="auto"/>
      <w:ind w:left="424" w:leftChars="202" w:right="50"/>
    </w:pPr>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2021-05-09T22:11:00Z</dcterms:created>
  <dc:creator>叶子</dc:creator>
  <cp:lastModifiedBy>叶子</cp:lastModifiedBy>
  <dcterms:modified xsi:type="dcterms:W3CDTF">2021-11-05T06:01:54Z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31C61BD7D4354D388BC905DBC3D13748</vt:lpwstr>
  </property>
</Properties>
</file>