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4" w:name="F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 xml:space="preserve">FSMS </w:t>
      </w:r>
      <w:bookmarkStart w:id="5" w:name="H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6" w:name="组织名称"/>
            <w:r>
              <w:rPr>
                <w:b/>
                <w:sz w:val="20"/>
              </w:rPr>
              <w:t>湖北洪伯车辆有限公司</w:t>
            </w:r>
            <w:bookmarkEnd w:id="6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7" w:name="专业代码"/>
            <w:r>
              <w:rPr>
                <w:b/>
                <w:sz w:val="20"/>
              </w:rPr>
              <w:t>E：22.03.02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O：22.03.02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EnMS：2.7</w:t>
            </w:r>
            <w:bookmarkEnd w:id="7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江荣超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周涛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E：22.03.02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O：22.03.02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EnMS：2.7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会议室/远程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李京田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周涛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周文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张亮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宋翠琳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十字轴：下料—加热—锻造—取费边—正火—喷丸—机械加工—渗碳淬火—热处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理—磨外圆及端面—清洗除油—包装入库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关键过程为：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铸造，机加工，锻造，热处理，组装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特殊过程为：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焊接，热处理，电镀，喷漆/烤漆，铸造，锻造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汽车零部件、附件的制造主要质量指标：熟悉产品标准中的出厂检验性、对比试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验、行业对标要求。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熟悉关键原材料进厂检验、过程检验、成品检验的要求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噪声：板材冲压成型噪声、发动机测试噪声、空压机噪声、冷却塔噪声、总装风动工具噪声等。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废气：车身焊接烟尘、车身喷涂漆雾、烘漆废气、铝合金熔化炉烟气、零件机加工油蒸气发、动机试验尾气、总装汽车尾气等。铸件落砂机、抛丸机、清砂作业、锅炉烟尘、砂轮机等设备运行产生的粉尘。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 xml:space="preserve">废水：车身喷涂前处理废水（含油、酸、碱）、打磨废水（含泥子）、去除漆雾废水、发动机及变速器零件加工后清洗废水（含油、含乳化液）。 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固废：冲压成型时的边角料、铸造废浇冒口、熔化炉废渣、零件机加工金属废屑、废油、废乳化液、废漆渣、废溶剂、含油含油漆废物（手套、棉纱）、废水处理污泥、化学品包装物。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潜在的火灾、爆炸。能源、资源消耗。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控制措施  噪声污染：采取隔声、吸声装置或设置隔声门（窗）等措施降低影响。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大气污染：焊接烟尘目前多数为无组织排放，如果集中排放可采用布袋除尘等措施；漆雾主要采用文丘里（水旋）方式去除处理，并通过排气管道高空排放；烘漆产生的高浓度（含苯系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物）有机废气，采用焚烧炉焚烧方式降低排放量；尾气排放可以通过集中收集活性碳过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滤方式减少排放量。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3、水污染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去除漆物废水经化学除漆渣后排入污水站深度处理；电镀污水，含油、含乳化液、含酸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碱废水排入污水站经物理、化学、生物处理后回用或排放。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4、固体废物污染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对固体废物中国家危险废物名录中列出的废物，交有地方环保部门认可资质的单位处理。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其他固体废物有环卫部门处理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5、资源消耗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采用目标、指标方案控制和程序文件控制、个人行为控制达到节能减排目标。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鼓励研究开发的新技术、新材料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1、能源和资源比例结构调整，考虑代替能源；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2、工艺优化与革新，减少和优化加工工艺，以节约能源，减少污染物的排放；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3、二次能源的综合利用，提高节能减排效果。</w:t>
            </w:r>
          </w:p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ind w:left="-120" w:leftChars="-50" w:right="-122" w:rightChars="-51"/>
              <w:rPr>
                <w:rFonts w:hint="eastAsia" w:ascii="楷体_GB2312" w:hAnsi="宋体" w:eastAsia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Cs w:val="21"/>
              </w:rPr>
              <w:t>主要危险源：</w:t>
            </w:r>
          </w:p>
          <w:p>
            <w:pPr>
              <w:ind w:left="-120" w:leftChars="-50" w:right="-122" w:rightChars="-51" w:firstLine="240" w:firstLineChars="100"/>
              <w:rPr>
                <w:rFonts w:hint="eastAsia" w:ascii="楷体_GB2312" w:hAnsi="宋体" w:eastAsia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Cs w:val="21"/>
              </w:rPr>
              <w:t>机械伤害；烫伤；粉尘；火灾；</w:t>
            </w:r>
          </w:p>
          <w:p>
            <w:pPr>
              <w:ind w:left="-120" w:leftChars="-50" w:right="-122" w:rightChars="-51"/>
              <w:rPr>
                <w:rFonts w:hint="eastAsia" w:ascii="楷体_GB2312" w:hAnsi="宋体" w:eastAsia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Cs w:val="21"/>
              </w:rPr>
              <w:t>爆炸；噪声；砸伤；化学品中毒</w:t>
            </w:r>
          </w:p>
          <w:p>
            <w:pPr>
              <w:ind w:right="-122" w:rightChars="-51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机械伤害：原料准备过程中运输车辆对人员碰撞、碾压、高空吊车刹车失灵、限位器损坏、吊物起重坠落造成人员伤害；</w:t>
            </w:r>
          </w:p>
          <w:p>
            <w:pPr>
              <w:ind w:right="-122" w:rightChars="-51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有害、有毒气体：喷漆及化学品库（醛类、酚类、苯类）的排放，易燃易爆化学品造成的火灾；</w:t>
            </w:r>
          </w:p>
          <w:p>
            <w:pPr>
              <w:ind w:right="-122" w:rightChars="-51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噪声危害：冲压设备和模具结构设计不合理、冲压设备安装调整不适当、照明度不适当</w:t>
            </w:r>
          </w:p>
          <w:p>
            <w:pPr>
              <w:ind w:right="-122" w:rightChars="-51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有毒气体和金属烟尘：、压缩钢瓶、（一氧化碳、臭氧、氟化氢等）（锰、咯、镍、铜、钛等）、电磁（非电离）辐射、电危害：</w:t>
            </w:r>
          </w:p>
          <w:p>
            <w:pPr>
              <w:ind w:right="-122" w:rightChars="-51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漏电、静电；</w:t>
            </w:r>
          </w:p>
          <w:p>
            <w:pPr>
              <w:ind w:right="-122" w:rightChars="-51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溶剂蒸汽：涂装作业中，油漆中的溶剂（多为溶剂油、苯类、酮类、酯类、作业过程中产生的溶剂蒸汽）；</w:t>
            </w:r>
          </w:p>
          <w:p>
            <w:pPr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火灾：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易燃易爆化学品造成的火灾；</w:t>
            </w:r>
          </w:p>
          <w:p>
            <w:pPr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控制措施：</w:t>
            </w:r>
          </w:p>
          <w:p>
            <w:pPr>
              <w:snapToGrid w:val="0"/>
              <w:ind w:leftChars="-51" w:right="-139" w:rightChars="-58" w:hanging="122" w:hangingChars="51"/>
              <w:rPr>
                <w:rFonts w:hint="eastAsia" w:ascii="楷体_GB2312" w:hAnsi="宋体" w:eastAsia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Cs w:val="21"/>
              </w:rPr>
              <w:t>配备消防器材；加强设备维护和人员培训；个人防护；通风；隔音间</w:t>
            </w:r>
          </w:p>
          <w:p>
            <w:pPr>
              <w:snapToGrid w:val="0"/>
              <w:ind w:leftChars="-51" w:right="-139" w:rightChars="-58" w:hanging="122" w:hangingChars="51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1）增加个体劳动防护，发放眼罩、耳塞，增加排烟系统</w:t>
            </w:r>
          </w:p>
          <w:p>
            <w:pPr>
              <w:snapToGrid w:val="0"/>
              <w:ind w:leftChars="-51" w:right="-139" w:rightChars="-58" w:hanging="122" w:hangingChars="51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2）增加劳动防护装置及排风护罩等</w:t>
            </w:r>
          </w:p>
          <w:p>
            <w:pPr>
              <w:snapToGrid w:val="0"/>
              <w:ind w:leftChars="-51" w:right="-139" w:rightChars="-58" w:hanging="122" w:hangingChars="51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3）增加排烟及灭火装置，防止火源的产生，使用隔爆设备</w:t>
            </w:r>
          </w:p>
          <w:p>
            <w:pPr>
              <w:snapToGrid w:val="0"/>
              <w:ind w:leftChars="-51" w:right="-139" w:rightChars="-58" w:hanging="122" w:hangingChars="51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4）制定安全装配规程控制等设备的完好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5）发放劳动保护用品，控制尾气、噪音的产生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水、电和</w:t>
            </w:r>
            <w:r>
              <w:rPr>
                <w:rFonts w:hint="eastAsia"/>
                <w:b/>
                <w:sz w:val="20"/>
                <w:lang w:val="en-US" w:eastAsia="zh-CN"/>
              </w:rPr>
              <w:t>天然气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cs="Times New Roma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 xml:space="preserve">JB/T8925-1999 汽车万向节十字轴总成技术条件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B4380 金属冲压件通用技术条件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 xml:space="preserve">QC/T29087 汽车焊接加工零件未注公差尺寸的极限偏差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cs="Times New Roma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 xml:space="preserve">B4380 金属冲压件通用技术条件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cs="Times New Roma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 xml:space="preserve">GB/T13914-2002 冲压件尺寸公差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cs="Times New Roma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 xml:space="preserve">GB/T13915-2002 冲压件角度公差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 xml:space="preserve">GB/T13916-2002 形状和位置未注公差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lang w:val="en-US" w:eastAsia="zh-CN"/>
              </w:rPr>
              <w:t>GB18075.1-2012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交通运输设备制造业卫生防护距离 第一部分：汽车制造 业》及其行业中规定的术语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/>
                <w:sz w:val="20"/>
                <w:lang w:eastAsia="zh-CN"/>
              </w:rPr>
              <w:t>《</w:t>
            </w:r>
            <w:r>
              <w:rPr>
                <w:rFonts w:hint="eastAsia"/>
                <w:b/>
                <w:sz w:val="20"/>
                <w:lang w:eastAsia="zh-CN"/>
              </w:rPr>
              <w:fldChar w:fldCharType="begin"/>
            </w:r>
            <w:r>
              <w:rPr>
                <w:rFonts w:hint="eastAsia"/>
                <w:b/>
                <w:sz w:val="20"/>
                <w:lang w:eastAsia="zh-CN"/>
              </w:rPr>
              <w:instrText xml:space="preserve"> HYPERLINK "javascript:SLC(40273,0)" </w:instrText>
            </w:r>
            <w:r>
              <w:rPr>
                <w:rFonts w:hint="eastAsia"/>
                <w:b/>
                <w:sz w:val="20"/>
                <w:lang w:eastAsia="zh-CN"/>
              </w:rPr>
              <w:fldChar w:fldCharType="separate"/>
            </w:r>
            <w:r>
              <w:rPr>
                <w:rFonts w:hint="eastAsia"/>
                <w:b/>
                <w:sz w:val="20"/>
                <w:lang w:eastAsia="zh-CN"/>
              </w:rPr>
              <w:t>中华人民共和国节约能源法</w:t>
            </w:r>
            <w:r>
              <w:rPr>
                <w:rFonts w:hint="eastAsia"/>
                <w:b/>
                <w:sz w:val="20"/>
                <w:lang w:eastAsia="zh-CN"/>
              </w:rPr>
              <w:fldChar w:fldCharType="end"/>
            </w:r>
            <w:r>
              <w:rPr>
                <w:rFonts w:hint="eastAsia"/>
                <w:b/>
                <w:sz w:val="20"/>
                <w:lang w:eastAsia="zh-CN"/>
              </w:rPr>
              <w:t>》、《中华人民共和国清洁生产促进法》、《中华人民共和国可再生能源法》；工业余热术语 、分类、等级及余热资源量计算方</w:t>
            </w:r>
            <w:r>
              <w:rPr>
                <w:rFonts w:hint="eastAsia"/>
                <w:b/>
                <w:sz w:val="20"/>
              </w:rPr>
              <w:t>法GB/T 1028-2000</w:t>
            </w:r>
            <w:r>
              <w:rPr>
                <w:rFonts w:hint="eastAsia"/>
                <w:b/>
                <w:sz w:val="20"/>
                <w:lang w:eastAsia="zh-CN"/>
              </w:rPr>
              <w:t>；用能设备能量平衡通则GB/T 2587-2009；节约用电管理办法（国经贸资源〔2000〕</w:t>
            </w:r>
            <w:r>
              <w:rPr>
                <w:rFonts w:hint="eastAsia" w:ascii="Times New Roman" w:hAnsi="Times New Roman" w:cs="Times New Roman"/>
                <w:b/>
                <w:sz w:val="20"/>
                <w:lang w:eastAsia="zh-CN"/>
              </w:rPr>
              <w:t>1256号）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2021.11.2</w:t>
            </w:r>
            <w:bookmarkStart w:id="8" w:name="_GoBack"/>
            <w:bookmarkEnd w:id="8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4097" o:spid="_x0000_s4097" o:spt="202" type="#_x0000_t202" style="position:absolute;left:0pt;margin-left:348.4pt;margin-top:11.35pt;height:20.2pt;width:109.3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4098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A9F499A"/>
    <w:rsid w:val="4C11256B"/>
    <w:rsid w:val="4E454CCF"/>
    <w:rsid w:val="56760334"/>
    <w:rsid w:val="6B393E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locked/>
    <w:uiPriority w:val="0"/>
    <w:rPr>
      <w:b/>
      <w:bCs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2021-11-08T06:44:49Z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