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szCs w:val="21"/>
        </w:rPr>
      </w:pPr>
      <w:r>
        <w:rPr>
          <w:rFonts w:hint="eastAsia" w:ascii="隶书" w:hAnsi="宋体" w:eastAsia="隶书"/>
          <w:bCs/>
          <w:color w:val="000000"/>
          <w:szCs w:val="21"/>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2"/>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52" w:type="dxa"/>
            <w:vAlign w:val="center"/>
          </w:tcPr>
          <w:p>
            <w:pPr>
              <w:rPr>
                <w:rFonts w:hint="default" w:eastAsia="宋体"/>
                <w:sz w:val="24"/>
                <w:szCs w:val="24"/>
                <w:lang w:val="en-US" w:eastAsia="zh-CN"/>
              </w:rPr>
            </w:pPr>
            <w:r>
              <w:rPr>
                <w:rFonts w:hint="eastAsia"/>
                <w:sz w:val="24"/>
                <w:szCs w:val="24"/>
              </w:rPr>
              <w:t>受审核部门：管理层</w:t>
            </w:r>
            <w:r>
              <w:rPr>
                <w:sz w:val="24"/>
                <w:szCs w:val="24"/>
              </w:rPr>
              <w:t xml:space="preserve">              </w:t>
            </w:r>
            <w:r>
              <w:rPr>
                <w:rFonts w:hint="eastAsia"/>
                <w:sz w:val="24"/>
                <w:szCs w:val="24"/>
              </w:rPr>
              <w:t>主管领导：</w:t>
            </w:r>
            <w:r>
              <w:rPr>
                <w:rFonts w:hint="eastAsia"/>
                <w:sz w:val="24"/>
                <w:szCs w:val="24"/>
                <w:lang w:val="en-US" w:eastAsia="zh-CN"/>
              </w:rPr>
              <w:t xml:space="preserve">黄业明   </w:t>
            </w:r>
            <w:r>
              <w:rPr>
                <w:sz w:val="24"/>
                <w:szCs w:val="24"/>
              </w:rPr>
              <w:t xml:space="preserve">      </w:t>
            </w:r>
            <w:r>
              <w:rPr>
                <w:rFonts w:hint="eastAsia"/>
                <w:sz w:val="24"/>
                <w:szCs w:val="24"/>
              </w:rPr>
              <w:t>陪同人员：</w:t>
            </w:r>
            <w:r>
              <w:rPr>
                <w:rFonts w:hint="eastAsia"/>
                <w:sz w:val="24"/>
                <w:szCs w:val="24"/>
                <w:lang w:val="en-US" w:eastAsia="zh-CN"/>
              </w:rPr>
              <w:t>李玉苹</w:t>
            </w:r>
          </w:p>
        </w:tc>
        <w:tc>
          <w:tcPr>
            <w:tcW w:w="8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52"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周涛</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w:t>
            </w:r>
            <w:r>
              <w:rPr>
                <w:rFonts w:hint="eastAsia" w:ascii="宋体" w:hAnsi="宋体" w:cs="宋体"/>
                <w:sz w:val="24"/>
                <w:szCs w:val="24"/>
              </w:rPr>
              <w:t>：</w:t>
            </w:r>
            <w:r>
              <w:rPr>
                <w:rFonts w:hint="eastAsia" w:ascii="宋体" w:hAnsi="宋体" w:cs="宋体"/>
                <w:sz w:val="24"/>
                <w:szCs w:val="24"/>
                <w:lang w:eastAsia="zh-CN"/>
              </w:rPr>
              <w:t>2021.1</w:t>
            </w:r>
            <w:r>
              <w:rPr>
                <w:rFonts w:hint="eastAsia" w:ascii="宋体" w:hAnsi="宋体" w:cs="宋体"/>
                <w:sz w:val="24"/>
                <w:szCs w:val="24"/>
                <w:lang w:val="en-US" w:eastAsia="zh-CN"/>
              </w:rPr>
              <w:t>1</w:t>
            </w:r>
            <w:r>
              <w:rPr>
                <w:rFonts w:ascii="宋体" w:hAnsi="宋体" w:cs="宋体"/>
                <w:sz w:val="24"/>
                <w:szCs w:val="24"/>
              </w:rPr>
              <w:t>.</w:t>
            </w:r>
            <w:r>
              <w:rPr>
                <w:rFonts w:hint="eastAsia" w:ascii="宋体" w:hAnsi="宋体" w:cs="宋体"/>
                <w:sz w:val="24"/>
                <w:szCs w:val="24"/>
                <w:lang w:val="en-US" w:eastAsia="zh-CN"/>
              </w:rPr>
              <w:t>9</w:t>
            </w:r>
          </w:p>
        </w:tc>
        <w:tc>
          <w:tcPr>
            <w:tcW w:w="8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52" w:type="dxa"/>
            <w:vAlign w:val="center"/>
          </w:tcPr>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审核条款：4.1 理解组织及其所处的环境、4.2理解相关方的需求和期望、4.3 确定能源管理体系的范围、4.4 能源管理体系、5.1 领导作用和承诺、5.2 能源方针、5.3 组织的岗位、职责和权限、6.1 应对风险和机遇的措施、6.2能源目标、7.1 资源、9.1.1监视和测量、9.3 管理评审、10.1 不符合与纠正措施、10.2 持续改进</w:t>
            </w:r>
          </w:p>
        </w:tc>
        <w:tc>
          <w:tcPr>
            <w:tcW w:w="8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cs="Arial"/>
                <w:spacing w:val="-6"/>
                <w:szCs w:val="21"/>
              </w:rPr>
            </w:pPr>
            <w:r>
              <w:rPr>
                <w:rFonts w:hint="eastAsia" w:ascii="宋体" w:hAnsi="宋体" w:cs="Arial"/>
                <w:spacing w:val="-6"/>
                <w:szCs w:val="21"/>
              </w:rPr>
              <w:t>理解组织及其环境</w:t>
            </w:r>
          </w:p>
          <w:p/>
        </w:tc>
        <w:tc>
          <w:tcPr>
            <w:tcW w:w="960" w:type="dxa"/>
          </w:tcPr>
          <w:p>
            <w:pPr>
              <w:rPr>
                <w:rFonts w:ascii="宋体" w:cs="Arial"/>
                <w:spacing w:val="-6"/>
                <w:szCs w:val="21"/>
              </w:rPr>
            </w:pPr>
            <w:r>
              <w:rPr>
                <w:rFonts w:ascii="宋体" w:hAnsi="宋体" w:cs="Arial"/>
                <w:spacing w:val="-6"/>
                <w:szCs w:val="21"/>
              </w:rPr>
              <w:t>4.1</w:t>
            </w:r>
          </w:p>
          <w:p/>
        </w:tc>
        <w:tc>
          <w:tcPr>
            <w:tcW w:w="10752" w:type="dxa"/>
          </w:tcPr>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编制了《组织内外部环境因素清单》包括内外部环境因素、日常监视、评价等内容其中：</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内部环境因素“3”条、包括“能源的基础设施管理、能源计量器具管理、运行环境”等；</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外部环境因素“5”条、包括“市场、技术、相关方要求、法律法规要求、政府监管部门要求”等——查基本符合实际情况；</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——查上述内容组织宗旨战略方向基本相关、并对质量管理体系实现策划能力可以产生一定影响；</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成文信息及时更新日期“2020.10.6”、有编审批、符合规定；</w:t>
            </w:r>
          </w:p>
        </w:tc>
        <w:tc>
          <w:tcPr>
            <w:tcW w:w="837" w:type="dxa"/>
          </w:tcPr>
          <w:p/>
          <w:p>
            <w:pPr>
              <w:pStyle w:val="3"/>
            </w:pPr>
          </w:p>
          <w:p>
            <w:pPr>
              <w:pStyle w:val="3"/>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rPr>
                <w:rFonts w:ascii="宋体" w:cs="Arial"/>
                <w:spacing w:val="-6"/>
                <w:szCs w:val="21"/>
              </w:rPr>
            </w:pPr>
            <w:r>
              <w:rPr>
                <w:rFonts w:hint="eastAsia" w:ascii="宋体" w:hAnsi="宋体" w:cs="Arial"/>
                <w:spacing w:val="-6"/>
                <w:szCs w:val="21"/>
              </w:rPr>
              <w:t>理解相关方的需求和期望</w:t>
            </w:r>
          </w:p>
          <w:p>
            <w:pPr>
              <w:pStyle w:val="3"/>
              <w:rPr>
                <w:rFonts w:ascii="宋体" w:cs="Arial"/>
                <w:spacing w:val="-6"/>
                <w:sz w:val="21"/>
                <w:szCs w:val="21"/>
              </w:rPr>
            </w:pPr>
          </w:p>
          <w:p>
            <w:pPr>
              <w:pStyle w:val="3"/>
              <w:rPr>
                <w:rFonts w:ascii="宋体" w:cs="Arial"/>
                <w:spacing w:val="-6"/>
                <w:sz w:val="21"/>
                <w:szCs w:val="21"/>
              </w:rPr>
            </w:pPr>
          </w:p>
          <w:p>
            <w:pPr>
              <w:pStyle w:val="3"/>
              <w:rPr>
                <w:rFonts w:ascii="宋体" w:cs="Arial"/>
                <w:spacing w:val="-6"/>
                <w:sz w:val="21"/>
                <w:szCs w:val="21"/>
              </w:rPr>
            </w:pPr>
          </w:p>
          <w:p>
            <w:pPr>
              <w:pStyle w:val="3"/>
              <w:rPr>
                <w:rFonts w:ascii="宋体" w:cs="Arial"/>
                <w:spacing w:val="-6"/>
                <w:sz w:val="21"/>
                <w:szCs w:val="21"/>
              </w:rPr>
            </w:pPr>
          </w:p>
          <w:p/>
        </w:tc>
        <w:tc>
          <w:tcPr>
            <w:tcW w:w="960" w:type="dxa"/>
          </w:tcPr>
          <w:p>
            <w:pPr>
              <w:rPr>
                <w:rFonts w:ascii="宋体" w:cs="Arial"/>
                <w:spacing w:val="-6"/>
                <w:szCs w:val="21"/>
              </w:rPr>
            </w:pPr>
            <w:r>
              <w:rPr>
                <w:rFonts w:ascii="宋体" w:hAnsi="宋体" w:cs="Arial"/>
                <w:spacing w:val="-6"/>
                <w:szCs w:val="21"/>
              </w:rPr>
              <w:t>4.2</w:t>
            </w:r>
          </w:p>
          <w:p/>
        </w:tc>
        <w:tc>
          <w:tcPr>
            <w:tcW w:w="10752" w:type="dxa"/>
          </w:tcPr>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编制了《相关方及其需求清单》包括相关方及其需要的内容、及监视和评审记录基本有效、参评人等信息；</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其中相关方共9条、具体“顾客、员工、股东、供方和合作伙伴、政府”等；</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 xml:space="preserve">查其需求包括“节约能源、合理利用能源”等——查组织监视和评审这些相关方的信息及其相关要求基本有效。 </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成文信息及时更新、日期“2020.1.6”、有编审批符合规定；</w:t>
            </w:r>
          </w:p>
          <w:p>
            <w:pPr>
              <w:rPr>
                <w:rFonts w:hint="eastAsia" w:ascii="宋体" w:hAnsi="宋体" w:eastAsia="宋体" w:cs="Arial"/>
                <w:spacing w:val="-6"/>
                <w:kern w:val="2"/>
                <w:sz w:val="24"/>
                <w:szCs w:val="21"/>
                <w:lang w:val="en-US" w:eastAsia="zh-CN" w:bidi="ar-SA"/>
              </w:rPr>
            </w:pP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编制了《法律、法规及其它要求适用性识别单》其中法律法规及其他要求47条、抽查若干《中华人民共和国节约能源法》、《中华人民共和国可再生能源法》、《中华人民共和国清洁生产促进法》发布日期、实施日期、适用条款——识别正确、符合规定；</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另查《GBT17167用能计量器具》、《企业能源审计技术通则__GB》、《GBT 15587-2008 工业企业能源管理导则》、《GBT 2587-2009 用能设备能量平衡通则》、《GBT 3484-2009 企业能量平衡通则》等、查“发布日期、实施日期、适用条款”等信息基本适于本组织实际情况；</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上述信息来源：网络、政府下达文件等；</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组织定期对收集的法律法规和其他要求进行了评审、包括“适用性”、“合规性”等——符合规定；</w:t>
            </w:r>
          </w:p>
          <w:p>
            <w:pPr>
              <w:pStyle w:val="2"/>
              <w:rPr>
                <w:rFonts w:hint="default" w:ascii="宋体" w:hAnsi="宋体" w:eastAsia="宋体" w:cs="Arial"/>
                <w:spacing w:val="-6"/>
                <w:kern w:val="2"/>
                <w:sz w:val="24"/>
                <w:szCs w:val="21"/>
                <w:lang w:val="en-US" w:eastAsia="zh-CN" w:bidi="ar-SA"/>
              </w:rPr>
            </w:pPr>
            <w:r>
              <w:rPr>
                <w:rFonts w:hint="eastAsia" w:ascii="宋体" w:hAnsi="宋体" w:eastAsia="宋体" w:cs="Arial"/>
                <w:color w:val="FF0000"/>
                <w:spacing w:val="-6"/>
                <w:kern w:val="2"/>
                <w:sz w:val="24"/>
                <w:szCs w:val="21"/>
                <w:lang w:val="en-US" w:eastAsia="zh-CN" w:bidi="ar-SA"/>
              </w:rPr>
              <w:t>经抽查，法律法规清单中缺少地方性的能源法律法规及其他要求</w:t>
            </w:r>
            <w:bookmarkStart w:id="1" w:name="_GoBack"/>
            <w:bookmarkEnd w:id="1"/>
          </w:p>
        </w:tc>
        <w:tc>
          <w:tcPr>
            <w:tcW w:w="837" w:type="dxa"/>
          </w:tcPr>
          <w:p/>
          <w:p>
            <w:pPr>
              <w:pStyle w:val="3"/>
            </w:pPr>
          </w:p>
          <w:p>
            <w:pPr>
              <w:pStyle w:val="3"/>
            </w:pPr>
          </w:p>
          <w:p>
            <w:pPr>
              <w:pStyle w:val="3"/>
            </w:pPr>
          </w:p>
          <w:p>
            <w:pPr>
              <w:pStyle w:val="3"/>
            </w:pPr>
          </w:p>
          <w:p>
            <w:pPr>
              <w:pStyle w:val="3"/>
            </w:pPr>
          </w:p>
          <w:p>
            <w:pPr>
              <w:pStyle w:val="3"/>
              <w:rPr>
                <w:rFonts w:hint="eastAsia"/>
                <w:lang w:val="en-US" w:eastAsia="zh-CN"/>
              </w:rPr>
            </w:pPr>
            <w:r>
              <w:rPr>
                <w:rFonts w:hint="eastAsia"/>
                <w:lang w:val="en-US" w:eastAsia="zh-CN"/>
              </w:rPr>
              <w:t xml:space="preserve">  </w:t>
            </w: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default"/>
                <w:lang w:val="en-US" w:eastAsia="zh-CN"/>
              </w:rPr>
            </w:pPr>
          </w:p>
          <w:p>
            <w:pPr>
              <w:pStyle w:val="3"/>
              <w:rPr>
                <w:rFonts w:hint="default"/>
                <w:lang w:val="en-US" w:eastAsia="zh-CN"/>
              </w:rPr>
            </w:pPr>
          </w:p>
          <w:p>
            <w:pPr>
              <w:pStyle w:val="3"/>
              <w:ind w:firstLine="240" w:firstLineChars="100"/>
              <w:rPr>
                <w:rFonts w:hint="eastAsia"/>
                <w:lang w:val="en-US" w:eastAsia="zh-CN"/>
              </w:rPr>
            </w:pPr>
          </w:p>
          <w:p>
            <w:pPr>
              <w:pStyle w:val="3"/>
              <w:ind w:firstLine="240" w:firstLineChars="100"/>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160" w:type="dxa"/>
          </w:tcPr>
          <w:p>
            <w:pPr>
              <w:rPr>
                <w:rFonts w:ascii="宋体" w:cs="宋体"/>
                <w:spacing w:val="-6"/>
                <w:szCs w:val="21"/>
              </w:rPr>
            </w:pPr>
            <w:r>
              <w:rPr>
                <w:rFonts w:hint="eastAsia" w:ascii="宋体" w:hAnsi="宋体" w:cs="宋体"/>
                <w:spacing w:val="-6"/>
                <w:szCs w:val="21"/>
              </w:rPr>
              <w:t>确定能源管理体系的范围</w:t>
            </w:r>
          </w:p>
          <w:p>
            <w:pPr>
              <w:rPr>
                <w:rFonts w:ascii="宋体" w:cs="宋体"/>
                <w:spacing w:val="-6"/>
                <w:szCs w:val="21"/>
              </w:rPr>
            </w:pPr>
          </w:p>
        </w:tc>
        <w:tc>
          <w:tcPr>
            <w:tcW w:w="960" w:type="dxa"/>
          </w:tcPr>
          <w:p>
            <w:pPr>
              <w:rPr>
                <w:rFonts w:ascii="宋体" w:cs="宋体"/>
                <w:spacing w:val="-6"/>
                <w:szCs w:val="21"/>
              </w:rPr>
            </w:pPr>
            <w:r>
              <w:rPr>
                <w:rFonts w:ascii="宋体" w:hAnsi="宋体" w:cs="宋体"/>
                <w:spacing w:val="-6"/>
                <w:szCs w:val="21"/>
              </w:rPr>
              <w:t xml:space="preserve">4.3 </w:t>
            </w:r>
          </w:p>
          <w:p>
            <w:pPr>
              <w:rPr>
                <w:rFonts w:ascii="宋体" w:cs="宋体"/>
                <w:spacing w:val="-6"/>
                <w:szCs w:val="21"/>
              </w:rPr>
            </w:pPr>
          </w:p>
        </w:tc>
        <w:tc>
          <w:tcPr>
            <w:tcW w:w="10752" w:type="dxa"/>
          </w:tcPr>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查已经成文信息包括：</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 xml:space="preserve">1.“内、外部因素”及“相关方及其需求”；  </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 xml:space="preserve">2.组织界定的能源管理体系的范围：物业管理服务所涉及的能源管理活动 ； </w:t>
            </w:r>
          </w:p>
          <w:p>
            <w:pPr>
              <w:rPr>
                <w:rFonts w:hint="default" w:ascii="宋体" w:hAnsi="宋体" w:eastAsia="宋体" w:cs="Arial"/>
                <w:spacing w:val="-6"/>
                <w:kern w:val="2"/>
                <w:sz w:val="24"/>
                <w:szCs w:val="21"/>
                <w:lang w:val="en-US" w:eastAsia="zh-CN" w:bidi="ar-SA"/>
              </w:rPr>
            </w:pPr>
            <w:bookmarkStart w:id="0" w:name="注册地址"/>
            <w:r>
              <w:rPr>
                <w:rFonts w:hint="eastAsia" w:ascii="宋体" w:hAnsi="宋体" w:eastAsia="宋体" w:cs="Arial"/>
                <w:spacing w:val="-6"/>
                <w:kern w:val="2"/>
                <w:sz w:val="24"/>
                <w:szCs w:val="21"/>
                <w:lang w:val="en-US" w:eastAsia="zh-CN" w:bidi="ar-SA"/>
              </w:rPr>
              <w:t>组织边界为：</w:t>
            </w:r>
            <w:bookmarkEnd w:id="0"/>
            <w:r>
              <w:rPr>
                <w:rFonts w:hint="eastAsia" w:ascii="宋体" w:hAnsi="宋体" w:eastAsia="宋体" w:cs="Arial"/>
                <w:spacing w:val="-6"/>
                <w:kern w:val="2"/>
                <w:sz w:val="24"/>
                <w:szCs w:val="21"/>
                <w:lang w:val="en-US" w:eastAsia="zh-CN" w:bidi="ar-SA"/>
              </w:rPr>
              <w:t>安徽省合肥市蜀山区繁华大道紫御府小区，机关总部；安徽省合肥市蜀山区繁华大道紫御府小区；</w:t>
            </w:r>
          </w:p>
        </w:tc>
        <w:tc>
          <w:tcPr>
            <w:tcW w:w="837" w:type="dxa"/>
          </w:tcPr>
          <w:p/>
          <w:p>
            <w:pPr>
              <w:pStyle w:val="3"/>
            </w:pPr>
          </w:p>
          <w:p>
            <w:pPr>
              <w:pStyle w:val="3"/>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tcPr>
          <w:p>
            <w:pPr>
              <w:rPr>
                <w:rFonts w:ascii="宋体" w:cs="Arial"/>
                <w:spacing w:val="-6"/>
                <w:szCs w:val="21"/>
              </w:rPr>
            </w:pPr>
            <w:r>
              <w:rPr>
                <w:rFonts w:hint="eastAsia" w:ascii="宋体" w:hAnsi="宋体" w:cs="宋体"/>
                <w:szCs w:val="21"/>
              </w:rPr>
              <w:t>能源管理体系</w:t>
            </w:r>
            <w:r>
              <w:rPr>
                <w:rFonts w:ascii="宋体" w:hAnsi="宋体" w:cs="Arial"/>
                <w:spacing w:val="-6"/>
                <w:szCs w:val="21"/>
              </w:rPr>
              <w:t xml:space="preserve"> </w:t>
            </w:r>
          </w:p>
          <w:p>
            <w:pPr>
              <w:rPr>
                <w:szCs w:val="21"/>
              </w:rPr>
            </w:pPr>
          </w:p>
        </w:tc>
        <w:tc>
          <w:tcPr>
            <w:tcW w:w="960" w:type="dxa"/>
          </w:tcPr>
          <w:p>
            <w:pPr>
              <w:rPr>
                <w:rFonts w:ascii="宋体" w:cs="Arial"/>
                <w:spacing w:val="-6"/>
                <w:szCs w:val="21"/>
              </w:rPr>
            </w:pPr>
            <w:r>
              <w:rPr>
                <w:rFonts w:ascii="宋体" w:hAnsi="宋体" w:cs="Arial"/>
                <w:spacing w:val="-6"/>
                <w:szCs w:val="21"/>
              </w:rPr>
              <w:t xml:space="preserve">4.4 </w:t>
            </w:r>
          </w:p>
          <w:p>
            <w:pPr>
              <w:rPr>
                <w:szCs w:val="21"/>
              </w:rPr>
            </w:pPr>
          </w:p>
        </w:tc>
        <w:tc>
          <w:tcPr>
            <w:tcW w:w="10752" w:type="dxa"/>
          </w:tcPr>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查组织基本做到了：</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按GB/T23331-2020《能源管理体系 要求》的要求，结合本公司的生产经营活动、产品和服务的实际建立能源管理体系，形成文件，实施、保持和持续改进能源管理。</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识别了产品、活动和服务中能够控制或可施加影响的能源使用，确定优先控制的重要能源使用；确定本公司适用的法律法规和其他要求；建立适当的能源目标、指标和能源管理方案；</w:t>
            </w:r>
          </w:p>
          <w:p>
            <w:pPr>
              <w:rPr>
                <w:rFonts w:hint="default"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开展策划、控制、监测、纠正、审核与评审活动，以确保对能源方针的遵守和能源管理体系的持续适应性。</w:t>
            </w:r>
          </w:p>
        </w:tc>
        <w:tc>
          <w:tcPr>
            <w:tcW w:w="837" w:type="dxa"/>
          </w:tcPr>
          <w:p/>
          <w:p>
            <w:pPr>
              <w:pStyle w:val="3"/>
            </w:pPr>
          </w:p>
          <w:p>
            <w:pPr>
              <w:pStyle w:val="3"/>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160" w:type="dxa"/>
          </w:tcPr>
          <w:p>
            <w:pPr>
              <w:spacing w:line="280" w:lineRule="exact"/>
              <w:rPr>
                <w:rFonts w:ascii="宋体" w:cs="宋体"/>
                <w:szCs w:val="21"/>
              </w:rPr>
            </w:pPr>
            <w:r>
              <w:rPr>
                <w:rFonts w:hint="eastAsia" w:ascii="宋体" w:hAnsi="宋体" w:cs="宋体"/>
                <w:szCs w:val="21"/>
              </w:rPr>
              <w:t>领导作用与承诺</w:t>
            </w:r>
          </w:p>
          <w:p>
            <w:pPr>
              <w:spacing w:line="280" w:lineRule="exact"/>
              <w:rPr>
                <w:szCs w:val="21"/>
              </w:rPr>
            </w:pPr>
          </w:p>
        </w:tc>
        <w:tc>
          <w:tcPr>
            <w:tcW w:w="960" w:type="dxa"/>
          </w:tcPr>
          <w:p>
            <w:pPr>
              <w:spacing w:line="280" w:lineRule="exact"/>
              <w:rPr>
                <w:rFonts w:ascii="宋体" w:cs="宋体"/>
                <w:szCs w:val="21"/>
              </w:rPr>
            </w:pPr>
            <w:r>
              <w:rPr>
                <w:rFonts w:ascii="宋体" w:hAnsi="宋体" w:cs="宋体"/>
                <w:szCs w:val="21"/>
              </w:rPr>
              <w:t>5.1</w:t>
            </w:r>
          </w:p>
          <w:p>
            <w:pPr>
              <w:spacing w:line="280" w:lineRule="exact"/>
              <w:rPr>
                <w:rFonts w:ascii="宋体" w:cs="宋体"/>
                <w:szCs w:val="21"/>
              </w:rPr>
            </w:pPr>
          </w:p>
          <w:p>
            <w:pPr>
              <w:spacing w:line="280" w:lineRule="exact"/>
              <w:rPr>
                <w:szCs w:val="21"/>
              </w:rPr>
            </w:pPr>
          </w:p>
        </w:tc>
        <w:tc>
          <w:tcPr>
            <w:tcW w:w="10752" w:type="dxa"/>
            <w:vAlign w:val="center"/>
          </w:tcPr>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和管理层交流可知：</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a）</w:t>
            </w:r>
            <w:r>
              <w:rPr>
                <w:rFonts w:hint="eastAsia" w:ascii="宋体" w:hAnsi="宋体" w:eastAsia="宋体" w:cs="Arial"/>
                <w:spacing w:val="-6"/>
                <w:kern w:val="2"/>
                <w:sz w:val="24"/>
                <w:szCs w:val="21"/>
                <w:lang w:val="en-US" w:eastAsia="zh-CN" w:bidi="ar-SA"/>
              </w:rPr>
              <w:tab/>
            </w:r>
            <w:r>
              <w:rPr>
                <w:rFonts w:hint="eastAsia" w:ascii="宋体" w:hAnsi="宋体" w:eastAsia="宋体" w:cs="Arial"/>
                <w:spacing w:val="-6"/>
                <w:kern w:val="2"/>
                <w:sz w:val="24"/>
                <w:szCs w:val="21"/>
                <w:lang w:val="en-US" w:eastAsia="zh-CN" w:bidi="ar-SA"/>
              </w:rPr>
              <w:t>确保建立能源管理体系范围和边界；</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b）</w:t>
            </w:r>
            <w:r>
              <w:rPr>
                <w:rFonts w:hint="eastAsia" w:ascii="宋体" w:hAnsi="宋体" w:eastAsia="宋体" w:cs="Arial"/>
                <w:spacing w:val="-6"/>
                <w:kern w:val="2"/>
                <w:sz w:val="24"/>
                <w:szCs w:val="21"/>
                <w:lang w:val="en-US" w:eastAsia="zh-CN" w:bidi="ar-SA"/>
              </w:rPr>
              <w:tab/>
            </w:r>
            <w:r>
              <w:rPr>
                <w:rFonts w:hint="eastAsia" w:ascii="宋体" w:hAnsi="宋体" w:eastAsia="宋体" w:cs="Arial"/>
                <w:spacing w:val="-6"/>
                <w:kern w:val="2"/>
                <w:sz w:val="24"/>
                <w:szCs w:val="21"/>
                <w:lang w:val="en-US" w:eastAsia="zh-CN" w:bidi="ar-SA"/>
              </w:rPr>
              <w:t>确保建立能源方针、目标和能源指标，并确保与其组织的战略方向相一致；</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c）</w:t>
            </w:r>
            <w:r>
              <w:rPr>
                <w:rFonts w:hint="eastAsia" w:ascii="宋体" w:hAnsi="宋体" w:eastAsia="宋体" w:cs="Arial"/>
                <w:spacing w:val="-6"/>
                <w:kern w:val="2"/>
                <w:sz w:val="24"/>
                <w:szCs w:val="21"/>
                <w:lang w:val="en-US" w:eastAsia="zh-CN" w:bidi="ar-SA"/>
              </w:rPr>
              <w:tab/>
            </w:r>
            <w:r>
              <w:rPr>
                <w:rFonts w:hint="eastAsia" w:ascii="宋体" w:hAnsi="宋体" w:eastAsia="宋体" w:cs="Arial"/>
                <w:spacing w:val="-6"/>
                <w:kern w:val="2"/>
                <w:sz w:val="24"/>
                <w:szCs w:val="21"/>
                <w:lang w:val="en-US" w:eastAsia="zh-CN" w:bidi="ar-SA"/>
              </w:rPr>
              <w:t>确保将能源管理体系要求融入到组织的业务流程中；</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 xml:space="preserve">包括确保能源管理体系和本组织的相关职能部门及过程的接口和融入、这包括设计开发、生产及仓储物流、原材料的采购、过程的监视和测量等均按照标准要求制定了让相关的程序文件和作业指导书、提供了过程的监视和质量目标的监视、完成了内审和管评的过程等； </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d）</w:t>
            </w:r>
            <w:r>
              <w:rPr>
                <w:rFonts w:hint="eastAsia" w:ascii="宋体" w:hAnsi="宋体" w:eastAsia="宋体" w:cs="Arial"/>
                <w:spacing w:val="-6"/>
                <w:kern w:val="2"/>
                <w:sz w:val="24"/>
                <w:szCs w:val="21"/>
                <w:lang w:val="en-US" w:eastAsia="zh-CN" w:bidi="ar-SA"/>
              </w:rPr>
              <w:tab/>
            </w:r>
            <w:r>
              <w:rPr>
                <w:rFonts w:hint="eastAsia" w:ascii="宋体" w:hAnsi="宋体" w:eastAsia="宋体" w:cs="Arial"/>
                <w:spacing w:val="-6"/>
                <w:kern w:val="2"/>
                <w:sz w:val="24"/>
                <w:szCs w:val="21"/>
                <w:lang w:val="en-US" w:eastAsia="zh-CN" w:bidi="ar-SA"/>
              </w:rPr>
              <w:t>确保策划方案得到批准和实施；</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e）</w:t>
            </w:r>
            <w:r>
              <w:rPr>
                <w:rFonts w:hint="eastAsia" w:ascii="宋体" w:hAnsi="宋体" w:eastAsia="宋体" w:cs="Arial"/>
                <w:spacing w:val="-6"/>
                <w:kern w:val="2"/>
                <w:sz w:val="24"/>
                <w:szCs w:val="21"/>
                <w:lang w:val="en-US" w:eastAsia="zh-CN" w:bidi="ar-SA"/>
              </w:rPr>
              <w:tab/>
            </w:r>
            <w:r>
              <w:rPr>
                <w:rFonts w:hint="eastAsia" w:ascii="宋体" w:hAnsi="宋体" w:eastAsia="宋体" w:cs="Arial"/>
                <w:spacing w:val="-6"/>
                <w:kern w:val="2"/>
                <w:sz w:val="24"/>
                <w:szCs w:val="21"/>
                <w:lang w:val="en-US" w:eastAsia="zh-CN" w:bidi="ar-SA"/>
              </w:rPr>
              <w:t>确保可获得能源管理体系所需的资源；组织明确了体系要求的在人力物力财力方面的需求，及那些受到约束的条件并形成文件信息予以保留；</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f）就有效能源管理的重要性和符合能源管理体系要求的重要性进行沟通；通过内部会议、邮件、讨论等形式获取有价值的沟通等；</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g）确保能源管理体系实现其预期的结果；监视质量管理体系的输出、确保纠正措施落实到个人或团队；</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h）促进能源管理体系和能源绩效的持续改进；内审、管评、第三方审核等提出的一家和建议在内部沟通；</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i）确保组建能源管理团队；</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j）指导并支持员工对能源管理体系的有效性和能源绩效改进作出贡献；</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k）支持其他相关的管理人员在其职责范围内执行其领导作用；</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l）确保EnPI（s）恰当地表示能源性能；</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m）确保建立和实施流程，以识别和确定在能源管理体系范围和边界内能源管理体系和能源绩效的变化影响。</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——现场审核管理层的行为、态度和决定之间基本一致，日常的态度严谨认真、可以做到以身作则、及和部属的有效沟通；另查书面的承诺及质量管理体系的绩效结果等基本符合规定；</w:t>
            </w:r>
          </w:p>
        </w:tc>
        <w:tc>
          <w:tcPr>
            <w:tcW w:w="837" w:type="dxa"/>
          </w:tcPr>
          <w:p/>
          <w:p>
            <w:pPr>
              <w:pStyle w:val="3"/>
            </w:pPr>
          </w:p>
          <w:p>
            <w:pPr>
              <w:pStyle w:val="3"/>
            </w:pPr>
          </w:p>
          <w:p>
            <w:pPr>
              <w:pStyle w:val="3"/>
            </w:pPr>
          </w:p>
          <w:p>
            <w:pPr>
              <w:pStyle w:val="3"/>
            </w:pPr>
          </w:p>
          <w:p>
            <w:pPr>
              <w:pStyle w:val="3"/>
            </w:pPr>
          </w:p>
          <w:p>
            <w:pPr>
              <w:pStyle w:val="3"/>
            </w:pPr>
          </w:p>
          <w:p>
            <w:pPr>
              <w:pStyle w:val="3"/>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tcPr>
          <w:p>
            <w:pPr>
              <w:rPr>
                <w:szCs w:val="21"/>
              </w:rPr>
            </w:pPr>
            <w:r>
              <w:rPr>
                <w:rFonts w:hint="eastAsia" w:ascii="宋体" w:hAnsi="宋体" w:cs="宋体"/>
                <w:szCs w:val="21"/>
              </w:rPr>
              <w:t>能源方针</w:t>
            </w:r>
          </w:p>
        </w:tc>
        <w:tc>
          <w:tcPr>
            <w:tcW w:w="960" w:type="dxa"/>
          </w:tcPr>
          <w:p>
            <w:pPr>
              <w:rPr>
                <w:rFonts w:ascii="宋体" w:cs="宋体"/>
                <w:szCs w:val="21"/>
              </w:rPr>
            </w:pPr>
            <w:r>
              <w:rPr>
                <w:rFonts w:ascii="宋体" w:hAnsi="宋体" w:cs="宋体"/>
                <w:szCs w:val="21"/>
              </w:rPr>
              <w:t xml:space="preserve">5.2 </w:t>
            </w:r>
          </w:p>
          <w:p>
            <w:pPr>
              <w:rPr>
                <w:rFonts w:ascii="宋体" w:cs="宋体"/>
                <w:szCs w:val="21"/>
              </w:rPr>
            </w:pPr>
          </w:p>
        </w:tc>
        <w:tc>
          <w:tcPr>
            <w:tcW w:w="10752" w:type="dxa"/>
            <w:vAlign w:val="center"/>
          </w:tcPr>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组织的能源方针：</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 xml:space="preserve"> “遵守法规  清洁生产  创新改造  提高能效 ”、包含了“以确保实现目标和能源指标的必要的资源和有效的信息、以满足适用的法律要求和能源效率、能源使用和能源消耗相关的其他要求、以获得能源管理体系和能源绩效的持续改进、支持能影响能源绩效的节能产品和服务的采购、支持考虑能源绩效改进活动的设计”、且予以发布——基本符合规定；</w:t>
            </w:r>
          </w:p>
        </w:tc>
        <w:tc>
          <w:tcPr>
            <w:tcW w:w="837" w:type="dxa"/>
          </w:tcPr>
          <w:p/>
          <w:p>
            <w:pPr>
              <w:pStyle w:val="3"/>
              <w:rPr>
                <w:szCs w:val="21"/>
              </w:rPr>
            </w:pPr>
          </w:p>
          <w:p>
            <w:pPr>
              <w:pStyle w:val="3"/>
              <w:rPr>
                <w:rFonts w:hint="default" w:eastAsia="宋体"/>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2160" w:type="dxa"/>
          </w:tcPr>
          <w:p>
            <w:pPr>
              <w:spacing w:line="280" w:lineRule="exact"/>
              <w:jc w:val="left"/>
              <w:rPr>
                <w:rFonts w:ascii="宋体" w:cs="宋体"/>
                <w:szCs w:val="21"/>
              </w:rPr>
            </w:pPr>
            <w:r>
              <w:rPr>
                <w:rFonts w:hint="eastAsia" w:ascii="宋体" w:hAnsi="宋体" w:cs="宋体"/>
                <w:szCs w:val="21"/>
              </w:rPr>
              <w:t>组织的岗位、职责和权限</w:t>
            </w:r>
          </w:p>
          <w:p>
            <w:pPr>
              <w:spacing w:line="280" w:lineRule="exact"/>
              <w:ind w:firstLine="420" w:firstLineChars="200"/>
              <w:jc w:val="left"/>
            </w:pPr>
          </w:p>
        </w:tc>
        <w:tc>
          <w:tcPr>
            <w:tcW w:w="960" w:type="dxa"/>
          </w:tcPr>
          <w:p>
            <w:pPr>
              <w:spacing w:line="280" w:lineRule="exact"/>
              <w:jc w:val="left"/>
            </w:pPr>
            <w:r>
              <w:rPr>
                <w:rFonts w:ascii="宋体" w:hAnsi="宋体" w:cs="宋体"/>
                <w:szCs w:val="21"/>
              </w:rPr>
              <w:t xml:space="preserve">5.3 </w:t>
            </w:r>
          </w:p>
        </w:tc>
        <w:tc>
          <w:tcPr>
            <w:tcW w:w="10752" w:type="dxa"/>
            <w:vAlign w:val="center"/>
          </w:tcPr>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最高管理者的责任包括：</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承诺支持能源管理体系，并持续改进能源管理体系的有效性，确定能源方针，并实践和保持能源方针；</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任命管理者代表和批准组建能源管理团队； 提供能源管理体系建立、实施、保持和持续改进所需要的资源，以达到能源绩效目标（资源包括人力资源、专业技能、技术和财务资源等）；确定能源管理体系的范围和边界；在内部传达能源管理的重要性；确保建立能源目标、指标；确保能源绩效参数适用于本公司；在长期规划中考虑能源绩效问题；确保按照规定的时间间隔评价和报告能源管理的结果；实施管理评审。</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w:t>
            </w:r>
          </w:p>
        </w:tc>
        <w:tc>
          <w:tcPr>
            <w:tcW w:w="837" w:type="dxa"/>
          </w:tcPr>
          <w:p/>
          <w:p>
            <w:pPr>
              <w:pStyle w:val="3"/>
            </w:pPr>
          </w:p>
          <w:p>
            <w:pPr>
              <w:pStyle w:val="3"/>
            </w:pPr>
          </w:p>
          <w:p>
            <w:pPr>
              <w:pStyle w:val="3"/>
            </w:pPr>
          </w:p>
          <w:p>
            <w:pPr>
              <w:pStyle w:val="3"/>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rPr>
                <w:rFonts w:ascii="宋体" w:cs="宋体"/>
                <w:szCs w:val="21"/>
              </w:rPr>
            </w:pPr>
            <w:r>
              <w:rPr>
                <w:rFonts w:hint="eastAsia" w:ascii="宋体" w:hAnsi="宋体" w:cs="宋体"/>
                <w:szCs w:val="21"/>
              </w:rPr>
              <w:t>应对风险和机遇的措施</w:t>
            </w:r>
          </w:p>
          <w:p>
            <w:pPr>
              <w:spacing w:line="280" w:lineRule="exact"/>
              <w:rPr>
                <w:rFonts w:ascii="宋体" w:cs="宋体"/>
                <w:szCs w:val="21"/>
              </w:rPr>
            </w:pPr>
          </w:p>
        </w:tc>
        <w:tc>
          <w:tcPr>
            <w:tcW w:w="960" w:type="dxa"/>
          </w:tcPr>
          <w:p>
            <w:pPr>
              <w:spacing w:line="280" w:lineRule="exact"/>
              <w:rPr>
                <w:rFonts w:ascii="宋体" w:cs="宋体"/>
                <w:szCs w:val="21"/>
              </w:rPr>
            </w:pPr>
            <w:r>
              <w:rPr>
                <w:rFonts w:ascii="宋体" w:hAnsi="宋体" w:cs="宋体"/>
                <w:szCs w:val="21"/>
              </w:rPr>
              <w:t xml:space="preserve">6.1  </w:t>
            </w:r>
          </w:p>
          <w:p>
            <w:pPr>
              <w:spacing w:line="280" w:lineRule="exact"/>
              <w:rPr>
                <w:rFonts w:ascii="宋体" w:cs="宋体"/>
                <w:szCs w:val="21"/>
              </w:rPr>
            </w:pPr>
          </w:p>
          <w:p>
            <w:pPr>
              <w:spacing w:line="280" w:lineRule="exact"/>
              <w:rPr>
                <w:rFonts w:ascii="宋体" w:cs="宋体"/>
                <w:szCs w:val="21"/>
              </w:rPr>
            </w:pPr>
          </w:p>
        </w:tc>
        <w:tc>
          <w:tcPr>
            <w:tcW w:w="10752" w:type="dxa"/>
            <w:vAlign w:val="center"/>
          </w:tcPr>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编制了《能源风险和机遇管控清单-2020年》包括“内外部因素、相关方及其需求、风险类别、风险机遇描述、应对措施的策划、措施有效性评价、执行和责任部门”等内容；其中：</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识别的风险15项、具体包括“部分设施、设备的节能管理提升机会较小，简单更新设备设施难以提升，没有从能源购进、储存、转换、输送分配和末端使用方面整体协调，难以提升能源绩效，国内经济形势趋势严峻，加上银行收紧贷款的发放，给公司带来比较大的财务压力。应收款无法及时到位，增加了能源采购、节能技改、工艺更新等费用支出的难度，目前人员特别是优秀人才被外单位吸引离开的情况还是存在，对公司是比较大的损失。员工业务素质在一定程度上存在参差不齐的情况，加上绩效考核不能有效落实，会对能源管理造成不好的影响”等；</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相应的控制措施为“避免风险、 承担风险、消除风险源、改变风险的可能性和后果、分担风险、延缓风险”等；</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通过应对措施将风险转换为机遇导致“采用新实践、推出新产品、开辟新市场、赢得新客户、建立合作伙伴关系、使用新技术以及能够解决组织或其顾客需求的其他有利可能性”等内容；</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措施评审结论“有效”、有责任部门和相关人员的评审和评价要求信息——查应对措施与其对产品和服务符合性的潜在影响基本相适应、文件有编审批、更新日期2020.1.6；</w:t>
            </w:r>
          </w:p>
        </w:tc>
        <w:tc>
          <w:tcPr>
            <w:tcW w:w="837" w:type="dxa"/>
          </w:tcPr>
          <w:p/>
          <w:p>
            <w:pPr>
              <w:pStyle w:val="3"/>
            </w:pPr>
          </w:p>
          <w:p>
            <w:pPr>
              <w:pStyle w:val="3"/>
            </w:pPr>
          </w:p>
          <w:p>
            <w:pPr>
              <w:pStyle w:val="3"/>
            </w:pPr>
          </w:p>
          <w:p>
            <w:pPr>
              <w:pStyle w:val="3"/>
            </w:pPr>
          </w:p>
          <w:p>
            <w:pPr>
              <w:pStyle w:val="3"/>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rPr>
                <w:rFonts w:hint="default" w:ascii="宋体" w:eastAsia="宋体" w:cs="宋体"/>
                <w:szCs w:val="21"/>
                <w:lang w:val="en-US" w:eastAsia="zh-CN"/>
              </w:rPr>
            </w:pPr>
            <w:r>
              <w:rPr>
                <w:rFonts w:hint="eastAsia" w:ascii="宋体" w:cs="宋体"/>
                <w:szCs w:val="21"/>
                <w:lang w:val="en-US" w:eastAsia="zh-CN"/>
              </w:rPr>
              <w:t>能源目标</w:t>
            </w:r>
          </w:p>
        </w:tc>
        <w:tc>
          <w:tcPr>
            <w:tcW w:w="960" w:type="dxa"/>
          </w:tcPr>
          <w:p>
            <w:pPr>
              <w:spacing w:line="280" w:lineRule="exact"/>
              <w:rPr>
                <w:rFonts w:hint="default" w:ascii="宋体" w:eastAsia="宋体" w:cs="宋体"/>
                <w:szCs w:val="21"/>
                <w:lang w:val="en-US" w:eastAsia="zh-CN"/>
              </w:rPr>
            </w:pPr>
            <w:r>
              <w:rPr>
                <w:rFonts w:hint="eastAsia" w:ascii="宋体" w:cs="宋体"/>
                <w:szCs w:val="21"/>
                <w:lang w:val="en-US" w:eastAsia="zh-CN"/>
              </w:rPr>
              <w:t>6.2</w:t>
            </w:r>
          </w:p>
        </w:tc>
        <w:tc>
          <w:tcPr>
            <w:tcW w:w="10752" w:type="dxa"/>
            <w:vAlign w:val="center"/>
          </w:tcPr>
          <w:p>
            <w:pPr>
              <w:rPr>
                <w:rFonts w:hint="default"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铸造工序能耗目标完成情况：</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企业2020年制定的目标为：单位产品能耗179.62kgce/t，。。</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企业2020年完成情况为：单位产品能耗174.85kgce/t。完成了制定的目标。</w:t>
            </w:r>
          </w:p>
          <w:p>
            <w:pPr>
              <w:rPr>
                <w:rFonts w:hint="eastAsia" w:ascii="宋体" w:hAnsi="宋体" w:eastAsia="宋体" w:cs="Arial"/>
                <w:spacing w:val="-6"/>
                <w:kern w:val="2"/>
                <w:sz w:val="24"/>
                <w:szCs w:val="21"/>
                <w:lang w:val="en-US" w:eastAsia="zh-CN" w:bidi="ar-SA"/>
              </w:rPr>
            </w:pP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2021年制定的目标为：单位产品能耗184.08kgce/t。</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2021年1-6月份完成情况为：单位产品能耗168.66kgce/t。完成了制定的目标。</w:t>
            </w:r>
          </w:p>
          <w:p>
            <w:pPr>
              <w:rPr>
                <w:rFonts w:hint="eastAsia" w:ascii="宋体" w:hAnsi="宋体" w:eastAsia="宋体" w:cs="Arial"/>
                <w:spacing w:val="-6"/>
                <w:kern w:val="2"/>
                <w:sz w:val="24"/>
                <w:szCs w:val="21"/>
                <w:lang w:val="en-US" w:eastAsia="zh-CN" w:bidi="ar-SA"/>
              </w:rPr>
            </w:pPr>
          </w:p>
          <w:p>
            <w:pPr>
              <w:rPr>
                <w:rFonts w:hint="default"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机加工能耗目标完成情况：</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企业2020年制定的目标为：33.57kgce/t。</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企业2020年完成情况为：单位产品能耗25.7kgce/t，完成了制定的目标。</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2021年制定的目标为：单位产品能耗34.96kgce/t。。</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2021年1-6月份完成情况为：单位产品能耗23.32kgce/t，完成了制定的目标。</w:t>
            </w:r>
          </w:p>
        </w:tc>
        <w:tc>
          <w:tcPr>
            <w:tcW w:w="837" w:type="dxa"/>
          </w:tcPr>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2160" w:type="dxa"/>
          </w:tcPr>
          <w:p>
            <w:pPr>
              <w:rPr>
                <w:rFonts w:ascii="宋体" w:cs="宋体"/>
                <w:szCs w:val="21"/>
              </w:rPr>
            </w:pPr>
            <w:r>
              <w:rPr>
                <w:rFonts w:hint="eastAsia" w:ascii="宋体" w:hAnsi="宋体" w:cs="宋体"/>
                <w:szCs w:val="21"/>
              </w:rPr>
              <w:t>资源</w:t>
            </w:r>
          </w:p>
        </w:tc>
        <w:tc>
          <w:tcPr>
            <w:tcW w:w="960" w:type="dxa"/>
          </w:tcPr>
          <w:p>
            <w:pPr>
              <w:rPr>
                <w:rFonts w:ascii="宋体" w:cs="宋体"/>
                <w:szCs w:val="21"/>
              </w:rPr>
            </w:pPr>
            <w:r>
              <w:rPr>
                <w:rFonts w:ascii="宋体" w:hAnsi="宋体" w:cs="宋体"/>
                <w:szCs w:val="21"/>
              </w:rPr>
              <w:t xml:space="preserve">7.1 </w:t>
            </w:r>
          </w:p>
          <w:p>
            <w:pPr>
              <w:rPr>
                <w:rFonts w:ascii="宋体" w:cs="宋体"/>
                <w:szCs w:val="21"/>
              </w:rPr>
            </w:pPr>
          </w:p>
        </w:tc>
        <w:tc>
          <w:tcPr>
            <w:tcW w:w="10752" w:type="dxa"/>
          </w:tcPr>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现有资源：</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生产设备设施包括“融化炉、铸造炉、泵电机、空调”（办公空调照明等）、人员“体系内120人”、知识“中高级”等；</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受限情况描述：“无”；</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组织计划引进的外部资源的信息“无”；</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组织目前的能力水平状况，包括现有材料，人力资源及其能力，机械设备，信息和设施等情况的评审情况“基本满足要求”；</w:t>
            </w:r>
          </w:p>
        </w:tc>
        <w:tc>
          <w:tcPr>
            <w:tcW w:w="837" w:type="dxa"/>
          </w:tcPr>
          <w:p/>
          <w:p>
            <w:pPr>
              <w:pStyle w:val="3"/>
            </w:pPr>
          </w:p>
          <w:p>
            <w:pPr>
              <w:pStyle w:val="3"/>
            </w:pPr>
          </w:p>
          <w:p>
            <w:pPr>
              <w:pStyle w:val="3"/>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160" w:type="dxa"/>
          </w:tcPr>
          <w:p>
            <w:pPr>
              <w:rPr>
                <w:rFonts w:hint="default" w:ascii="宋体" w:hAnsi="宋体" w:eastAsia="宋体" w:cs="宋体"/>
                <w:szCs w:val="21"/>
                <w:lang w:val="en-US" w:eastAsia="zh-CN"/>
              </w:rPr>
            </w:pPr>
            <w:r>
              <w:rPr>
                <w:rFonts w:hint="eastAsia" w:ascii="宋体" w:hAnsi="宋体" w:cs="宋体"/>
                <w:szCs w:val="21"/>
                <w:lang w:val="en-US" w:eastAsia="zh-CN"/>
              </w:rPr>
              <w:t>监视和测量</w:t>
            </w:r>
          </w:p>
        </w:tc>
        <w:tc>
          <w:tcPr>
            <w:tcW w:w="960" w:type="dxa"/>
          </w:tcPr>
          <w:p>
            <w:pPr>
              <w:rPr>
                <w:rFonts w:hint="default" w:ascii="宋体" w:eastAsia="宋体" w:cs="宋体"/>
                <w:szCs w:val="21"/>
                <w:lang w:val="en-US" w:eastAsia="zh-CN"/>
              </w:rPr>
            </w:pPr>
            <w:r>
              <w:rPr>
                <w:rFonts w:hint="eastAsia" w:ascii="宋体" w:cs="宋体"/>
                <w:szCs w:val="21"/>
                <w:lang w:val="en-US" w:eastAsia="zh-CN"/>
              </w:rPr>
              <w:t>9.1.1</w:t>
            </w:r>
          </w:p>
        </w:tc>
        <w:tc>
          <w:tcPr>
            <w:tcW w:w="10752" w:type="dxa"/>
          </w:tcPr>
          <w:p>
            <w:pPr>
              <w:rPr>
                <w:rFonts w:hint="default"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抽查能源统计分析情况：</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从2017年、2018年、2019年、2020年、2021年1-6月份的各种能源能耗统计来看，企业的单位产品能耗呈逐步下降之势，企业控制的能耗情况良好。</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因此，企业应继续保持这种用能状况，操作设备时按操作规程进行操作，保持这种继续下降的形式。</w:t>
            </w:r>
          </w:p>
        </w:tc>
        <w:tc>
          <w:tcPr>
            <w:tcW w:w="837" w:type="dxa"/>
          </w:tcPr>
          <w:p>
            <w:pPr>
              <w:pStyle w:val="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jc w:val="left"/>
              <w:rPr>
                <w:rFonts w:ascii="宋体" w:cs="宋体"/>
                <w:color w:val="000000"/>
                <w:szCs w:val="21"/>
              </w:rPr>
            </w:pPr>
            <w:r>
              <w:rPr>
                <w:rFonts w:hint="eastAsia" w:ascii="宋体" w:hAnsi="宋体" w:cs="宋体"/>
                <w:color w:val="000000"/>
                <w:szCs w:val="21"/>
              </w:rPr>
              <w:t>管理评审</w:t>
            </w:r>
          </w:p>
          <w:p>
            <w:pPr>
              <w:spacing w:line="280" w:lineRule="exact"/>
              <w:jc w:val="left"/>
              <w:rPr>
                <w:rFonts w:ascii="宋体" w:cs="宋体"/>
                <w:szCs w:val="21"/>
              </w:rPr>
            </w:pPr>
          </w:p>
        </w:tc>
        <w:tc>
          <w:tcPr>
            <w:tcW w:w="960" w:type="dxa"/>
          </w:tcPr>
          <w:p>
            <w:pPr>
              <w:spacing w:line="280" w:lineRule="exact"/>
              <w:jc w:val="left"/>
              <w:rPr>
                <w:rFonts w:ascii="宋体" w:cs="宋体"/>
                <w:color w:val="000000"/>
                <w:szCs w:val="21"/>
              </w:rPr>
            </w:pPr>
            <w:r>
              <w:rPr>
                <w:rFonts w:ascii="宋体" w:hAnsi="宋体" w:cs="宋体"/>
                <w:color w:val="000000"/>
                <w:szCs w:val="21"/>
              </w:rPr>
              <w:t xml:space="preserve">9.3 </w:t>
            </w:r>
          </w:p>
          <w:p>
            <w:pPr>
              <w:spacing w:line="280" w:lineRule="exact"/>
              <w:jc w:val="left"/>
              <w:rPr>
                <w:rFonts w:ascii="宋体" w:cs="宋体"/>
                <w:szCs w:val="21"/>
              </w:rPr>
            </w:pPr>
          </w:p>
        </w:tc>
        <w:tc>
          <w:tcPr>
            <w:tcW w:w="10752" w:type="dxa"/>
            <w:vAlign w:val="center"/>
          </w:tcPr>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公司编制并实施《管理评审程序》，规定管理评审每年进行一次，由总经理决定是否增加管理评审的频次。</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查策划：在《管理评审程序》中明确了管理评审的实施要求。策划每年进行一次管理评审，间隔不超过12个月。</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查阅公司管理评审资料，提供：</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 xml:space="preserve">《管理评审计划》包括“评审目的、范围、要点、各部门评审准备工作要求”等内容、参加人员包括公司总经理、管理者代表、各部门负责人、评审时间计划2021年7月1日；进行、评审方式：会议评审，                 </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 xml:space="preserve">编制：李玉苹        批准：黄业明 ；   </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2.提供“管理评审输入报告”4份、抽查1份、《管理者代表2020年管理评审汇报材料》包括“通过半年的运行，检验了本公司能源管理体系的充分性适宜性。首先大家认为公司制定是能源管理方针能够体现公司的能源管理意图，为员工指明了能源管理的方向，建立的节能目标指标，考虑了公司工作的特点及行业能源消费的特点，制定切合实际，且在相关的职能和层次上进行了分解。目标、指标可行，需要进行调整”等内容；</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4.提供《管理评审报告》结论：管理评审是我公司确保建立的能源管理体系持续的适宜性、充分性和有效性非常重要的管理活动，在管理体系当中承担了高层次监督保障的功能，对体系的良好运行和持续改进起到了至关重要的作用。本次管理评审是公司能源管理体系建立以来的第一次管理评审。根据各科室的汇报，经大家评议，通过半年的运行，检验了本公司能源管理体系的充分性适宜性。首先大家认为公司制定是能源管理方针能够体现本公司的能源管理意图，为员工指明了能源管理的方向，建立的节能目标指标，考虑了公司工作的特点及能源消费的特点，制定切合实际，且在相关的职能和层次上进行了分解。目标、指标可行，不需要进行调整。本公司建立的能源管理体系考虑了本公司内、外部环境，由于运行时间不长，因此，内外部环境变化不会对体系带来影响。本公司成立了能源管理团队，能源管理团队能认真开展工作，根据本公司工作的特点及具体的实际，详细进行了能源管理改进机会的识别，评价出了优先控制的改进机会，并逐一对识别出的改进机会明确了控制方法，经过几个月运行验证，其措施能够控制或能源的使用和消耗；批准黄业明 ；日期2021年7月1日；</w:t>
            </w:r>
          </w:p>
        </w:tc>
        <w:tc>
          <w:tcPr>
            <w:tcW w:w="837" w:type="dxa"/>
          </w:tcPr>
          <w:p/>
          <w:p>
            <w:pPr>
              <w:pStyle w:val="3"/>
            </w:pPr>
          </w:p>
          <w:p>
            <w:pPr>
              <w:pStyle w:val="3"/>
            </w:pPr>
          </w:p>
          <w:p>
            <w:pPr>
              <w:pStyle w:val="3"/>
            </w:pPr>
          </w:p>
          <w:p>
            <w:pPr>
              <w:pStyle w:val="3"/>
            </w:pPr>
          </w:p>
          <w:p>
            <w:pPr>
              <w:pStyle w:val="3"/>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jc w:val="left"/>
            </w:pPr>
            <w:r>
              <w:rPr>
                <w:rFonts w:hint="eastAsia" w:ascii="宋体" w:hAnsi="宋体" w:cs="宋体"/>
                <w:szCs w:val="21"/>
              </w:rPr>
              <w:t>不符合与纠正措施</w:t>
            </w:r>
          </w:p>
          <w:p>
            <w:pPr>
              <w:pStyle w:val="3"/>
            </w:pPr>
          </w:p>
        </w:tc>
        <w:tc>
          <w:tcPr>
            <w:tcW w:w="960" w:type="dxa"/>
          </w:tcPr>
          <w:p>
            <w:pPr>
              <w:spacing w:line="280" w:lineRule="exact"/>
              <w:jc w:val="left"/>
              <w:rPr>
                <w:rFonts w:ascii="宋体" w:cs="宋体"/>
                <w:szCs w:val="21"/>
              </w:rPr>
            </w:pPr>
            <w:r>
              <w:rPr>
                <w:rFonts w:ascii="宋体" w:hAnsi="宋体" w:cs="宋体"/>
                <w:szCs w:val="21"/>
              </w:rPr>
              <w:t xml:space="preserve">10.1 </w:t>
            </w:r>
          </w:p>
        </w:tc>
        <w:tc>
          <w:tcPr>
            <w:tcW w:w="10752" w:type="dxa"/>
            <w:vAlign w:val="center"/>
          </w:tcPr>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编制了《不符合和纠正措施报告》包括“不符合采取措施控制并纠正；任何纠正措施的结果、不符合的原因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性质和采取的任何后续措施；确定是否存在或是否可能发生类似的不符合；实施任何所需的措施；评审所采取的任何纠正措施的有效性；必要时，对能源管理体系进行变更改”等内容——基本符合规定；</w:t>
            </w:r>
          </w:p>
        </w:tc>
        <w:tc>
          <w:tcPr>
            <w:tcW w:w="837" w:type="dxa"/>
          </w:tcPr>
          <w:p>
            <w:pPr>
              <w:pStyle w:val="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jc w:val="left"/>
              <w:rPr>
                <w:rFonts w:hint="eastAsia" w:ascii="宋体" w:hAnsi="宋体" w:cs="宋体"/>
                <w:szCs w:val="21"/>
              </w:rPr>
            </w:pPr>
            <w:r>
              <w:rPr>
                <w:rFonts w:hint="eastAsia" w:ascii="宋体" w:hAnsi="宋体" w:cs="宋体"/>
                <w:szCs w:val="21"/>
              </w:rPr>
              <w:t>持续改进</w:t>
            </w:r>
          </w:p>
        </w:tc>
        <w:tc>
          <w:tcPr>
            <w:tcW w:w="960" w:type="dxa"/>
          </w:tcPr>
          <w:p>
            <w:pPr>
              <w:spacing w:line="280" w:lineRule="exact"/>
              <w:jc w:val="left"/>
              <w:rPr>
                <w:rFonts w:hint="eastAsia" w:ascii="宋体" w:hAnsi="宋体" w:cs="宋体"/>
                <w:szCs w:val="21"/>
              </w:rPr>
            </w:pPr>
            <w:r>
              <w:rPr>
                <w:rFonts w:hint="eastAsia" w:ascii="宋体" w:hAnsi="宋体" w:cs="宋体"/>
                <w:szCs w:val="21"/>
              </w:rPr>
              <w:t xml:space="preserve">10.2 </w:t>
            </w:r>
          </w:p>
        </w:tc>
        <w:tc>
          <w:tcPr>
            <w:tcW w:w="10752" w:type="dxa"/>
            <w:vAlign w:val="center"/>
          </w:tcPr>
          <w:p>
            <w:pPr>
              <w:rPr>
                <w:rFonts w:hint="default"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公司通过日常检查、目标考核、内审和管理评审的结果、持续改进能源管理体系的有效性。</w:t>
            </w:r>
          </w:p>
        </w:tc>
        <w:tc>
          <w:tcPr>
            <w:tcW w:w="837" w:type="dxa"/>
          </w:tcPr>
          <w:p>
            <w:pPr>
              <w:spacing w:line="280" w:lineRule="exact"/>
              <w:jc w:val="left"/>
              <w:rPr>
                <w:rFonts w:hint="default" w:ascii="宋体" w:hAnsi="宋体" w:cs="宋体"/>
                <w:szCs w:val="21"/>
                <w:lang w:val="en-US" w:eastAsia="zh-CN"/>
              </w:rPr>
            </w:pPr>
            <w:r>
              <w:rPr>
                <w:rFonts w:hint="eastAsia" w:ascii="宋体" w:hAnsi="宋体" w:cs="宋体"/>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2160" w:type="dxa"/>
          </w:tcPr>
          <w:p>
            <w:pPr>
              <w:spacing w:line="280" w:lineRule="exact"/>
              <w:rPr>
                <w:rFonts w:ascii="宋体" w:cs="宋体"/>
                <w:szCs w:val="21"/>
              </w:rPr>
            </w:pPr>
            <w:r>
              <w:rPr>
                <w:rFonts w:hint="eastAsia" w:ascii="宋体" w:hAnsi="宋体" w:cs="宋体"/>
                <w:szCs w:val="21"/>
              </w:rPr>
              <w:t>国家</w:t>
            </w:r>
            <w:r>
              <w:rPr>
                <w:rFonts w:ascii="宋体" w:hAnsi="宋体" w:cs="宋体"/>
                <w:szCs w:val="21"/>
              </w:rPr>
              <w:t>/</w:t>
            </w:r>
            <w:r>
              <w:rPr>
                <w:rFonts w:hint="eastAsia" w:ascii="宋体" w:hAnsi="宋体" w:cs="宋体"/>
                <w:szCs w:val="21"/>
              </w:rPr>
              <w:t>地方监督抽查情况；</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相关方投诉及处理情况；</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一阶段问题验证，</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验证企业相关资质证明的有效性；</w:t>
            </w:r>
          </w:p>
        </w:tc>
        <w:tc>
          <w:tcPr>
            <w:tcW w:w="960" w:type="dxa"/>
          </w:tcPr>
          <w:p>
            <w:pPr>
              <w:spacing w:line="280" w:lineRule="exact"/>
              <w:rPr>
                <w:rFonts w:ascii="宋体" w:cs="宋体"/>
                <w:szCs w:val="21"/>
              </w:rPr>
            </w:pPr>
          </w:p>
        </w:tc>
        <w:tc>
          <w:tcPr>
            <w:tcW w:w="10752" w:type="dxa"/>
            <w:vAlign w:val="center"/>
          </w:tcPr>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无地方抽查情况；</w:t>
            </w:r>
          </w:p>
          <w:p>
            <w:pPr>
              <w:rPr>
                <w:rFonts w:hint="eastAsia" w:ascii="宋体" w:hAnsi="宋体" w:eastAsia="宋体" w:cs="Arial"/>
                <w:spacing w:val="-6"/>
                <w:kern w:val="2"/>
                <w:sz w:val="24"/>
                <w:szCs w:val="21"/>
                <w:lang w:val="en-US" w:eastAsia="zh-CN" w:bidi="ar-SA"/>
              </w:rPr>
            </w:pP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无相关方投诉情况；</w:t>
            </w:r>
          </w:p>
          <w:p>
            <w:pPr>
              <w:rPr>
                <w:rFonts w:hint="eastAsia" w:ascii="宋体" w:hAnsi="宋体" w:eastAsia="宋体" w:cs="Arial"/>
                <w:spacing w:val="-6"/>
                <w:kern w:val="2"/>
                <w:sz w:val="24"/>
                <w:szCs w:val="21"/>
                <w:lang w:val="en-US" w:eastAsia="zh-CN" w:bidi="ar-SA"/>
              </w:rPr>
            </w:pP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一阶段问题点已经整改完成、不符合关闭；</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 xml:space="preserve"> </w:t>
            </w: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证书及标志使用符合规定；</w:t>
            </w:r>
          </w:p>
          <w:p>
            <w:pPr>
              <w:rPr>
                <w:rFonts w:hint="eastAsia" w:ascii="宋体" w:hAnsi="宋体" w:eastAsia="宋体" w:cs="Arial"/>
                <w:spacing w:val="-6"/>
                <w:kern w:val="2"/>
                <w:sz w:val="24"/>
                <w:szCs w:val="21"/>
                <w:lang w:val="en-US" w:eastAsia="zh-CN" w:bidi="ar-SA"/>
              </w:rPr>
            </w:pPr>
          </w:p>
          <w:p>
            <w:pPr>
              <w:rPr>
                <w:rFonts w:hint="eastAsia" w:ascii="宋体" w:hAnsi="宋体" w:eastAsia="宋体" w:cs="Arial"/>
                <w:spacing w:val="-6"/>
                <w:kern w:val="2"/>
                <w:sz w:val="24"/>
                <w:szCs w:val="21"/>
                <w:lang w:val="en-US" w:eastAsia="zh-CN" w:bidi="ar-SA"/>
              </w:rPr>
            </w:pPr>
            <w:r>
              <w:rPr>
                <w:rFonts w:hint="eastAsia" w:ascii="宋体" w:hAnsi="宋体" w:eastAsia="宋体" w:cs="Arial"/>
                <w:spacing w:val="-6"/>
                <w:kern w:val="2"/>
                <w:sz w:val="24"/>
                <w:szCs w:val="21"/>
                <w:lang w:val="en-US" w:eastAsia="zh-CN" w:bidi="ar-SA"/>
              </w:rPr>
              <w:t>企业营业执照有效期内、符合规定；</w:t>
            </w:r>
          </w:p>
          <w:p>
            <w:pPr>
              <w:rPr>
                <w:rFonts w:hint="eastAsia" w:ascii="宋体" w:hAnsi="宋体" w:eastAsia="宋体" w:cs="Arial"/>
                <w:spacing w:val="-6"/>
                <w:kern w:val="2"/>
                <w:sz w:val="24"/>
                <w:szCs w:val="21"/>
                <w:lang w:val="en-US" w:eastAsia="zh-CN" w:bidi="ar-SA"/>
              </w:rPr>
            </w:pPr>
          </w:p>
          <w:p>
            <w:pPr>
              <w:rPr>
                <w:rFonts w:hint="eastAsia" w:ascii="宋体" w:hAnsi="宋体" w:eastAsia="宋体" w:cs="Arial"/>
                <w:spacing w:val="-6"/>
                <w:kern w:val="2"/>
                <w:sz w:val="24"/>
                <w:szCs w:val="21"/>
                <w:lang w:val="en-US" w:eastAsia="zh-CN" w:bidi="ar-SA"/>
              </w:rPr>
            </w:pPr>
          </w:p>
        </w:tc>
        <w:tc>
          <w:tcPr>
            <w:tcW w:w="837" w:type="dxa"/>
          </w:tcPr>
          <w:p/>
          <w:p>
            <w:pPr>
              <w:pStyle w:val="3"/>
            </w:pPr>
          </w:p>
          <w:p>
            <w:pPr>
              <w:pStyle w:val="3"/>
            </w:pPr>
          </w:p>
          <w:p>
            <w:pPr>
              <w:pStyle w:val="3"/>
            </w:pPr>
          </w:p>
          <w:p>
            <w:pPr>
              <w:pStyle w:val="3"/>
              <w:rPr>
                <w:rFonts w:hint="default" w:eastAsia="宋体"/>
                <w:lang w:val="en-US" w:eastAsia="zh-CN"/>
              </w:rPr>
            </w:pPr>
            <w:r>
              <w:rPr>
                <w:rFonts w:hint="eastAsia"/>
                <w:lang w:val="en-US" w:eastAsia="zh-CN"/>
              </w:rPr>
              <w:t xml:space="preserve">  y</w:t>
            </w:r>
          </w:p>
        </w:tc>
      </w:tr>
    </w:tbl>
    <w:p>
      <w:pPr>
        <w:pStyle w:val="7"/>
        <w:rPr>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rPr>
      <w:fldChar w:fldCharType="begin"/>
    </w:r>
    <w:r>
      <w:rPr>
        <w:b/>
      </w:rPr>
      <w:instrText xml:space="preserve">PAGE</w:instrText>
    </w:r>
    <w:r>
      <w:rPr>
        <w:b/>
      </w:rPr>
      <w:fldChar w:fldCharType="separate"/>
    </w:r>
    <w:r>
      <w:rPr>
        <w:b/>
      </w:rPr>
      <w:t>36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40</w:t>
    </w:r>
    <w:r>
      <w:rPr>
        <w:b/>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7"/>
        <w:rFonts w:hint="eastAsia"/>
      </w:rPr>
      <w:t>北京国标联合认证有限公司</w:t>
    </w:r>
    <w:r>
      <w:rPr>
        <w:rStyle w:val="17"/>
      </w:rPr>
      <w:tab/>
    </w:r>
    <w:r>
      <w:rPr>
        <w:rStyle w:val="17"/>
      </w:rPr>
      <w:tab/>
    </w:r>
    <w:r>
      <w:rPr>
        <w:rStyle w:val="17"/>
      </w:rPr>
      <w:tab/>
    </w:r>
  </w:p>
  <w:p>
    <w:pPr>
      <w:pStyle w:val="8"/>
      <w:pBdr>
        <w:bottom w:val="none" w:color="auto" w:sz="0" w:space="0"/>
      </w:pBdr>
      <w:spacing w:line="320" w:lineRule="exact"/>
      <w:jc w:val="left"/>
    </w:pPr>
    <w:r>
      <w:pict>
        <v:shape id="文本框 1" o:spid="_x0000_s4098"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t>ISC-</w:t>
                </w:r>
                <w:r>
                  <w:rPr>
                    <w:sz w:val="18"/>
                    <w:szCs w:val="18"/>
                  </w:rPr>
                  <w:t>B-I-30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7"/>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237F6"/>
    <w:rsid w:val="0003373A"/>
    <w:rsid w:val="000400E2"/>
    <w:rsid w:val="00062E46"/>
    <w:rsid w:val="000E6B21"/>
    <w:rsid w:val="00104E57"/>
    <w:rsid w:val="001A2D7F"/>
    <w:rsid w:val="00240AD2"/>
    <w:rsid w:val="002939AD"/>
    <w:rsid w:val="0030297B"/>
    <w:rsid w:val="00314AF6"/>
    <w:rsid w:val="0032228B"/>
    <w:rsid w:val="00337922"/>
    <w:rsid w:val="00340867"/>
    <w:rsid w:val="00380837"/>
    <w:rsid w:val="003A198A"/>
    <w:rsid w:val="003E2930"/>
    <w:rsid w:val="00410914"/>
    <w:rsid w:val="004813A1"/>
    <w:rsid w:val="004F14A4"/>
    <w:rsid w:val="00536930"/>
    <w:rsid w:val="00564E53"/>
    <w:rsid w:val="005D5659"/>
    <w:rsid w:val="00600C20"/>
    <w:rsid w:val="00644FE2"/>
    <w:rsid w:val="0067640C"/>
    <w:rsid w:val="0067657C"/>
    <w:rsid w:val="006A0A1B"/>
    <w:rsid w:val="006E678B"/>
    <w:rsid w:val="007757F3"/>
    <w:rsid w:val="007A3E36"/>
    <w:rsid w:val="007A5F01"/>
    <w:rsid w:val="007C0A91"/>
    <w:rsid w:val="007C1B48"/>
    <w:rsid w:val="007E6AEB"/>
    <w:rsid w:val="008973EE"/>
    <w:rsid w:val="008C3CE4"/>
    <w:rsid w:val="00971600"/>
    <w:rsid w:val="009973B4"/>
    <w:rsid w:val="009C28C1"/>
    <w:rsid w:val="009F7EED"/>
    <w:rsid w:val="00A80636"/>
    <w:rsid w:val="00AF0AAB"/>
    <w:rsid w:val="00AF4DE5"/>
    <w:rsid w:val="00B0689E"/>
    <w:rsid w:val="00BA07B0"/>
    <w:rsid w:val="00BF597E"/>
    <w:rsid w:val="00C51A36"/>
    <w:rsid w:val="00C55228"/>
    <w:rsid w:val="00C63768"/>
    <w:rsid w:val="00C83D54"/>
    <w:rsid w:val="00CE315A"/>
    <w:rsid w:val="00D06F59"/>
    <w:rsid w:val="00D37267"/>
    <w:rsid w:val="00D8388C"/>
    <w:rsid w:val="00DF1096"/>
    <w:rsid w:val="00E6224C"/>
    <w:rsid w:val="00E85801"/>
    <w:rsid w:val="00EA2D69"/>
    <w:rsid w:val="00EB0164"/>
    <w:rsid w:val="00ED0F62"/>
    <w:rsid w:val="00EE1829"/>
    <w:rsid w:val="0576014D"/>
    <w:rsid w:val="06E40D9D"/>
    <w:rsid w:val="0F2A7617"/>
    <w:rsid w:val="108219C2"/>
    <w:rsid w:val="1DB81340"/>
    <w:rsid w:val="1F4379B7"/>
    <w:rsid w:val="237C31BC"/>
    <w:rsid w:val="2FEB239E"/>
    <w:rsid w:val="307F64DF"/>
    <w:rsid w:val="518650E9"/>
    <w:rsid w:val="587E58EA"/>
    <w:rsid w:val="5CF3050D"/>
    <w:rsid w:val="5DC2522B"/>
    <w:rsid w:val="5E88713D"/>
    <w:rsid w:val="5EA12B9A"/>
    <w:rsid w:val="5FEC140B"/>
    <w:rsid w:val="6E0052CA"/>
    <w:rsid w:val="71F851A7"/>
    <w:rsid w:val="7297049C"/>
    <w:rsid w:val="74F467C6"/>
    <w:rsid w:val="7B1613C9"/>
    <w:rsid w:val="7BB47E69"/>
    <w:rsid w:val="7D3B72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12"/>
    <w:qFormat/>
    <w:uiPriority w:val="99"/>
    <w:rPr>
      <w:sz w:val="24"/>
    </w:rPr>
  </w:style>
  <w:style w:type="paragraph" w:styleId="4">
    <w:name w:val="Body Text Indent"/>
    <w:basedOn w:val="1"/>
    <w:qFormat/>
    <w:uiPriority w:val="0"/>
    <w:pPr>
      <w:snapToGrid w:val="0"/>
      <w:spacing w:line="336" w:lineRule="auto"/>
      <w:ind w:firstLine="630"/>
    </w:pPr>
    <w:rPr>
      <w:sz w:val="32"/>
    </w:rPr>
  </w:style>
  <w:style w:type="paragraph" w:styleId="5">
    <w:name w:val="Plain Text"/>
    <w:basedOn w:val="1"/>
    <w:link w:val="13"/>
    <w:qFormat/>
    <w:uiPriority w:val="99"/>
    <w:rPr>
      <w:rFonts w:ascii="宋体" w:hAnsi="Courier New" w:cs="Courier New"/>
      <w:szCs w:val="21"/>
    </w:rPr>
  </w:style>
  <w:style w:type="paragraph" w:styleId="6">
    <w:name w:val="Balloon Text"/>
    <w:basedOn w:val="1"/>
    <w:link w:val="14"/>
    <w:semiHidden/>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unhideWhenUsed/>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Body Text Char"/>
    <w:basedOn w:val="11"/>
    <w:link w:val="3"/>
    <w:semiHidden/>
    <w:qFormat/>
    <w:uiPriority w:val="99"/>
    <w:rPr>
      <w:rFonts w:ascii="Times New Roman" w:hAnsi="Times New Roman"/>
      <w:szCs w:val="20"/>
    </w:rPr>
  </w:style>
  <w:style w:type="character" w:customStyle="1" w:styleId="13">
    <w:name w:val="Plain Text Char"/>
    <w:basedOn w:val="11"/>
    <w:link w:val="5"/>
    <w:semiHidden/>
    <w:qFormat/>
    <w:uiPriority w:val="99"/>
    <w:rPr>
      <w:rFonts w:ascii="宋体" w:hAnsi="Courier New" w:cs="Courier New"/>
      <w:szCs w:val="21"/>
    </w:rPr>
  </w:style>
  <w:style w:type="character" w:customStyle="1" w:styleId="14">
    <w:name w:val="Balloon Text Char"/>
    <w:basedOn w:val="11"/>
    <w:link w:val="6"/>
    <w:semiHidden/>
    <w:qFormat/>
    <w:locked/>
    <w:uiPriority w:val="99"/>
    <w:rPr>
      <w:rFonts w:ascii="Times New Roman" w:hAnsi="Times New Roman" w:eastAsia="宋体" w:cs="Times New Roman"/>
      <w:sz w:val="18"/>
      <w:szCs w:val="18"/>
    </w:rPr>
  </w:style>
  <w:style w:type="character" w:customStyle="1" w:styleId="15">
    <w:name w:val="Footer Char"/>
    <w:basedOn w:val="11"/>
    <w:link w:val="7"/>
    <w:qFormat/>
    <w:locked/>
    <w:uiPriority w:val="99"/>
    <w:rPr>
      <w:rFonts w:ascii="Times New Roman" w:hAnsi="Times New Roman" w:eastAsia="宋体" w:cs="Times New Roman"/>
      <w:sz w:val="18"/>
      <w:szCs w:val="18"/>
    </w:rPr>
  </w:style>
  <w:style w:type="character" w:customStyle="1" w:styleId="16">
    <w:name w:val="Header Char"/>
    <w:basedOn w:val="11"/>
    <w:link w:val="8"/>
    <w:qFormat/>
    <w:locked/>
    <w:uiPriority w:val="99"/>
    <w:rPr>
      <w:rFonts w:ascii="Times New Roman" w:hAnsi="Times New Roman" w:eastAsia="宋体" w:cs="Times New Roman"/>
      <w:sz w:val="18"/>
      <w:szCs w:val="18"/>
    </w:rPr>
  </w:style>
  <w:style w:type="character" w:customStyle="1" w:styleId="17">
    <w:name w:val="Char Char1"/>
    <w:qFormat/>
    <w:locked/>
    <w:uiPriority w:val="99"/>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40</Pages>
  <Words>4488</Words>
  <Characters>25586</Characters>
  <Lines>0</Lines>
  <Paragraphs>0</Paragraphs>
  <TotalTime>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2021-01-06T01:17:00Z</dcterms:created>
  <dc:creator>微软用户</dc:creator>
  <cp:lastModifiedBy>Lenovo</cp:lastModifiedBy>
  <dcterms:modified xsi:type="dcterms:W3CDTF">2021-11-11T06:37:40Z</dcterms:modified>
  <dc:title>管理体系审核记录表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4F9DCFFEA81A47A38DA3D3D656D1D2A2</vt:lpwstr>
  </property>
</Properties>
</file>