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技术质量部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舒建杰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李玉苹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11.12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En:5.3/6.2/8.1/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8.3/9.1.1/10.1 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技术质量部 管理职责：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a) 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负责环境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职业健康安全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/能源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有关原材料的入公司复验工作；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b) 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参与内部审核；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c) 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负责本部门环境因素、危险源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、能源因素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的识别、评价及控制；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e) 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负责新产品、新技术、新设备、新工艺、改扩建、技术改造中的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环境、职业健康活动三同时；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f) 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负责工装、吊索具的设计、使用、维护中环境、职业健康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、节能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活动的开展；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g) 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负责组织编制设备、工艺安全操作规程。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h) 负责新、改、扩建项目的“三同时”管理，并参与完工验收；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j) 负责技术质量管理活动中的环境、职业健康安全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、节能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相关活动（包括进货检验、供方技术条件、基于环境职业健康安全的工艺改进等）的实施。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能源目标\能源指及其实现的策划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En6.2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En8.1/8.3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全体人员树立节约用电、安全用电意识。在工作需要时开灯，人离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必须随手关灯，光线好的房间，必须关闭照明设备。。走廊、楼道里的灯要随手关闭，办公场所应关闭不必要的夜间照明。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查：财务资金保障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提供2021年财务资金情况：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2021年1-9月电力资金：871544.9元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2021年1-9月天然气费支出：96866.13元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用能设备一次性集中采购，在建厂初期采购，后期采购量较少，此次未提供本年度采购用能设备采购，下次关注，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提供采购发票：</w:t>
            </w:r>
          </w:p>
        </w:tc>
        <w:tc>
          <w:tcPr>
            <w:tcW w:w="73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En8.2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经检查，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公司近期在能源方面没有设计开发内容。</w:t>
            </w:r>
          </w:p>
        </w:tc>
        <w:tc>
          <w:tcPr>
            <w:tcW w:w="73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能源绩效和能源管理体系的监视、测量、分析和评价 、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En9.1.1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铸造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机加工序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2017-2021年1-6月份的单位产品能耗为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</w:p>
          <w:tbl>
            <w:tblPr>
              <w:tblStyle w:val="11"/>
              <w:tblpPr w:leftFromText="180" w:rightFromText="180" w:vertAnchor="text" w:horzAnchor="page" w:tblpX="108" w:tblpY="283"/>
              <w:tblOverlap w:val="never"/>
              <w:tblW w:w="101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8"/>
              <w:gridCol w:w="1725"/>
              <w:gridCol w:w="1399"/>
              <w:gridCol w:w="1476"/>
              <w:gridCol w:w="1508"/>
              <w:gridCol w:w="1508"/>
              <w:gridCol w:w="15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  <w:vMerge w:val="restart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0" w:type="dxa"/>
                  <w:gridSpan w:val="3"/>
                </w:tcPr>
                <w:p>
                  <w:pPr>
                    <w:pStyle w:val="2"/>
                    <w:ind w:left="0" w:leftChars="0" w:firstLine="2160" w:firstLineChars="90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铸造</w:t>
                  </w:r>
                </w:p>
              </w:tc>
              <w:tc>
                <w:tcPr>
                  <w:tcW w:w="4525" w:type="dxa"/>
                  <w:gridSpan w:val="3"/>
                </w:tcPr>
                <w:p>
                  <w:pPr>
                    <w:pStyle w:val="2"/>
                    <w:ind w:left="0" w:leftChars="0" w:firstLine="1680" w:firstLineChars="70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机加工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  <w:vMerge w:val="continue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5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综合能耗kgce</w:t>
                  </w:r>
                </w:p>
              </w:tc>
              <w:tc>
                <w:tcPr>
                  <w:tcW w:w="139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产量t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  <w:t>单位产品能耗kgce/t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综合能耗kgce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pStyle w:val="2"/>
                    <w:ind w:left="0" w:leftChars="0" w:firstLine="240" w:firstLineChars="10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产量t</w:t>
                  </w:r>
                </w:p>
              </w:tc>
              <w:tc>
                <w:tcPr>
                  <w:tcW w:w="150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  <w:t>单位产品能耗kgce/t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2017年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233282229</w:t>
                  </w:r>
                </w:p>
              </w:tc>
              <w:tc>
                <w:tcPr>
                  <w:tcW w:w="139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20327.78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161.47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364692.09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16933.84</w:t>
                  </w:r>
                </w:p>
              </w:tc>
              <w:tc>
                <w:tcPr>
                  <w:tcW w:w="1509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21.54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2018年</w:t>
                  </w:r>
                </w:p>
              </w:tc>
              <w:tc>
                <w:tcPr>
                  <w:tcW w:w="1725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2840116.35</w:t>
                  </w:r>
                </w:p>
              </w:tc>
              <w:tc>
                <w:tcPr>
                  <w:tcW w:w="139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16029.38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177.18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315568.93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17552.23</w:t>
                  </w:r>
                </w:p>
              </w:tc>
              <w:tc>
                <w:tcPr>
                  <w:tcW w:w="1509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17.98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</w:t>
                  </w:r>
                </w:p>
              </w:tc>
              <w:tc>
                <w:tcPr>
                  <w:tcW w:w="1725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2561234.41</w:t>
                  </w:r>
                </w:p>
              </w:tc>
              <w:tc>
                <w:tcPr>
                  <w:tcW w:w="139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12792.46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200.21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595328.75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9727.34</w:t>
                  </w:r>
                </w:p>
              </w:tc>
              <w:tc>
                <w:tcPr>
                  <w:tcW w:w="1509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61.2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</w:t>
                  </w:r>
                </w:p>
              </w:tc>
              <w:tc>
                <w:tcPr>
                  <w:tcW w:w="1725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2563075</w:t>
                  </w:r>
                </w:p>
              </w:tc>
              <w:tc>
                <w:tcPr>
                  <w:tcW w:w="139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14658.4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174.85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284786.2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11081.01</w:t>
                  </w:r>
                </w:p>
              </w:tc>
              <w:tc>
                <w:tcPr>
                  <w:tcW w:w="1509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25.7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1725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1274425.07</w:t>
                  </w:r>
                </w:p>
              </w:tc>
              <w:tc>
                <w:tcPr>
                  <w:tcW w:w="139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1274425.07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168.66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141602.79</w:t>
                  </w:r>
                </w:p>
              </w:tc>
              <w:tc>
                <w:tcPr>
                  <w:tcW w:w="150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6071.45</w:t>
                  </w:r>
                </w:p>
              </w:tc>
              <w:tc>
                <w:tcPr>
                  <w:tcW w:w="1509" w:type="dxa"/>
                  <w:vAlign w:val="top"/>
                </w:tcPr>
                <w:p>
                  <w:pPr>
                    <w:pStyle w:val="2"/>
                    <w:ind w:firstLine="240" w:firstLineChars="10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21.54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能源统计分析情况：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从2017年、2018年、2019年、2020年、2021年1-9月份的各种能源能耗统计来看，企业的单位产品能耗呈逐步下降之势，企业控制的能耗情况良好。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因此，企业应继续保持这种用能状况，操作设备时按操作规程进行操作，保持这种继续下降的形式。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En10.1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查内审不符合1项、有不符合项内容描述、原因分析、及纠正措施的实施及验证信息；不符合纠正措施验证有效、不符合关闭；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公司制定《纠正预防措施控制程序》，规定了纠正措施的来源,明确了对不合格项应进行原因分析,制定纠正措施计划,实施跟踪验证,确保所采取 的纠正措施满足预期要求。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内审中发现的不符合项已经采取纠正措施，整改完毕且有效。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通过交谈，基本能清楚纠正和预防措施的控制要求。改进的示例包括纠正、纠正措施、持续改进。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根据不同过程、不同产品和不同要求，采取不同的方法进行监视、测量和分析。无其他不符合发生。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公司利用En方针、目标、内审和外审、数据分析、纠正和预防措施以及管理评审，识别任何改进的机会，持续改进质量管理体系的适宜性、充分性和有效性。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japaneseCounting"/>
      <w:pStyle w:val="18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108219C2"/>
    <w:rsid w:val="1D5C5E94"/>
    <w:rsid w:val="1E92443A"/>
    <w:rsid w:val="1F303612"/>
    <w:rsid w:val="25726879"/>
    <w:rsid w:val="265042EE"/>
    <w:rsid w:val="29550A82"/>
    <w:rsid w:val="2CC56303"/>
    <w:rsid w:val="37022033"/>
    <w:rsid w:val="3FD87230"/>
    <w:rsid w:val="400168D5"/>
    <w:rsid w:val="42822CFE"/>
    <w:rsid w:val="49907112"/>
    <w:rsid w:val="4EB06CE3"/>
    <w:rsid w:val="5062731F"/>
    <w:rsid w:val="51B355DC"/>
    <w:rsid w:val="51CB0431"/>
    <w:rsid w:val="56955064"/>
    <w:rsid w:val="58F45158"/>
    <w:rsid w:val="5BC81CCF"/>
    <w:rsid w:val="5C2C690F"/>
    <w:rsid w:val="5EA12B9A"/>
    <w:rsid w:val="60A703C5"/>
    <w:rsid w:val="619A01E9"/>
    <w:rsid w:val="6A997D30"/>
    <w:rsid w:val="6B317C7C"/>
    <w:rsid w:val="6C3312C7"/>
    <w:rsid w:val="6C852FED"/>
    <w:rsid w:val="72F0497F"/>
    <w:rsid w:val="75532C29"/>
    <w:rsid w:val="77DF039E"/>
    <w:rsid w:val="788C0C63"/>
    <w:rsid w:val="794647EA"/>
    <w:rsid w:val="7AEC0F33"/>
    <w:rsid w:val="7B407DF0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g"/>
    <w:basedOn w:val="12"/>
    <w:qFormat/>
    <w:uiPriority w:val="0"/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2021-11-28T11:14:06Z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A2A87B4AA3C04090A0C757B97B7400CA</vt:lpwstr>
  </property>
</Properties>
</file>