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89"/>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489" w:type="dxa"/>
            <w:vAlign w:val="center"/>
          </w:tcPr>
          <w:p>
            <w:pPr>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rPr>
              <w:t>受审核</w:t>
            </w:r>
            <w:r>
              <w:rPr>
                <w:rFonts w:hint="eastAsia" w:ascii="宋体" w:hAnsi="宋体" w:eastAsia="宋体" w:cs="宋体"/>
                <w:color w:val="auto"/>
                <w:sz w:val="24"/>
                <w:szCs w:val="24"/>
                <w:lang w:val="en-US" w:eastAsia="zh-CN"/>
              </w:rPr>
              <w:t>部门：</w:t>
            </w:r>
            <w:r>
              <w:rPr>
                <w:rFonts w:hint="default"/>
                <w:color w:val="auto"/>
                <w:lang w:val="en-US" w:eastAsia="zh-CN"/>
              </w:rPr>
              <w:t>综合</w:t>
            </w:r>
            <w:r>
              <w:rPr>
                <w:rFonts w:hint="eastAsia"/>
                <w:color w:val="auto"/>
                <w:lang w:val="en-US" w:eastAsia="zh-CN"/>
              </w:rPr>
              <w:t>管理部</w:t>
            </w:r>
            <w:r>
              <w:rPr>
                <w:rFonts w:hint="eastAsia" w:ascii="宋体" w:hAnsi="宋体" w:eastAsia="宋体" w:cs="宋体"/>
                <w:color w:val="auto"/>
                <w:sz w:val="24"/>
                <w:szCs w:val="24"/>
                <w:lang w:val="en-US" w:eastAsia="zh-CN"/>
              </w:rPr>
              <w:t xml:space="preserve">       主管领导：</w:t>
            </w:r>
            <w:r>
              <w:rPr>
                <w:rFonts w:hint="eastAsia"/>
                <w:sz w:val="26"/>
                <w:szCs w:val="26"/>
                <w:vertAlign w:val="baseline"/>
                <w:lang w:val="en-US" w:eastAsia="zh-CN"/>
              </w:rPr>
              <w:t>李玉苹</w:t>
            </w:r>
            <w:r>
              <w:rPr>
                <w:rFonts w:hint="default"/>
                <w:color w:val="auto"/>
                <w:lang w:val="en-US" w:eastAsia="zh-CN"/>
              </w:rPr>
              <w:t xml:space="preserve"> </w:t>
            </w:r>
            <w:r>
              <w:rPr>
                <w:rFonts w:hint="eastAsia" w:ascii="宋体" w:hAnsi="宋体" w:eastAsia="宋体" w:cs="宋体"/>
                <w:color w:val="auto"/>
                <w:sz w:val="24"/>
                <w:szCs w:val="24"/>
                <w:lang w:val="en-US" w:eastAsia="zh-CN"/>
              </w:rPr>
              <w:t xml:space="preserve">    陪同人员： </w:t>
            </w:r>
            <w:r>
              <w:rPr>
                <w:rFonts w:hint="eastAsia"/>
                <w:sz w:val="26"/>
                <w:szCs w:val="26"/>
                <w:vertAlign w:val="baseline"/>
                <w:lang w:val="en-US" w:eastAsia="zh-CN"/>
              </w:rPr>
              <w:t>任磊</w:t>
            </w:r>
          </w:p>
        </w:tc>
        <w:tc>
          <w:tcPr>
            <w:tcW w:w="1100"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489" w:type="dxa"/>
            <w:vAlign w:val="center"/>
          </w:tcPr>
          <w:p>
            <w:pPr>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审核员：</w:t>
            </w:r>
            <w:r>
              <w:rPr>
                <w:rFonts w:hint="eastAsia" w:ascii="Times New Roman" w:hAnsi="Times New Roman" w:eastAsia="宋体" w:cs="Times New Roman"/>
                <w:color w:val="auto"/>
                <w:sz w:val="24"/>
                <w:szCs w:val="24"/>
                <w:lang w:val="en-US" w:eastAsia="zh-CN"/>
              </w:rPr>
              <w:t xml:space="preserve">   </w:t>
            </w:r>
            <w:r>
              <w:rPr>
                <w:rFonts w:hint="eastAsia" w:cs="Times New Roman"/>
                <w:color w:val="auto"/>
                <w:sz w:val="24"/>
                <w:szCs w:val="24"/>
                <w:lang w:val="en-US" w:eastAsia="zh-CN"/>
              </w:rPr>
              <w:t>李京田</w:t>
            </w:r>
            <w:r>
              <w:rPr>
                <w:rFonts w:hint="eastAsia" w:ascii="Times New Roman" w:hAnsi="Times New Roman" w:eastAsia="宋体" w:cs="Times New Roman"/>
                <w:color w:val="auto"/>
                <w:sz w:val="24"/>
                <w:szCs w:val="24"/>
                <w:lang w:val="en-US" w:eastAsia="zh-CN"/>
              </w:rPr>
              <w:t xml:space="preserve">  </w:t>
            </w:r>
            <w:r>
              <w:rPr>
                <w:rFonts w:hint="eastAsia" w:cs="Times New Roman"/>
                <w:color w:val="auto"/>
                <w:sz w:val="24"/>
                <w:szCs w:val="24"/>
                <w:lang w:val="en-US" w:eastAsia="zh-CN"/>
              </w:rPr>
              <w:t xml:space="preserve"> </w:t>
            </w:r>
            <w:r>
              <w:rPr>
                <w:rFonts w:hint="eastAsia"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rPr>
              <w:t>审核</w:t>
            </w:r>
            <w:r>
              <w:rPr>
                <w:rFonts w:hint="eastAsia" w:ascii="宋体" w:hAnsi="宋体" w:eastAsia="宋体" w:cs="宋体"/>
                <w:color w:val="auto"/>
                <w:sz w:val="24"/>
                <w:szCs w:val="24"/>
              </w:rPr>
              <w:t>时间：</w:t>
            </w:r>
            <w:r>
              <w:rPr>
                <w:rFonts w:hint="eastAsia" w:ascii="宋体" w:hAnsi="宋体" w:eastAsia="宋体" w:cs="宋体"/>
                <w:color w:val="auto"/>
                <w:sz w:val="24"/>
                <w:szCs w:val="24"/>
                <w:lang w:val="en-US" w:eastAsia="zh-CN"/>
              </w:rPr>
              <w:t>2021.</w:t>
            </w:r>
            <w:r>
              <w:rPr>
                <w:rFonts w:hint="eastAsia" w:ascii="宋体" w:hAnsi="宋体" w:cs="宋体"/>
                <w:color w:val="auto"/>
                <w:sz w:val="24"/>
                <w:szCs w:val="24"/>
                <w:lang w:val="en-US" w:eastAsia="zh-CN"/>
              </w:rPr>
              <w:t>11.9</w:t>
            </w:r>
          </w:p>
        </w:tc>
        <w:tc>
          <w:tcPr>
            <w:tcW w:w="1100"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489" w:type="dxa"/>
            <w:vAlign w:val="center"/>
          </w:tcPr>
          <w:p>
            <w:pPr>
              <w:snapToGrid w:val="0"/>
              <w:spacing w:line="320" w:lineRule="exact"/>
              <w:ind w:left="180" w:hanging="240" w:hangingChars="100"/>
              <w:jc w:val="left"/>
              <w:rPr>
                <w:rFonts w:hint="eastAsia" w:asciiTheme="minorEastAsia" w:hAnsiTheme="minorEastAsia" w:eastAsiaTheme="minorEastAsia" w:cstheme="minorEastAsia"/>
                <w:b w:val="0"/>
                <w:bCs w:val="0"/>
                <w:color w:val="auto"/>
                <w:sz w:val="18"/>
                <w:szCs w:val="18"/>
                <w:u w:val="none"/>
                <w:lang w:val="en-US" w:eastAsia="zh-CN"/>
              </w:rPr>
            </w:pPr>
            <w:r>
              <w:rPr>
                <w:rFonts w:hint="eastAsia" w:ascii="Times New Roman" w:hAnsi="Times New Roman" w:eastAsia="宋体" w:cs="Times New Roman"/>
                <w:color w:val="auto"/>
                <w:sz w:val="24"/>
                <w:szCs w:val="24"/>
              </w:rPr>
              <w:t>审核条款</w:t>
            </w:r>
            <w:r>
              <w:rPr>
                <w:rFonts w:hint="eastAsia" w:ascii="宋体" w:hAnsi="宋体" w:eastAsia="宋体" w:cs="宋体"/>
                <w:color w:val="auto"/>
                <w:sz w:val="24"/>
                <w:szCs w:val="24"/>
                <w:lang w:val="en-US" w:eastAsia="zh-CN"/>
              </w:rPr>
              <w:t>：</w:t>
            </w:r>
            <w:r>
              <w:rPr>
                <w:rFonts w:hint="eastAsia" w:asciiTheme="minorEastAsia" w:hAnsiTheme="minorEastAsia" w:eastAsiaTheme="minorEastAsia" w:cstheme="minorEastAsia"/>
                <w:b/>
                <w:bCs/>
                <w:color w:val="auto"/>
                <w:sz w:val="18"/>
                <w:szCs w:val="18"/>
                <w:lang w:val="en-US" w:eastAsia="zh-CN"/>
              </w:rPr>
              <w:t xml:space="preserve">En </w:t>
            </w:r>
            <w:r>
              <w:rPr>
                <w:rFonts w:hint="eastAsia" w:asciiTheme="minorEastAsia" w:hAnsiTheme="minorEastAsia" w:eastAsiaTheme="minorEastAsia" w:cstheme="minorEastAsia"/>
                <w:b w:val="0"/>
                <w:bCs w:val="0"/>
                <w:color w:val="auto"/>
                <w:sz w:val="18"/>
                <w:szCs w:val="18"/>
                <w:lang w:val="en-US" w:eastAsia="zh-CN"/>
              </w:rPr>
              <w:t>:</w:t>
            </w:r>
            <w:r>
              <w:rPr>
                <w:rFonts w:hint="eastAsia" w:ascii="宋体" w:hAnsi="宋体" w:eastAsia="宋体" w:cs="宋体"/>
                <w:color w:val="auto"/>
                <w:sz w:val="24"/>
                <w:szCs w:val="24"/>
                <w:lang w:val="en-US" w:eastAsia="zh-CN"/>
              </w:rPr>
              <w:t>5.3/6.2/7.2/7.3/7.4/7.5/8.1/9.1.2/9.2/10.1</w:t>
            </w:r>
          </w:p>
          <w:p>
            <w:pPr>
              <w:rPr>
                <w:rFonts w:hint="eastAsia" w:ascii="Times New Roman" w:hAnsi="Times New Roman" w:eastAsia="宋体" w:cs="Times New Roman"/>
                <w:color w:val="auto"/>
                <w:sz w:val="24"/>
                <w:szCs w:val="24"/>
                <w:lang w:val="en-US" w:eastAsia="zh-CN"/>
              </w:rPr>
            </w:pPr>
          </w:p>
        </w:tc>
        <w:tc>
          <w:tcPr>
            <w:tcW w:w="1100"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160" w:type="dxa"/>
            <w:vAlign w:val="top"/>
          </w:tcPr>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组织的岗位、职责和权限</w:t>
            </w:r>
          </w:p>
          <w:p>
            <w:pPr>
              <w:numPr>
                <w:ilvl w:val="0"/>
                <w:numId w:val="0"/>
              </w:numPr>
              <w:rPr>
                <w:rFonts w:hint="eastAsia" w:ascii="宋体" w:hAnsi="宋体" w:eastAsia="宋体" w:cs="宋体"/>
                <w:color w:val="auto"/>
                <w:sz w:val="24"/>
                <w:szCs w:val="24"/>
                <w:lang w:val="en-US" w:eastAsia="zh-CN"/>
              </w:rPr>
            </w:pPr>
          </w:p>
        </w:tc>
        <w:tc>
          <w:tcPr>
            <w:tcW w:w="960" w:type="dxa"/>
            <w:vAlign w:val="top"/>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En</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5.3 </w:t>
            </w:r>
          </w:p>
          <w:p>
            <w:pPr>
              <w:rPr>
                <w:rFonts w:hint="eastAsia" w:ascii="宋体" w:hAnsi="宋体" w:eastAsia="宋体" w:cs="宋体"/>
                <w:color w:val="auto"/>
                <w:sz w:val="24"/>
                <w:szCs w:val="24"/>
                <w:lang w:val="en-US" w:eastAsia="zh-CN"/>
              </w:rPr>
            </w:pPr>
          </w:p>
        </w:tc>
        <w:tc>
          <w:tcPr>
            <w:tcW w:w="10489" w:type="dxa"/>
            <w:vAlign w:val="top"/>
          </w:tcPr>
          <w:p>
            <w:pPr>
              <w:rPr>
                <w:rFonts w:hint="default"/>
                <w:color w:val="auto"/>
                <w:sz w:val="24"/>
                <w:szCs w:val="24"/>
                <w:lang w:val="en-US" w:eastAsia="zh-CN"/>
              </w:rPr>
            </w:pPr>
            <w:r>
              <w:rPr>
                <w:rFonts w:hint="eastAsia"/>
                <w:color w:val="auto"/>
                <w:sz w:val="24"/>
                <w:szCs w:val="24"/>
                <w:lang w:val="en-US" w:eastAsia="zh-CN"/>
              </w:rPr>
              <w:t>询问部门主要负责人：李玉苹</w:t>
            </w:r>
            <w:r>
              <w:rPr>
                <w:rFonts w:hint="default"/>
                <w:color w:val="auto"/>
                <w:sz w:val="24"/>
                <w:szCs w:val="24"/>
                <w:lang w:val="en-US" w:eastAsia="zh-CN"/>
              </w:rPr>
              <w:t xml:space="preserve">  </w:t>
            </w:r>
            <w:r>
              <w:rPr>
                <w:rFonts w:hint="eastAsia"/>
                <w:color w:val="auto"/>
                <w:sz w:val="24"/>
                <w:szCs w:val="24"/>
                <w:lang w:val="en-US" w:eastAsia="zh-CN"/>
              </w:rPr>
              <w:t xml:space="preserve">  </w:t>
            </w:r>
          </w:p>
          <w:p>
            <w:pPr>
              <w:rPr>
                <w:rFonts w:hint="eastAsia"/>
                <w:color w:val="auto"/>
                <w:sz w:val="24"/>
                <w:szCs w:val="24"/>
                <w:lang w:val="en-US" w:eastAsia="zh-CN"/>
              </w:rPr>
            </w:pPr>
            <w:r>
              <w:rPr>
                <w:rFonts w:hint="eastAsia"/>
                <w:color w:val="auto"/>
                <w:sz w:val="24"/>
                <w:szCs w:val="24"/>
                <w:lang w:val="en-US" w:eastAsia="zh-CN"/>
              </w:rPr>
              <w:t>主要工作内容和职责权限：</w:t>
            </w:r>
          </w:p>
          <w:p>
            <w:pPr>
              <w:rPr>
                <w:rFonts w:hint="eastAsia"/>
                <w:color w:val="auto"/>
                <w:sz w:val="24"/>
                <w:szCs w:val="24"/>
              </w:rPr>
            </w:pPr>
            <w:r>
              <w:rPr>
                <w:rFonts w:hint="eastAsia"/>
                <w:color w:val="auto"/>
                <w:sz w:val="24"/>
                <w:szCs w:val="24"/>
              </w:rPr>
              <w:t>主要负责公司人力资源管理（员工培训）；</w:t>
            </w:r>
          </w:p>
          <w:p>
            <w:pPr>
              <w:rPr>
                <w:rFonts w:hint="eastAsia"/>
                <w:color w:val="auto"/>
                <w:sz w:val="24"/>
                <w:szCs w:val="24"/>
              </w:rPr>
            </w:pPr>
            <w:r>
              <w:rPr>
                <w:rFonts w:hint="eastAsia"/>
                <w:color w:val="auto"/>
                <w:sz w:val="24"/>
                <w:szCs w:val="24"/>
                <w:lang w:val="en-US" w:eastAsia="zh-CN"/>
              </w:rPr>
              <w:t>En</w:t>
            </w:r>
            <w:r>
              <w:rPr>
                <w:rFonts w:hint="eastAsia"/>
                <w:color w:val="auto"/>
                <w:sz w:val="24"/>
                <w:szCs w:val="24"/>
              </w:rPr>
              <w:t>内外部文件管理；</w:t>
            </w:r>
          </w:p>
          <w:p>
            <w:pPr>
              <w:rPr>
                <w:rFonts w:hint="eastAsia"/>
                <w:color w:val="auto"/>
                <w:sz w:val="24"/>
                <w:szCs w:val="24"/>
              </w:rPr>
            </w:pPr>
            <w:r>
              <w:rPr>
                <w:rFonts w:hint="eastAsia"/>
                <w:color w:val="auto"/>
                <w:sz w:val="24"/>
                <w:szCs w:val="24"/>
                <w:lang w:val="en-US" w:eastAsia="zh-CN"/>
              </w:rPr>
              <w:t>En</w:t>
            </w:r>
            <w:r>
              <w:rPr>
                <w:rFonts w:hint="eastAsia"/>
                <w:color w:val="auto"/>
                <w:sz w:val="24"/>
                <w:szCs w:val="24"/>
              </w:rPr>
              <w:t>法律法规的获取、识别与合规性评价；</w:t>
            </w:r>
          </w:p>
          <w:p>
            <w:pPr>
              <w:rPr>
                <w:color w:val="auto"/>
                <w:sz w:val="24"/>
                <w:szCs w:val="24"/>
              </w:rPr>
            </w:pPr>
            <w:r>
              <w:rPr>
                <w:rFonts w:hint="eastAsia" w:ascii="宋体" w:hAnsi="宋体" w:eastAsia="宋体" w:cs="宋体"/>
                <w:color w:val="auto"/>
                <w:sz w:val="24"/>
                <w:szCs w:val="24"/>
                <w:lang w:val="en-US" w:eastAsia="zh-CN"/>
              </w:rPr>
              <w:t>En</w:t>
            </w:r>
            <w:r>
              <w:rPr>
                <w:rFonts w:hint="eastAsia"/>
                <w:color w:val="auto"/>
                <w:sz w:val="24"/>
                <w:szCs w:val="24"/>
              </w:rPr>
              <w:t>管理体系的内审以及不符合项的整改等</w:t>
            </w:r>
          </w:p>
          <w:p>
            <w:pPr>
              <w:rPr>
                <w:color w:val="auto"/>
                <w:sz w:val="24"/>
                <w:szCs w:val="24"/>
              </w:rPr>
            </w:pPr>
            <w:r>
              <w:rPr>
                <w:rFonts w:hint="eastAsia"/>
                <w:color w:val="auto"/>
                <w:sz w:val="24"/>
                <w:szCs w:val="24"/>
              </w:rPr>
              <w:t xml:space="preserve"> </w:t>
            </w:r>
            <w:r>
              <w:rPr>
                <w:color w:val="auto"/>
                <w:sz w:val="24"/>
                <w:szCs w:val="24"/>
              </w:rPr>
              <w:t xml:space="preserve">      </w:t>
            </w:r>
            <w:r>
              <w:rPr>
                <w:rFonts w:hint="eastAsia"/>
                <w:color w:val="auto"/>
                <w:sz w:val="24"/>
                <w:szCs w:val="24"/>
              </w:rPr>
              <w:t>出示有部门能源职责规定及岗位职责规定，内容基本符合要求。</w:t>
            </w:r>
          </w:p>
          <w:p>
            <w:pPr>
              <w:rPr>
                <w:rFonts w:hint="eastAsia" w:ascii="宋体" w:hAnsi="宋体" w:eastAsia="宋体" w:cs="宋体"/>
                <w:color w:val="auto"/>
                <w:sz w:val="24"/>
                <w:szCs w:val="24"/>
                <w:lang w:val="en-US" w:eastAsia="zh-CN"/>
              </w:rPr>
            </w:pPr>
          </w:p>
        </w:tc>
        <w:tc>
          <w:tcPr>
            <w:tcW w:w="1100" w:type="dxa"/>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160" w:type="dxa"/>
            <w:vAlign w:val="top"/>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目标，能源指标及其实现的策划</w:t>
            </w:r>
          </w:p>
          <w:p>
            <w:pPr>
              <w:rPr>
                <w:color w:val="auto"/>
              </w:rPr>
            </w:pPr>
            <w:r>
              <w:rPr>
                <w:rFonts w:hint="eastAsia" w:ascii="宋体" w:hAnsi="宋体" w:cs="宋体"/>
                <w:color w:val="auto"/>
                <w:sz w:val="24"/>
                <w:szCs w:val="24"/>
                <w:lang w:val="en-US" w:eastAsia="zh-CN"/>
              </w:rPr>
              <w:t xml:space="preserve"> </w:t>
            </w:r>
          </w:p>
        </w:tc>
        <w:tc>
          <w:tcPr>
            <w:tcW w:w="960" w:type="dxa"/>
            <w:vAlign w:val="top"/>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En</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6.2 </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w:t>
            </w:r>
          </w:p>
        </w:tc>
        <w:tc>
          <w:tcPr>
            <w:tcW w:w="10489" w:type="dxa"/>
            <w:vAlign w:val="top"/>
          </w:tcPr>
          <w:p>
            <w:pPr>
              <w:ind w:firstLine="420" w:firstLineChars="200"/>
              <w:rPr>
                <w:rFonts w:ascii="宋体" w:hAnsi="宋体" w:cs="宋体"/>
                <w:color w:val="auto"/>
                <w:szCs w:val="21"/>
              </w:rPr>
            </w:pPr>
            <w:r>
              <w:rPr>
                <w:rFonts w:hint="eastAsia" w:ascii="宋体" w:hAnsi="宋体" w:cs="宋体"/>
                <w:color w:val="auto"/>
                <w:szCs w:val="21"/>
              </w:rPr>
              <w:t>执行《管理手册》及《方针目标管理制度》</w:t>
            </w:r>
          </w:p>
          <w:p>
            <w:pPr>
              <w:pStyle w:val="11"/>
              <w:ind w:left="0" w:leftChars="0" w:firstLine="0" w:firstLineChars="0"/>
              <w:rPr>
                <w:rFonts w:hint="eastAsia" w:ascii="宋体" w:hAnsi="宋体" w:eastAsia="宋体" w:cs="宋体"/>
                <w:color w:val="auto"/>
                <w:sz w:val="24"/>
                <w:szCs w:val="24"/>
                <w:lang w:val="en-US" w:eastAsia="zh-CN"/>
              </w:rPr>
            </w:pPr>
          </w:p>
          <w:p>
            <w:pPr>
              <w:pStyle w:val="11"/>
              <w:ind w:left="0" w:leftChars="0" w:firstLine="0" w:firstLineChars="0"/>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能源：</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编制了文件化的《目标、能源指标及管理方案》；</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本部门执行公司的能源总目标；</w:t>
            </w:r>
          </w:p>
          <w:p>
            <w:p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日常办公注意节水节电、节约汽油及其他办公耗材的消耗、避免不必要的浪费；</w:t>
            </w:r>
          </w:p>
          <w:p>
            <w:pP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 xml:space="preserve"> </w:t>
            </w:r>
          </w:p>
        </w:tc>
        <w:tc>
          <w:tcPr>
            <w:tcW w:w="1100" w:type="dxa"/>
            <w:vAlign w:val="top"/>
          </w:tcPr>
          <w:p>
            <w:pPr>
              <w:rPr>
                <w:color w:val="auto"/>
              </w:rPr>
            </w:pPr>
            <w:r>
              <w:rPr>
                <w:rFonts w:hint="eastAsia" w:ascii="宋体" w:hAnsi="宋体" w:cs="宋体"/>
                <w:color w:val="auto"/>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2160" w:type="dxa"/>
            <w:vAlign w:val="center"/>
          </w:tcPr>
          <w:p>
            <w:pPr>
              <w:rPr>
                <w:rFonts w:hint="default" w:ascii="宋体" w:hAnsi="宋体" w:cs="宋体"/>
                <w:color w:val="auto"/>
                <w:sz w:val="24"/>
                <w:szCs w:val="24"/>
                <w:lang w:val="en-US" w:eastAsia="zh-CN"/>
              </w:rPr>
            </w:pPr>
            <w:r>
              <w:rPr>
                <w:rFonts w:hint="eastAsia"/>
                <w:color w:val="auto"/>
                <w:szCs w:val="21"/>
              </w:rPr>
              <w:t>人员、能力、培训</w:t>
            </w:r>
          </w:p>
        </w:tc>
        <w:tc>
          <w:tcPr>
            <w:tcW w:w="960" w:type="dxa"/>
            <w:vAlign w:val="center"/>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En</w:t>
            </w:r>
          </w:p>
          <w:p>
            <w:pPr>
              <w:rPr>
                <w:rFonts w:hint="eastAsia" w:eastAsia="宋体"/>
                <w:color w:val="auto"/>
                <w:szCs w:val="21"/>
                <w:lang w:val="en-US" w:eastAsia="zh-CN"/>
              </w:rPr>
            </w:pPr>
            <w:r>
              <w:rPr>
                <w:color w:val="auto"/>
                <w:szCs w:val="21"/>
              </w:rPr>
              <w:t>7.</w:t>
            </w:r>
            <w:r>
              <w:rPr>
                <w:rFonts w:hint="eastAsia"/>
                <w:color w:val="auto"/>
                <w:szCs w:val="21"/>
                <w:lang w:val="en-US" w:eastAsia="zh-CN"/>
              </w:rPr>
              <w:t>2</w:t>
            </w:r>
          </w:p>
          <w:p>
            <w:pPr>
              <w:pStyle w:val="15"/>
              <w:rPr>
                <w:color w:val="auto"/>
              </w:rPr>
            </w:pP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En</w:t>
            </w:r>
          </w:p>
          <w:p>
            <w:pPr>
              <w:rPr>
                <w:rFonts w:hint="eastAsia" w:eastAsia="宋体"/>
                <w:color w:val="auto"/>
                <w:szCs w:val="21"/>
                <w:highlight w:val="red"/>
                <w:lang w:val="en-US" w:eastAsia="zh-CN"/>
              </w:rPr>
            </w:pPr>
            <w:r>
              <w:rPr>
                <w:rFonts w:hint="eastAsia"/>
                <w:color w:val="auto"/>
                <w:szCs w:val="21"/>
              </w:rPr>
              <w:t>7.</w:t>
            </w:r>
            <w:r>
              <w:rPr>
                <w:rFonts w:hint="eastAsia"/>
                <w:color w:val="auto"/>
                <w:szCs w:val="21"/>
                <w:lang w:val="en-US" w:eastAsia="zh-CN"/>
              </w:rPr>
              <w:t>3</w:t>
            </w:r>
          </w:p>
          <w:p>
            <w:pPr>
              <w:rPr>
                <w:rFonts w:hint="default" w:ascii="宋体" w:hAnsi="宋体" w:eastAsia="宋体" w:cs="宋体"/>
                <w:color w:val="auto"/>
                <w:sz w:val="24"/>
                <w:szCs w:val="24"/>
                <w:lang w:val="en-US" w:eastAsia="zh-CN"/>
              </w:rPr>
            </w:pPr>
          </w:p>
        </w:tc>
        <w:tc>
          <w:tcPr>
            <w:tcW w:w="10489" w:type="dxa"/>
            <w:vAlign w:val="center"/>
          </w:tcPr>
          <w:p>
            <w:pPr>
              <w:rPr>
                <w:rFonts w:hint="eastAsia" w:ascii="宋体" w:hAnsi="宋体" w:eastAsia="宋体" w:cs="宋体"/>
                <w:color w:val="auto"/>
                <w:sz w:val="24"/>
                <w:szCs w:val="24"/>
                <w:lang w:val="en-US" w:eastAsia="zh-CN"/>
              </w:rPr>
            </w:pPr>
            <w:r>
              <w:rPr>
                <w:rFonts w:hint="eastAsia" w:ascii="Times New Roman" w:hAnsi="Times New Roman"/>
                <w:color w:val="auto"/>
                <w:szCs w:val="21"/>
              </w:rPr>
              <w:t>组织在手册中，对企业在职人员进行了人员能力与意识的要求，编制《能力、意识、培训控制程序》和《岗位描述书》，规定了控制要求。对企业的人力资源的培养和发展等作出规定，专业技术人员、特种作业人员等人力资源作出了规划。部门又根据自己部门的特点提供《绩效考核规定》，对员工的绩效进行考核，并与员工的工资相挂钩，查</w:t>
            </w:r>
            <w:r>
              <w:rPr>
                <w:rFonts w:hint="eastAsia" w:ascii="Times New Roman" w:hAnsi="Times New Roman"/>
                <w:color w:val="auto"/>
                <w:szCs w:val="21"/>
                <w:lang w:eastAsia="zh-CN"/>
              </w:rPr>
              <w:t>202</w:t>
            </w:r>
            <w:r>
              <w:rPr>
                <w:rFonts w:hint="eastAsia" w:ascii="Times New Roman" w:hAnsi="Times New Roman"/>
                <w:color w:val="auto"/>
                <w:szCs w:val="21"/>
                <w:lang w:val="en-US" w:eastAsia="zh-CN"/>
              </w:rPr>
              <w:t>1</w:t>
            </w:r>
            <w:r>
              <w:rPr>
                <w:rFonts w:hint="eastAsia" w:ascii="Times New Roman" w:hAnsi="Times New Roman"/>
                <w:color w:val="auto"/>
                <w:szCs w:val="21"/>
              </w:rPr>
              <w:t>年</w:t>
            </w:r>
            <w:r>
              <w:rPr>
                <w:rFonts w:hint="eastAsia" w:ascii="Times New Roman" w:hAnsi="Times New Roman"/>
                <w:color w:val="auto"/>
                <w:szCs w:val="21"/>
                <w:lang w:val="en-US" w:eastAsia="zh-CN"/>
              </w:rPr>
              <w:t>1</w:t>
            </w:r>
            <w:r>
              <w:rPr>
                <w:rFonts w:hint="eastAsia" w:ascii="Times New Roman" w:hAnsi="Times New Roman"/>
                <w:color w:val="auto"/>
                <w:szCs w:val="21"/>
              </w:rPr>
              <w:t>月的考核记录，考核结果基本达成设定的目标值，考核基本与办法保持一致。《岗位描述书》对总经理、管代、内审员、销售员等岗位人员的任职要求从能力、意识、学历、经历、技能等方面作出规定</w:t>
            </w:r>
            <w:r>
              <w:rPr>
                <w:rFonts w:hint="eastAsia" w:ascii="宋体" w:hAnsi="宋体" w:eastAsia="宋体" w:cs="宋体"/>
                <w:color w:val="auto"/>
                <w:sz w:val="24"/>
                <w:szCs w:val="24"/>
                <w:lang w:val="en-US" w:eastAsia="zh-CN"/>
              </w:rPr>
              <w:t>。</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抽查李玉苹、黄业明</w:t>
            </w:r>
            <w:r>
              <w:rPr>
                <w:rFonts w:hint="default"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val="en-US" w:eastAsia="zh-CN"/>
              </w:rPr>
              <w:t>、谭明军等均满足任职要求。</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企业发展规划、现状及各部门意见，人力资源部制定年度培训计划，提供《2021年培训计划》，有培训记录、受培训部门参加培训人员培训方式培训内容考核方式等内容，显示安排标准、管理手册和程序、法律法规和其他要求、方针、节能、环境因素和关键特殊施工过程控制培训、意识教育、新员工等培训。编制综合部  ，批准 谭明军，日期：2021.1.10。</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培训题目：管理手册及程序文件等文件培训；法律法规常识等，实施</w:t>
            </w:r>
            <w:r>
              <w:rPr>
                <w:rFonts w:hint="eastAsia" w:ascii="宋体" w:hAnsi="宋体" w:eastAsia="宋体" w:cs="宋体"/>
                <w:color w:val="auto"/>
                <w:sz w:val="24"/>
                <w:szCs w:val="24"/>
                <w:lang w:val="en-US" w:eastAsia="zh-CN"/>
              </w:rPr>
              <w:t>En管理体系的意义。向全体员工讲解贯彻标准的意义。并在培训结束后策划本公司管理体系的建立、实施过程。学习手册、程序文件编写格式。培训地点：会议室。</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抽1：2021年1月14日，在会议室进行了管理体系内审员培训，参加人员郭汉峰、姜红梅  余春鹏  吕宏伟  石华伟等；培训效果评价  达到预期效果。评价人：刘老师。</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抽2培训时间：2021.3.10，培训人李老师，培训人员：全体等 。培训有效性评价：培训内容：ISO50001：2018标准知识、概念培训，培训取得预期效果。评价人：李老师。 </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抽3、2021 .1.15培训记录：管理手册、程序文件培训。培训取得预期效果。参加人员：全体。训有效性评价：培训取得预期效果。评价人：李老师。</w:t>
            </w:r>
          </w:p>
          <w:p>
            <w:pPr>
              <w:rPr>
                <w:rFonts w:hint="eastAsia" w:ascii="宋体" w:hAnsi="宋体" w:eastAsia="宋体" w:cs="宋体"/>
                <w:color w:val="auto"/>
                <w:sz w:val="24"/>
                <w:szCs w:val="24"/>
                <w:lang w:val="en-US" w:eastAsia="zh-CN"/>
              </w:rPr>
            </w:pP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通过下发文件、能力提升培训等方式使公司控制范围内开展工作的人员知晓管理方针及相关的能源及环节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抽查一名员工，询问公司质量方针和目标，及对方针的了解，能够正确回答。  人力资源控制基本满足要求。</w:t>
            </w:r>
          </w:p>
          <w:p>
            <w:pPr>
              <w:pStyle w:val="15"/>
              <w:ind w:firstLine="460" w:firstLineChars="200"/>
              <w:rPr>
                <w:rFonts w:hint="eastAsia"/>
                <w:color w:val="auto"/>
                <w:szCs w:val="21"/>
                <w:lang w:val="en-US" w:eastAsia="zh-CN"/>
              </w:rPr>
            </w:pPr>
          </w:p>
        </w:tc>
        <w:tc>
          <w:tcPr>
            <w:tcW w:w="1100" w:type="dxa"/>
            <w:vAlign w:val="top"/>
          </w:tcPr>
          <w:p>
            <w:pPr>
              <w:rPr>
                <w:rFonts w:hint="default" w:eastAsia="宋体"/>
                <w:color w:val="auto"/>
                <w:lang w:val="en-US" w:eastAsia="zh-CN"/>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2160" w:type="dxa"/>
            <w:vAlign w:val="top"/>
          </w:tcPr>
          <w:p>
            <w:pP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信息交流</w:t>
            </w:r>
          </w:p>
        </w:tc>
        <w:tc>
          <w:tcPr>
            <w:tcW w:w="960" w:type="dxa"/>
            <w:vAlign w:val="top"/>
          </w:tcPr>
          <w:p>
            <w:pP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7.4</w:t>
            </w:r>
          </w:p>
        </w:tc>
        <w:tc>
          <w:tcPr>
            <w:tcW w:w="10489" w:type="dxa"/>
            <w:vAlign w:val="top"/>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策划编制的程序文件《信息交流控制程序》及管理手册的相关章节规定了企业内、外部沟通和协商的要求，经查阅和交谈符合标准要求。</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总经理负责在公司建立畅通的沟通渠道。管理者代表是公司内部和外部信息交流和沟通的负责人。综合</w:t>
            </w:r>
            <w:r>
              <w:rPr>
                <w:rFonts w:hint="eastAsia" w:ascii="宋体" w:hAnsi="宋体" w:cs="宋体"/>
                <w:color w:val="auto"/>
                <w:sz w:val="24"/>
                <w:szCs w:val="24"/>
                <w:lang w:val="en-US" w:eastAsia="zh-CN"/>
              </w:rPr>
              <w:t>管理</w:t>
            </w:r>
            <w:r>
              <w:rPr>
                <w:rFonts w:hint="eastAsia" w:ascii="宋体" w:hAnsi="宋体" w:eastAsia="宋体" w:cs="宋体"/>
                <w:color w:val="auto"/>
                <w:sz w:val="24"/>
                <w:szCs w:val="24"/>
                <w:lang w:val="en-US" w:eastAsia="zh-CN"/>
              </w:rPr>
              <w:t>部是公司内部和外部信息交流和协商的归口综合部。负责与上级主管部门及周边单位的信息交流；负责与管理体系、法律法规等有关的内部和外部信息交流；负责与采购供方、客户等相关方之间的沟通。各部门收集到有关能源管理及节能方面的信息，包括法律法规等，及时向综合部反馈。项目部负责顾客要求方面的有关事宜的沟通。</w:t>
            </w:r>
          </w:p>
          <w:p>
            <w:pP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目前各项沟通都较为及时、顺畅、效果较好。</w:t>
            </w:r>
          </w:p>
        </w:tc>
        <w:tc>
          <w:tcPr>
            <w:tcW w:w="1100" w:type="dxa"/>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2160" w:type="dxa"/>
            <w:vAlign w:val="top"/>
          </w:tcPr>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形成文件的信息 </w:t>
            </w:r>
          </w:p>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总则 </w:t>
            </w:r>
          </w:p>
          <w:p>
            <w:pPr>
              <w:rPr>
                <w:rFonts w:hint="eastAsia" w:ascii="宋体" w:hAnsi="宋体" w:eastAsia="宋体" w:cs="宋体"/>
                <w:color w:val="auto"/>
                <w:kern w:val="2"/>
                <w:sz w:val="24"/>
                <w:szCs w:val="24"/>
                <w:lang w:val="en-US" w:eastAsia="zh-CN" w:bidi="ar-SA"/>
              </w:rPr>
            </w:pPr>
          </w:p>
        </w:tc>
        <w:tc>
          <w:tcPr>
            <w:tcW w:w="960" w:type="dxa"/>
            <w:vAlign w:val="top"/>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7.5 </w:t>
            </w:r>
          </w:p>
          <w:p>
            <w:pPr>
              <w:rPr>
                <w:rFonts w:hint="default" w:ascii="宋体" w:hAnsi="宋体" w:eastAsia="宋体" w:cs="宋体"/>
                <w:color w:val="auto"/>
                <w:kern w:val="2"/>
                <w:sz w:val="24"/>
                <w:szCs w:val="24"/>
                <w:lang w:val="en-US" w:eastAsia="zh-CN" w:bidi="ar-SA"/>
              </w:rPr>
            </w:pPr>
          </w:p>
        </w:tc>
        <w:tc>
          <w:tcPr>
            <w:tcW w:w="10489" w:type="dxa"/>
            <w:vAlign w:val="top"/>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公司对管理体系文件控制进行了策划，形成了文件化的管理手册、程序文件、三层次管理文件以及所要求的记录。</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公司编制的程序文件符合标准要求的所有程序文件，第三层次文件对体系及其相互关系在手册中做了描述，记录表单满足公司目前的管理体系运行的需要。</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公司文件分类：一级文件：管理手册。</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二级文件：公司编制了程序文件，包括能源标准要求的所有程序。</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三层次文件：制度和作业指导书，外来文件：包括产品国家标准，能源及运行记录，满足公司目前的管理体系运行的需要。体系文件基本能保证有效性和效率的要求。</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查公司按照文审要求对管理手册进行了修改，符合要求。</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公司编制并实施了《文件管理程序》，文件包括：手册、程序文件及产品生产过程质量检查考核标准、固废管理制度、安全教育管理制度等。</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查管理手册、程序文件等文件，编制：</w:t>
            </w:r>
            <w:r>
              <w:rPr>
                <w:rFonts w:hint="eastAsia" w:ascii="宋体" w:hAnsi="宋体" w:cs="宋体"/>
                <w:color w:val="auto"/>
                <w:sz w:val="24"/>
                <w:szCs w:val="24"/>
                <w:lang w:val="en-US" w:eastAsia="zh-CN"/>
              </w:rPr>
              <w:t>综合部</w:t>
            </w:r>
            <w:r>
              <w:rPr>
                <w:rFonts w:hint="eastAsia" w:ascii="宋体" w:hAnsi="宋体" w:eastAsia="宋体" w:cs="宋体"/>
                <w:color w:val="auto"/>
                <w:sz w:val="24"/>
                <w:szCs w:val="24"/>
                <w:lang w:val="en-US" w:eastAsia="zh-CN"/>
              </w:rPr>
              <w:t>，批准：总经理，查文件编审批齐全、文件清晰符合文件控制程序基本要求。查综合部文件，为有效版本。</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查外来文件：与产品要求和质量、环境、职业健康安全管理体系运行有关的国家法律法规、标准等；行业、地方颁布的条例、标准、规范、规程、办法等，查外来文件具体有能源体系标准等，如《中华人民共和国节约能源法》、《企业能源审计技术通则》、《GBT2589《综合能耗计算通则》》、《GBT 15587-2008 工业企业能源管理导则》、《GBT 13234-2009 企业节能量计算方法》等。</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查文件发放：综合办下发了能源管理手册、程序文件等文件。</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查文件有标识，检索方便，文件夹存放于文件柜内，防护符合要求。</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公司按《记录管理程序》实施对管理体系记录的标识、贮存、保护、检索、保存期限和处置等按规定实施。</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公司提供《记录清单》包括有内审报告、供方评价表、管理评审报告等记录。明确了记录名称、编号、使用保存部门、保存期限等，并经审核后使用。</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公司各种记录由各使用部门保存，查阅综合部保存的记录环境情况，归档文件、记录存放于文件柜内，环境干燥、通风，符合文件归档的要求。</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抽查归档文件整理情况，综合部已将文件进行了分类，按记录的名称、编号及时间装文件袋进行归档，记录清洁，字迹清晰，检索方便，抽查有内部审核资料、管理评审资料等，均已装订成册。</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提供了作废文件记录：有作废理由、作废日期及申请部门、审核人签字，目前无作废文件记录。</w:t>
            </w:r>
          </w:p>
          <w:p>
            <w:pP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文件记录控制基本有效。</w:t>
            </w:r>
          </w:p>
        </w:tc>
        <w:tc>
          <w:tcPr>
            <w:tcW w:w="1100" w:type="dxa"/>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运行策划和控制</w:t>
            </w:r>
          </w:p>
        </w:tc>
        <w:tc>
          <w:tcPr>
            <w:tcW w:w="960" w:type="dxa"/>
            <w:vAlign w:val="top"/>
          </w:tcPr>
          <w:p>
            <w:pP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8.1</w:t>
            </w:r>
          </w:p>
        </w:tc>
        <w:tc>
          <w:tcPr>
            <w:tcW w:w="10489" w:type="dxa"/>
            <w:vAlign w:val="top"/>
          </w:tcPr>
          <w:p>
            <w:pPr>
              <w:rPr>
                <w:rFonts w:hint="eastAsia"/>
                <w:color w:val="auto"/>
                <w:lang w:val="en-US" w:eastAsia="zh-CN"/>
              </w:rPr>
            </w:pPr>
            <w:r>
              <w:rPr>
                <w:rFonts w:hint="eastAsia"/>
                <w:color w:val="auto"/>
                <w:lang w:val="en-US" w:eastAsia="zh-CN"/>
              </w:rPr>
              <w:t>编制了《能源管理制度》、《节能降耗管理制度》、《设备管理制度》等；</w:t>
            </w:r>
          </w:p>
          <w:p>
            <w:pPr>
              <w:rPr>
                <w:rFonts w:hint="default"/>
                <w:color w:val="auto"/>
                <w:lang w:val="en-US" w:eastAsia="zh-CN"/>
              </w:rPr>
            </w:pPr>
            <w:r>
              <w:rPr>
                <w:rFonts w:hint="eastAsia"/>
                <w:color w:val="auto"/>
                <w:lang w:val="en-US" w:eastAsia="zh-CN"/>
              </w:rPr>
              <w:t>运行情况：</w:t>
            </w:r>
          </w:p>
          <w:p>
            <w:pPr>
              <w:rPr>
                <w:rFonts w:hint="default"/>
                <w:color w:val="auto"/>
                <w:lang w:val="en-US" w:eastAsia="zh-CN"/>
              </w:rPr>
            </w:pPr>
            <w:r>
              <w:rPr>
                <w:rFonts w:hint="eastAsia"/>
                <w:color w:val="auto"/>
                <w:lang w:val="en-US" w:eastAsia="zh-CN"/>
              </w:rPr>
              <w:t>1节电控制：综合部</w:t>
            </w:r>
            <w:r>
              <w:rPr>
                <w:rFonts w:hint="default"/>
                <w:color w:val="auto"/>
                <w:lang w:val="en-US" w:eastAsia="zh-CN"/>
              </w:rPr>
              <w:t>全体人员树立节约用电、安全用电意识。在工作需要时开灯，人离</w:t>
            </w:r>
            <w:r>
              <w:rPr>
                <w:rFonts w:hint="eastAsia"/>
                <w:color w:val="auto"/>
                <w:lang w:val="en-US" w:eastAsia="zh-CN"/>
              </w:rPr>
              <w:t>综合部</w:t>
            </w:r>
            <w:r>
              <w:rPr>
                <w:rFonts w:hint="default"/>
                <w:color w:val="auto"/>
                <w:lang w:val="en-US" w:eastAsia="zh-CN"/>
              </w:rPr>
              <w:t xml:space="preserve">必须随手关灯，光线好的房间，必须关闭照明设备。。走廊、楼道里的灯要随手关闭，办公场所应关闭不必要的夜间照明。  </w:t>
            </w:r>
            <w:r>
              <w:rPr>
                <w:rFonts w:hint="eastAsia"/>
                <w:color w:val="auto"/>
                <w:lang w:val="en-US" w:eastAsia="zh-CN"/>
              </w:rPr>
              <w:t>现场观察符合要求</w:t>
            </w:r>
          </w:p>
          <w:p>
            <w:pPr>
              <w:rPr>
                <w:rFonts w:hint="default"/>
                <w:color w:val="auto"/>
                <w:lang w:val="en-US" w:eastAsia="zh-CN"/>
              </w:rPr>
            </w:pPr>
            <w:r>
              <w:rPr>
                <w:rFonts w:hint="default"/>
                <w:color w:val="auto"/>
                <w:lang w:val="en-US" w:eastAsia="zh-CN"/>
              </w:rPr>
              <w:t xml:space="preserve"> </w:t>
            </w:r>
            <w:r>
              <w:rPr>
                <w:rFonts w:hint="eastAsia"/>
                <w:color w:val="auto"/>
                <w:lang w:val="en-US" w:eastAsia="zh-CN"/>
              </w:rPr>
              <w:t>2</w:t>
            </w:r>
            <w:r>
              <w:rPr>
                <w:rFonts w:hint="default"/>
                <w:color w:val="auto"/>
                <w:lang w:val="en-US" w:eastAsia="zh-CN"/>
              </w:rPr>
              <w:t>尽量少用空调设备，必须使用空调时，按统一规定执行。如发现下班后未关闭空调设备，对部门负责人</w:t>
            </w:r>
            <w:r>
              <w:rPr>
                <w:rFonts w:hint="eastAsia"/>
                <w:color w:val="auto"/>
                <w:lang w:val="en-US" w:eastAsia="zh-CN"/>
              </w:rPr>
              <w:t>进行批评教育，现场观察符合要求</w:t>
            </w:r>
          </w:p>
          <w:p>
            <w:pPr>
              <w:rPr>
                <w:rFonts w:hint="eastAsia"/>
                <w:color w:val="auto"/>
                <w:lang w:val="en-US" w:eastAsia="zh-CN"/>
              </w:rPr>
            </w:pPr>
            <w:r>
              <w:rPr>
                <w:rFonts w:hint="eastAsia"/>
                <w:color w:val="auto"/>
                <w:lang w:val="en-US" w:eastAsia="zh-CN"/>
              </w:rPr>
              <w:t>3</w:t>
            </w:r>
            <w:r>
              <w:rPr>
                <w:rFonts w:hint="default"/>
                <w:color w:val="auto"/>
                <w:lang w:val="en-US" w:eastAsia="zh-CN"/>
              </w:rPr>
              <w:t xml:space="preserve">电脑设备不使用时，要进入低能耗休眠状态，减少待机能耗。工作完后，及时关闭计算机、打印机、传真机等设备，下班后无待机现象。  </w:t>
            </w:r>
            <w:r>
              <w:rPr>
                <w:rFonts w:hint="eastAsia"/>
                <w:color w:val="auto"/>
                <w:lang w:val="en-US" w:eastAsia="zh-CN"/>
              </w:rPr>
              <w:t>现场观察符合要求</w:t>
            </w:r>
          </w:p>
          <w:p>
            <w:pPr>
              <w:rPr>
                <w:rFonts w:hint="default"/>
                <w:color w:val="auto"/>
                <w:lang w:val="en-US" w:eastAsia="zh-CN"/>
              </w:rPr>
            </w:pPr>
            <w:r>
              <w:rPr>
                <w:rFonts w:hint="eastAsia"/>
                <w:color w:val="auto"/>
                <w:lang w:val="en-US" w:eastAsia="zh-CN"/>
              </w:rPr>
              <w:t>4</w:t>
            </w:r>
            <w:r>
              <w:rPr>
                <w:rFonts w:hint="default"/>
                <w:color w:val="auto"/>
                <w:lang w:val="en-US" w:eastAsia="zh-CN"/>
              </w:rPr>
              <w:t>各</w:t>
            </w:r>
            <w:r>
              <w:rPr>
                <w:rFonts w:hint="eastAsia"/>
                <w:color w:val="auto"/>
                <w:lang w:val="en-US" w:eastAsia="zh-CN"/>
              </w:rPr>
              <w:t>综合部</w:t>
            </w:r>
            <w:r>
              <w:rPr>
                <w:rFonts w:hint="default"/>
                <w:color w:val="auto"/>
                <w:lang w:val="en-US" w:eastAsia="zh-CN"/>
              </w:rPr>
              <w:t>电脑、空调、电扇、饮水机等一切电器设备应在下班时确保关闭</w:t>
            </w:r>
            <w:r>
              <w:rPr>
                <w:rFonts w:hint="eastAsia"/>
                <w:color w:val="auto"/>
                <w:lang w:val="en-US" w:eastAsia="zh-CN"/>
              </w:rPr>
              <w:t>.现场观察，符合要求</w:t>
            </w:r>
          </w:p>
          <w:p>
            <w:pPr>
              <w:rPr>
                <w:rFonts w:hint="eastAsia"/>
                <w:color w:val="auto"/>
                <w:lang w:val="en-US" w:eastAsia="zh-CN"/>
              </w:rPr>
            </w:pPr>
            <w:r>
              <w:rPr>
                <w:rFonts w:hint="eastAsia"/>
                <w:color w:val="auto"/>
                <w:lang w:val="en-US" w:eastAsia="zh-CN"/>
              </w:rPr>
              <w:t>5</w:t>
            </w:r>
            <w:r>
              <w:rPr>
                <w:rFonts w:hint="default"/>
                <w:color w:val="auto"/>
                <w:lang w:val="en-US" w:eastAsia="zh-CN"/>
              </w:rPr>
              <w:t>严禁在</w:t>
            </w:r>
            <w:r>
              <w:rPr>
                <w:rFonts w:hint="eastAsia"/>
                <w:color w:val="auto"/>
                <w:lang w:val="en-US" w:eastAsia="zh-CN"/>
              </w:rPr>
              <w:t>综合部</w:t>
            </w:r>
            <w:r>
              <w:rPr>
                <w:rFonts w:hint="default"/>
                <w:color w:val="auto"/>
                <w:lang w:val="en-US" w:eastAsia="zh-CN"/>
              </w:rPr>
              <w:t>使用电炉、电暖气、电热水壶等高压负荷电器，不得随意搭接电线设备</w:t>
            </w:r>
            <w:r>
              <w:rPr>
                <w:rFonts w:hint="eastAsia"/>
                <w:color w:val="auto"/>
                <w:lang w:val="en-US" w:eastAsia="zh-CN"/>
              </w:rPr>
              <w:t>.现场观察符合要求</w:t>
            </w:r>
          </w:p>
          <w:p>
            <w:pPr>
              <w:rPr>
                <w:rFonts w:hint="eastAsia"/>
                <w:color w:val="auto"/>
                <w:lang w:val="en-US" w:eastAsia="zh-CN"/>
              </w:rPr>
            </w:pPr>
            <w:r>
              <w:rPr>
                <w:rFonts w:hint="eastAsia"/>
                <w:color w:val="auto"/>
                <w:lang w:val="en-US" w:eastAsia="zh-CN"/>
              </w:rPr>
              <w:t>综合部区域：节水，水龙头没有滴水情况，中水擦地、浇水、冲厕所</w:t>
            </w:r>
          </w:p>
          <w:p>
            <w:pPr>
              <w:rPr>
                <w:rFonts w:hint="default"/>
                <w:color w:val="auto"/>
                <w:lang w:val="en-US" w:eastAsia="zh-CN"/>
              </w:rPr>
            </w:pPr>
            <w:r>
              <w:rPr>
                <w:rFonts w:hint="eastAsia"/>
                <w:color w:val="auto"/>
                <w:lang w:val="en-US" w:eastAsia="zh-CN"/>
              </w:rPr>
              <w:t>能源管理：现场采用声控节能灯，未发现有漏水和浪费电能的现象。</w:t>
            </w:r>
          </w:p>
          <w:p>
            <w:pPr>
              <w:pStyle w:val="2"/>
              <w:rPr>
                <w:rFonts w:hint="eastAsia"/>
                <w:color w:val="auto"/>
                <w:highlight w:val="yellow"/>
                <w:lang w:val="en-US" w:eastAsia="zh-CN"/>
              </w:rPr>
            </w:pPr>
            <w:r>
              <w:rPr>
                <w:rFonts w:hint="eastAsia"/>
                <w:color w:val="auto"/>
                <w:highlight w:val="yellow"/>
                <w:lang w:val="en-US" w:eastAsia="zh-CN"/>
              </w:rPr>
              <w:t>查：财务资金保障</w:t>
            </w:r>
          </w:p>
          <w:p>
            <w:pPr>
              <w:rPr>
                <w:rFonts w:hint="eastAsia"/>
                <w:color w:val="auto"/>
                <w:highlight w:val="yellow"/>
                <w:lang w:val="en-US" w:eastAsia="zh-CN"/>
              </w:rPr>
            </w:pPr>
            <w:r>
              <w:rPr>
                <w:rFonts w:hint="eastAsia"/>
                <w:color w:val="auto"/>
                <w:highlight w:val="yellow"/>
                <w:lang w:val="en-US" w:eastAsia="zh-CN"/>
              </w:rPr>
              <w:t>提供2021年财务资金情况：</w:t>
            </w:r>
          </w:p>
          <w:p>
            <w:pPr>
              <w:rPr>
                <w:rFonts w:hint="eastAsia"/>
                <w:color w:val="auto"/>
                <w:highlight w:val="yellow"/>
                <w:lang w:val="en-US" w:eastAsia="zh-CN"/>
              </w:rPr>
            </w:pPr>
            <w:r>
              <w:rPr>
                <w:rFonts w:hint="eastAsia"/>
                <w:color w:val="auto"/>
                <w:highlight w:val="yellow"/>
                <w:lang w:val="en-US" w:eastAsia="zh-CN"/>
              </w:rPr>
              <w:t>2021年1-9月电力资金：871544.9元</w:t>
            </w:r>
          </w:p>
          <w:p>
            <w:pPr>
              <w:rPr>
                <w:rFonts w:hint="eastAsia"/>
                <w:color w:val="auto"/>
                <w:highlight w:val="yellow"/>
                <w:lang w:val="en-US" w:eastAsia="zh-CN"/>
              </w:rPr>
            </w:pPr>
            <w:r>
              <w:rPr>
                <w:rFonts w:hint="eastAsia"/>
                <w:color w:val="auto"/>
                <w:highlight w:val="yellow"/>
                <w:lang w:val="en-US" w:eastAsia="zh-CN"/>
              </w:rPr>
              <w:t>2021年1-9月天然气费支出：96866.13元</w:t>
            </w:r>
          </w:p>
          <w:p>
            <w:pPr>
              <w:rPr>
                <w:rFonts w:hint="default"/>
                <w:color w:val="auto"/>
                <w:lang w:val="en-US" w:eastAsia="zh-CN"/>
              </w:rPr>
            </w:pPr>
            <w:r>
              <w:rPr>
                <w:rFonts w:hint="eastAsia"/>
                <w:color w:val="auto"/>
                <w:lang w:val="en-US" w:eastAsia="zh-CN"/>
              </w:rPr>
              <w:t>用能设备一次性集中采购，在建厂初期采购，后期采购量较少，此次未提供本年度采购用能设备采购，下次关注，</w:t>
            </w:r>
          </w:p>
          <w:p>
            <w:pPr>
              <w:rPr>
                <w:rFonts w:hint="eastAsia"/>
                <w:color w:val="auto"/>
                <w:lang w:val="en-US" w:eastAsia="zh-CN"/>
              </w:rPr>
            </w:pPr>
            <w:r>
              <w:rPr>
                <w:rFonts w:hint="eastAsia"/>
                <w:color w:val="auto"/>
                <w:lang w:val="en-US" w:eastAsia="zh-CN"/>
              </w:rPr>
              <w:t>提供采购发票：</w:t>
            </w:r>
          </w:p>
          <w:p>
            <w:pPr>
              <w:pStyle w:val="2"/>
              <w:rPr>
                <w:rFonts w:hint="eastAsia"/>
                <w:color w:val="auto"/>
                <w:lang w:val="en-US" w:eastAsia="zh-CN"/>
              </w:rPr>
            </w:pPr>
          </w:p>
          <w:p>
            <w:pPr>
              <w:pStyle w:val="2"/>
              <w:rPr>
                <w:rFonts w:hint="eastAsia"/>
                <w:color w:val="auto"/>
                <w:lang w:val="en-US" w:eastAsia="zh-CN"/>
              </w:rPr>
            </w:pPr>
          </w:p>
          <w:p>
            <w:pPr>
              <w:pStyle w:val="2"/>
              <w:rPr>
                <w:rFonts w:hint="eastAsia"/>
                <w:color w:val="auto"/>
                <w:lang w:val="en-US" w:eastAsia="zh-CN"/>
              </w:rPr>
            </w:pPr>
            <w:r>
              <w:drawing>
                <wp:inline distT="0" distB="0" distL="114300" distR="114300">
                  <wp:extent cx="6519545" cy="2108200"/>
                  <wp:effectExtent l="0" t="0" r="825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6519545" cy="2108200"/>
                          </a:xfrm>
                          <a:prstGeom prst="rect">
                            <a:avLst/>
                          </a:prstGeom>
                          <a:noFill/>
                          <a:ln>
                            <a:noFill/>
                          </a:ln>
                        </pic:spPr>
                      </pic:pic>
                    </a:graphicData>
                  </a:graphic>
                </wp:inline>
              </w:drawing>
            </w:r>
          </w:p>
          <w:p>
            <w:pPr>
              <w:pStyle w:val="2"/>
              <w:rPr>
                <w:rFonts w:hint="eastAsia"/>
                <w:color w:val="auto"/>
                <w:lang w:val="en-US" w:eastAsia="zh-CN"/>
              </w:rPr>
            </w:pPr>
          </w:p>
          <w:p>
            <w:pPr>
              <w:pStyle w:val="2"/>
              <w:rPr>
                <w:rFonts w:hint="eastAsia"/>
                <w:color w:val="auto"/>
                <w:lang w:val="en-US" w:eastAsia="zh-CN"/>
              </w:rPr>
            </w:pPr>
            <w:r>
              <w:drawing>
                <wp:inline distT="0" distB="0" distL="114300" distR="114300">
                  <wp:extent cx="6172200" cy="2508885"/>
                  <wp:effectExtent l="0" t="0" r="0" b="57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6172200" cy="2508885"/>
                          </a:xfrm>
                          <a:prstGeom prst="rect">
                            <a:avLst/>
                          </a:prstGeom>
                          <a:noFill/>
                          <a:ln>
                            <a:noFill/>
                          </a:ln>
                        </pic:spPr>
                      </pic:pic>
                    </a:graphicData>
                  </a:graphic>
                </wp:inline>
              </w:drawing>
            </w:r>
          </w:p>
          <w:p>
            <w:pPr>
              <w:pStyle w:val="2"/>
            </w:pPr>
          </w:p>
          <w:p>
            <w:pPr>
              <w:pStyle w:val="2"/>
            </w:pPr>
          </w:p>
          <w:p>
            <w:pPr>
              <w:pStyle w:val="2"/>
            </w:pPr>
            <w:r>
              <w:drawing>
                <wp:inline distT="0" distB="0" distL="114300" distR="114300">
                  <wp:extent cx="6522720" cy="2123440"/>
                  <wp:effectExtent l="0" t="0" r="5080" b="1016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6522720" cy="2123440"/>
                          </a:xfrm>
                          <a:prstGeom prst="rect">
                            <a:avLst/>
                          </a:prstGeom>
                          <a:noFill/>
                          <a:ln>
                            <a:noFill/>
                          </a:ln>
                        </pic:spPr>
                      </pic:pic>
                    </a:graphicData>
                  </a:graphic>
                </wp:inline>
              </w:drawing>
            </w:r>
          </w:p>
          <w:p>
            <w:pPr>
              <w:pStyle w:val="2"/>
            </w:pPr>
          </w:p>
          <w:p>
            <w:pPr>
              <w:pStyle w:val="2"/>
              <w:rPr>
                <w:rFonts w:hint="default"/>
                <w:lang w:val="en-US" w:eastAsia="zh-CN"/>
              </w:rPr>
            </w:pPr>
            <w:r>
              <w:drawing>
                <wp:inline distT="0" distB="0" distL="114300" distR="114300">
                  <wp:extent cx="6516370" cy="2070735"/>
                  <wp:effectExtent l="0" t="0" r="11430" b="1206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6516370" cy="2070735"/>
                          </a:xfrm>
                          <a:prstGeom prst="rect">
                            <a:avLst/>
                          </a:prstGeom>
                          <a:noFill/>
                          <a:ln>
                            <a:noFill/>
                          </a:ln>
                        </pic:spPr>
                      </pic:pic>
                    </a:graphicData>
                  </a:graphic>
                </wp:inline>
              </w:drawing>
            </w:r>
            <w:bookmarkStart w:id="0" w:name="_GoBack"/>
            <w:bookmarkEnd w:id="0"/>
          </w:p>
        </w:tc>
        <w:tc>
          <w:tcPr>
            <w:tcW w:w="1100" w:type="dxa"/>
            <w:vAlign w:val="top"/>
          </w:tcPr>
          <w:p>
            <w:pPr>
              <w:rPr>
                <w:rFonts w:hint="eastAsia"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符合法律要求和其他要求的评价（合规性评价）</w:t>
            </w:r>
          </w:p>
        </w:tc>
        <w:tc>
          <w:tcPr>
            <w:tcW w:w="960" w:type="dxa"/>
            <w:vAlign w:val="top"/>
          </w:tcPr>
          <w:p>
            <w:pP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9.1.2</w:t>
            </w:r>
          </w:p>
        </w:tc>
        <w:tc>
          <w:tcPr>
            <w:tcW w:w="10489" w:type="dxa"/>
            <w:vAlign w:val="top"/>
          </w:tcPr>
          <w:p>
            <w:pP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编制了《合规性评价报告》查其中内容包含：“法律法规标准和其他要求的获取、法律法规和其他要求的遵守（符合国家能源产业发展政策、公司班组车间成立管理机构及岗位培训、严格执行国家用能设备能效标准、淘汰落后生产工艺装备和产品指导目录、严格执行GB17167相关要求、执行国家行业及地方能源相关标准等）”</w:t>
            </w:r>
          </w:p>
          <w:p>
            <w:pP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评价结论“公司能源管理基本符合相关法律法规和其他要求”；</w:t>
            </w:r>
          </w:p>
          <w:p>
            <w:pP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——查内容基本真实、符合识别的法律法规和其他要求的内容；报告有编审批“</w:t>
            </w:r>
            <w:r>
              <w:rPr>
                <w:rFonts w:hint="default"/>
                <w:color w:val="auto"/>
                <w:lang w:val="en-US" w:eastAsia="zh-CN"/>
              </w:rPr>
              <w:t xml:space="preserve">谭志军 </w:t>
            </w:r>
            <w:r>
              <w:rPr>
                <w:rFonts w:hint="eastAsia" w:ascii="Times New Roman" w:hAnsi="Times New Roman" w:cs="Times New Roman"/>
                <w:color w:val="auto"/>
                <w:lang w:val="en-US" w:eastAsia="zh-CN"/>
              </w:rPr>
              <w:t>”、日期“</w:t>
            </w:r>
            <w:r>
              <w:rPr>
                <w:rFonts w:hint="eastAsia" w:ascii="Times New Roman" w:hAnsi="Times New Roman" w:cs="Times New Roman"/>
                <w:color w:val="FF0000"/>
                <w:lang w:val="en-US" w:eastAsia="zh-CN"/>
              </w:rPr>
              <w:t>2021.</w:t>
            </w:r>
            <w:r>
              <w:rPr>
                <w:rFonts w:hint="eastAsia" w:cs="Times New Roman"/>
                <w:color w:val="FF0000"/>
                <w:lang w:val="en-US" w:eastAsia="zh-CN"/>
              </w:rPr>
              <w:t>8.20</w:t>
            </w:r>
            <w:r>
              <w:rPr>
                <w:rFonts w:hint="eastAsia" w:ascii="Times New Roman" w:hAnsi="Times New Roman" w:cs="Times New Roman"/>
                <w:color w:val="auto"/>
                <w:lang w:val="en-US" w:eastAsia="zh-CN"/>
              </w:rPr>
              <w:t>”；</w:t>
            </w:r>
          </w:p>
        </w:tc>
        <w:tc>
          <w:tcPr>
            <w:tcW w:w="1100" w:type="dxa"/>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内部审核</w:t>
            </w:r>
          </w:p>
        </w:tc>
        <w:tc>
          <w:tcPr>
            <w:tcW w:w="960" w:type="dxa"/>
            <w:vAlign w:val="top"/>
          </w:tcPr>
          <w:p>
            <w:pPr>
              <w:spacing w:line="280" w:lineRule="exact"/>
              <w:jc w:val="left"/>
              <w:rPr>
                <w:rFonts w:hint="eastAsia" w:ascii="宋体" w:hAnsi="宋体" w:cs="Arial"/>
                <w:color w:val="auto"/>
                <w:spacing w:val="-6"/>
                <w:szCs w:val="21"/>
                <w:lang w:val="en-US" w:eastAsia="zh-CN"/>
              </w:rPr>
            </w:pPr>
            <w:r>
              <w:rPr>
                <w:rFonts w:hint="eastAsia" w:ascii="宋体" w:hAnsi="宋体" w:cs="Arial"/>
                <w:color w:val="auto"/>
                <w:spacing w:val="-6"/>
                <w:szCs w:val="21"/>
                <w:lang w:val="en-US" w:eastAsia="zh-CN"/>
              </w:rPr>
              <w:t>En</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9.2</w:t>
            </w:r>
          </w:p>
          <w:p>
            <w:pPr>
              <w:rPr>
                <w:rFonts w:hint="eastAsia" w:ascii="宋体" w:hAnsi="宋体" w:eastAsia="宋体" w:cs="宋体"/>
                <w:color w:val="auto"/>
                <w:sz w:val="24"/>
                <w:szCs w:val="24"/>
                <w:lang w:val="en-US" w:eastAsia="zh-CN"/>
              </w:rPr>
            </w:pPr>
          </w:p>
        </w:tc>
        <w:tc>
          <w:tcPr>
            <w:tcW w:w="10489" w:type="dxa"/>
            <w:vAlign w:val="center"/>
          </w:tcPr>
          <w:p>
            <w:pPr>
              <w:ind w:firstLine="420" w:firstLineChars="200"/>
              <w:rPr>
                <w:color w:val="auto"/>
              </w:rPr>
            </w:pPr>
            <w:r>
              <w:rPr>
                <w:rFonts w:hint="eastAsia"/>
                <w:color w:val="auto"/>
              </w:rPr>
              <w:t>公司制定</w:t>
            </w:r>
            <w:r>
              <w:rPr>
                <w:rFonts w:hint="eastAsia"/>
                <w:color w:val="auto"/>
                <w:szCs w:val="22"/>
              </w:rPr>
              <w:t>《</w:t>
            </w:r>
            <w:r>
              <w:rPr>
                <w:rFonts w:hint="eastAsia"/>
                <w:color w:val="auto"/>
              </w:rPr>
              <w:t>内部审核控制程序》，对内部审核方案策划规定：</w:t>
            </w:r>
          </w:p>
          <w:p>
            <w:pPr>
              <w:rPr>
                <w:color w:val="auto"/>
              </w:rPr>
            </w:pPr>
            <w:r>
              <w:rPr>
                <w:rFonts w:hint="eastAsia"/>
                <w:color w:val="auto"/>
              </w:rPr>
              <w:t>1.频次：内审每年进行一次，两次内部审核的时间间隔不超过12个月。</w:t>
            </w:r>
          </w:p>
          <w:p>
            <w:pPr>
              <w:rPr>
                <w:color w:val="auto"/>
              </w:rPr>
            </w:pPr>
            <w:r>
              <w:rPr>
                <w:rFonts w:hint="eastAsia"/>
                <w:color w:val="auto"/>
              </w:rPr>
              <w:t>2.方法：按部门/过程审核。</w:t>
            </w:r>
          </w:p>
          <w:p>
            <w:pPr>
              <w:rPr>
                <w:color w:val="auto"/>
              </w:rPr>
            </w:pPr>
            <w:r>
              <w:rPr>
                <w:rFonts w:hint="eastAsia"/>
                <w:color w:val="auto"/>
              </w:rPr>
              <w:t>3.职责：体系负责人组织内部审核活动。</w:t>
            </w:r>
          </w:p>
          <w:p>
            <w:pPr>
              <w:rPr>
                <w:color w:val="auto"/>
              </w:rPr>
            </w:pPr>
            <w:r>
              <w:rPr>
                <w:rFonts w:hint="eastAsia"/>
                <w:color w:val="auto"/>
              </w:rPr>
              <w:t>4.策划要求：范围、准则、工作分配等。</w:t>
            </w:r>
          </w:p>
          <w:p>
            <w:pPr>
              <w:rPr>
                <w:color w:val="auto"/>
              </w:rPr>
            </w:pPr>
            <w:r>
              <w:rPr>
                <w:rFonts w:hint="eastAsia"/>
                <w:color w:val="auto"/>
              </w:rPr>
              <w:t>5.报告：体系负责人在内部审核结束及纠正措施完成后应向总经理报告审核结果。</w:t>
            </w:r>
          </w:p>
          <w:p>
            <w:pPr>
              <w:rPr>
                <w:rFonts w:hint="eastAsia"/>
                <w:color w:val="auto"/>
              </w:rPr>
            </w:pPr>
            <w:r>
              <w:rPr>
                <w:rFonts w:hint="eastAsia"/>
                <w:color w:val="auto"/>
              </w:rPr>
              <w:t>6.提供了《</w:t>
            </w:r>
            <w:r>
              <w:rPr>
                <w:rFonts w:hint="eastAsia"/>
                <w:color w:val="auto"/>
                <w:lang w:eastAsia="zh-CN"/>
              </w:rPr>
              <w:t>202</w:t>
            </w:r>
            <w:r>
              <w:rPr>
                <w:rFonts w:hint="eastAsia"/>
                <w:color w:val="auto"/>
                <w:lang w:val="en-US" w:eastAsia="zh-CN"/>
              </w:rPr>
              <w:t>1</w:t>
            </w:r>
            <w:r>
              <w:rPr>
                <w:rFonts w:hint="eastAsia"/>
                <w:color w:val="auto"/>
              </w:rPr>
              <w:t>年内部审核实施计划》，发布了内部管理体系审核通知，计划内容有：目的、范围、审核准则、审核时间</w:t>
            </w:r>
            <w:r>
              <w:rPr>
                <w:rFonts w:hint="eastAsia"/>
                <w:color w:val="000000"/>
                <w:szCs w:val="18"/>
                <w:u w:val="single"/>
              </w:rPr>
              <w:t xml:space="preserve"> </w:t>
            </w:r>
            <w:r>
              <w:rPr>
                <w:rFonts w:hint="eastAsia"/>
                <w:color w:val="000000"/>
                <w:szCs w:val="18"/>
                <w:u w:val="single"/>
                <w:lang w:val="en-US" w:eastAsia="zh-CN"/>
              </w:rPr>
              <w:t>2021</w:t>
            </w:r>
            <w:r>
              <w:rPr>
                <w:color w:val="000000"/>
                <w:szCs w:val="18"/>
                <w:u w:val="single"/>
              </w:rPr>
              <w:t xml:space="preserve"> </w:t>
            </w:r>
            <w:r>
              <w:rPr>
                <w:rFonts w:hint="eastAsia"/>
                <w:color w:val="000000"/>
                <w:szCs w:val="18"/>
              </w:rPr>
              <w:t>年</w:t>
            </w:r>
            <w:r>
              <w:rPr>
                <w:rFonts w:hint="eastAsia"/>
                <w:color w:val="000000"/>
                <w:szCs w:val="18"/>
                <w:u w:val="single"/>
              </w:rPr>
              <w:t xml:space="preserve"> </w:t>
            </w:r>
            <w:r>
              <w:rPr>
                <w:rFonts w:hint="eastAsia"/>
                <w:color w:val="000000"/>
                <w:szCs w:val="18"/>
                <w:u w:val="single"/>
                <w:lang w:val="en-US" w:eastAsia="zh-CN"/>
              </w:rPr>
              <w:t>6</w:t>
            </w:r>
            <w:r>
              <w:rPr>
                <w:color w:val="000000"/>
                <w:szCs w:val="18"/>
                <w:u w:val="single"/>
              </w:rPr>
              <w:t xml:space="preserve"> </w:t>
            </w:r>
            <w:r>
              <w:rPr>
                <w:rFonts w:hint="eastAsia"/>
                <w:color w:val="000000"/>
                <w:szCs w:val="18"/>
              </w:rPr>
              <w:t>月</w:t>
            </w:r>
            <w:r>
              <w:rPr>
                <w:rFonts w:hint="eastAsia"/>
                <w:color w:val="000000"/>
                <w:szCs w:val="18"/>
                <w:u w:val="single"/>
              </w:rPr>
              <w:t xml:space="preserve"> </w:t>
            </w:r>
            <w:r>
              <w:rPr>
                <w:rFonts w:hint="eastAsia"/>
                <w:color w:val="000000"/>
                <w:szCs w:val="18"/>
                <w:u w:val="single"/>
                <w:lang w:val="en-US" w:eastAsia="zh-CN"/>
              </w:rPr>
              <w:t>25-27</w:t>
            </w:r>
            <w:r>
              <w:rPr>
                <w:color w:val="000000"/>
                <w:szCs w:val="18"/>
                <w:u w:val="single"/>
              </w:rPr>
              <w:t xml:space="preserve"> </w:t>
            </w:r>
            <w:r>
              <w:rPr>
                <w:rFonts w:hint="eastAsia"/>
                <w:color w:val="000000"/>
                <w:szCs w:val="18"/>
              </w:rPr>
              <w:t>日</w:t>
            </w:r>
            <w:r>
              <w:rPr>
                <w:rFonts w:hint="eastAsia"/>
                <w:color w:val="auto"/>
              </w:rPr>
              <w:t>。编制：</w:t>
            </w:r>
            <w:r>
              <w:rPr>
                <w:rFonts w:hint="eastAsia"/>
                <w:color w:val="auto"/>
                <w:lang w:val="en-US" w:eastAsia="zh-CN"/>
              </w:rPr>
              <w:t>综合管理部</w:t>
            </w:r>
            <w:r>
              <w:rPr>
                <w:rFonts w:hint="eastAsia"/>
                <w:color w:val="auto"/>
              </w:rPr>
              <w:t xml:space="preserve">    批准：</w:t>
            </w:r>
            <w:r>
              <w:rPr>
                <w:rFonts w:hint="eastAsia" w:ascii="宋体" w:hAnsi="宋体" w:cs="Times New Roman"/>
                <w:color w:val="auto"/>
                <w:sz w:val="24"/>
                <w:lang w:val="en-US" w:eastAsia="zh-CN"/>
              </w:rPr>
              <w:t>谭明军</w:t>
            </w:r>
            <w:r>
              <w:rPr>
                <w:rFonts w:hint="eastAsia"/>
                <w:color w:val="auto"/>
              </w:rPr>
              <w:t xml:space="preserve"> ，</w:t>
            </w:r>
          </w:p>
          <w:p>
            <w:pPr>
              <w:pStyle w:val="15"/>
              <w:rPr>
                <w:rFonts w:hint="default" w:eastAsia="宋体"/>
                <w:color w:val="auto"/>
                <w:lang w:val="en-US" w:eastAsia="zh-CN"/>
              </w:rPr>
            </w:pPr>
            <w:r>
              <w:rPr>
                <w:rFonts w:hint="eastAsia"/>
                <w:color w:val="auto"/>
                <w:lang w:val="en-US" w:eastAsia="zh-CN"/>
              </w:rPr>
              <w:t>查阅签到表，未提供签字记录，已沟通，并补充，见附件</w:t>
            </w:r>
          </w:p>
          <w:p>
            <w:pPr>
              <w:rPr>
                <w:rFonts w:hint="eastAsia"/>
                <w:color w:val="auto"/>
              </w:rPr>
            </w:pPr>
            <w:r>
              <w:rPr>
                <w:rFonts w:hint="eastAsia"/>
                <w:color w:val="auto"/>
              </w:rPr>
              <w:t>查阅</w:t>
            </w:r>
            <w:r>
              <w:rPr>
                <w:rFonts w:hint="eastAsia"/>
                <w:color w:val="auto"/>
                <w:lang w:eastAsia="zh-CN"/>
              </w:rPr>
              <w:t>2020</w:t>
            </w:r>
            <w:r>
              <w:rPr>
                <w:rFonts w:hint="eastAsia"/>
                <w:color w:val="auto"/>
              </w:rPr>
              <w:t>年度内部审核有关记录</w:t>
            </w:r>
          </w:p>
          <w:p>
            <w:pPr>
              <w:rPr>
                <w:rFonts w:hint="eastAsia" w:ascii="楷体_GB2312" w:hAnsi="宋体" w:eastAsia="楷体_GB2312"/>
                <w:b/>
                <w:color w:val="auto"/>
                <w:sz w:val="24"/>
              </w:rPr>
            </w:pPr>
            <w:r>
              <w:rPr>
                <w:rFonts w:hint="eastAsia"/>
                <w:color w:val="auto"/>
              </w:rPr>
              <w:t>提供了审核组名单：组长：</w:t>
            </w:r>
            <w:r>
              <w:rPr>
                <w:rFonts w:hint="eastAsia" w:ascii="楷体_GB2312" w:hAnsi="宋体" w:eastAsia="楷体_GB2312"/>
                <w:b/>
                <w:color w:val="auto"/>
                <w:sz w:val="24"/>
              </w:rPr>
              <w:t>姜红梅</w:t>
            </w:r>
            <w:r>
              <w:rPr>
                <w:rFonts w:hint="eastAsia"/>
                <w:color w:val="auto"/>
              </w:rPr>
              <w:t xml:space="preserve">  组员：</w:t>
            </w:r>
            <w:r>
              <w:rPr>
                <w:rFonts w:hint="eastAsia"/>
                <w:color w:val="auto"/>
                <w:lang w:val="en-US" w:eastAsia="zh-CN"/>
              </w:rPr>
              <w:t>李慧斌</w:t>
            </w:r>
            <w:r>
              <w:rPr>
                <w:rFonts w:hint="eastAsia" w:ascii="楷体_GB2312" w:hAnsi="宋体" w:eastAsia="楷体_GB2312"/>
                <w:b/>
                <w:color w:val="auto"/>
                <w:sz w:val="24"/>
              </w:rPr>
              <w:t>、雷红</w:t>
            </w:r>
          </w:p>
          <w:p>
            <w:pPr>
              <w:spacing w:line="360" w:lineRule="exact"/>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rPr>
              <w:t>审核范围：公司领导层、各部门。查</w:t>
            </w:r>
            <w:r>
              <w:rPr>
                <w:rFonts w:hint="eastAsia" w:cs="Times New Roman"/>
                <w:color w:val="auto"/>
                <w:lang w:val="en-US" w:eastAsia="zh-CN"/>
              </w:rPr>
              <w:t>未</w:t>
            </w:r>
            <w:r>
              <w:rPr>
                <w:rFonts w:hint="eastAsia" w:ascii="Times New Roman" w:hAnsi="Times New Roman" w:eastAsia="宋体" w:cs="Times New Roman"/>
                <w:color w:val="auto"/>
              </w:rPr>
              <w:t>全条款覆盖。</w:t>
            </w:r>
            <w:r>
              <w:rPr>
                <w:rFonts w:hint="eastAsia" w:cs="Times New Roman"/>
                <w:color w:val="auto"/>
                <w:lang w:val="en-US" w:eastAsia="zh-CN"/>
              </w:rPr>
              <w:t>无技术部及相应条款的审核，已沟通，并补充，见附件</w:t>
            </w:r>
          </w:p>
          <w:p>
            <w:pPr>
              <w:spacing w:line="360" w:lineRule="exact"/>
              <w:rPr>
                <w:rFonts w:hint="eastAsia" w:ascii="Times New Roman" w:hAnsi="Times New Roman" w:eastAsia="宋体" w:cs="Times New Roman"/>
                <w:color w:val="auto"/>
              </w:rPr>
            </w:pPr>
            <w:r>
              <w:rPr>
                <w:rFonts w:hint="eastAsia" w:ascii="Times New Roman" w:hAnsi="Times New Roman" w:eastAsia="宋体" w:cs="Times New Roman"/>
                <w:color w:val="auto"/>
              </w:rPr>
              <w:t>3.审核准则：</w:t>
            </w:r>
            <w:r>
              <w:rPr>
                <w:rFonts w:hint="eastAsia" w:ascii="Times New Roman" w:hAnsi="Times New Roman" w:eastAsia="宋体" w:cs="Times New Roman"/>
                <w:color w:val="auto"/>
                <w:lang w:val="en-US" w:eastAsia="zh-CN"/>
              </w:rPr>
              <w:t>GB/T24001-2016;</w:t>
            </w:r>
            <w:r>
              <w:rPr>
                <w:rFonts w:hint="eastAsia" w:ascii="Times New Roman" w:hAnsi="Times New Roman" w:eastAsia="宋体" w:cs="Times New Roman"/>
                <w:color w:val="auto"/>
              </w:rPr>
              <w:t>ISO50001:2018，公司管理体系文件、适用的法律法规、产品标准等。</w:t>
            </w:r>
          </w:p>
          <w:p>
            <w:pPr>
              <w:spacing w:line="360" w:lineRule="exact"/>
              <w:rPr>
                <w:rFonts w:hint="eastAsia" w:ascii="Times New Roman" w:hAnsi="Times New Roman" w:eastAsia="宋体" w:cs="Times New Roman"/>
                <w:color w:val="auto"/>
              </w:rPr>
            </w:pPr>
            <w:r>
              <w:rPr>
                <w:rFonts w:hint="eastAsia" w:ascii="Times New Roman" w:hAnsi="Times New Roman" w:eastAsia="宋体" w:cs="Times New Roman"/>
                <w:color w:val="auto"/>
              </w:rPr>
              <w:t>4.提供了《内审首次会议签到表》，参加人有各部门负责人等。</w:t>
            </w:r>
          </w:p>
          <w:p>
            <w:pPr>
              <w:spacing w:line="360" w:lineRule="exact"/>
              <w:rPr>
                <w:rFonts w:hint="eastAsia" w:ascii="Times New Roman" w:hAnsi="Times New Roman" w:eastAsia="宋体" w:cs="Times New Roman"/>
                <w:color w:val="auto"/>
              </w:rPr>
            </w:pPr>
            <w:r>
              <w:rPr>
                <w:rFonts w:hint="eastAsia" w:ascii="Times New Roman" w:hAnsi="Times New Roman" w:eastAsia="宋体" w:cs="Times New Roman"/>
                <w:color w:val="auto"/>
              </w:rPr>
              <w:t>5.提供了《内审检查表》，经查阅对照，受审核部门涉及条款与公司管理体系职责分配相一致。审核记录基本满足要求。</w:t>
            </w:r>
          </w:p>
          <w:p>
            <w:pPr>
              <w:spacing w:line="360" w:lineRule="exact"/>
              <w:rPr>
                <w:rFonts w:hint="eastAsia" w:ascii="Times New Roman" w:hAnsi="Times New Roman" w:eastAsia="宋体" w:cs="Times New Roman"/>
                <w:color w:val="auto"/>
              </w:rPr>
            </w:pPr>
            <w:r>
              <w:rPr>
                <w:rFonts w:hint="eastAsia" w:ascii="Times New Roman" w:hAnsi="Times New Roman" w:eastAsia="宋体" w:cs="Times New Roman"/>
                <w:color w:val="auto"/>
              </w:rPr>
              <w:t>6.提供了《内审不合格报告》</w:t>
            </w:r>
          </w:p>
          <w:p>
            <w:pPr>
              <w:spacing w:line="360" w:lineRule="exact"/>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提供不符合报告，经过整改不符合已经关闭</w:t>
            </w:r>
          </w:p>
          <w:p>
            <w:pPr>
              <w:spacing w:line="360" w:lineRule="exact"/>
              <w:rPr>
                <w:rFonts w:hint="eastAsia" w:ascii="Times New Roman" w:hAnsi="Times New Roman" w:eastAsia="宋体" w:cs="Times New Roman"/>
                <w:color w:val="auto"/>
              </w:rPr>
            </w:pPr>
            <w:r>
              <w:rPr>
                <w:rFonts w:hint="eastAsia" w:ascii="Times New Roman" w:hAnsi="Times New Roman" w:eastAsia="宋体" w:cs="Times New Roman"/>
                <w:color w:val="auto"/>
              </w:rPr>
              <w:t>对于涉及不符合项的部门，进行了原因分析并制定纠正措施计划，经过审核组验证，纠正措施有效。</w:t>
            </w:r>
          </w:p>
          <w:p>
            <w:pPr>
              <w:spacing w:line="360" w:lineRule="exact"/>
              <w:rPr>
                <w:rFonts w:hint="eastAsia" w:ascii="Times New Roman" w:hAnsi="Times New Roman" w:eastAsia="宋体" w:cs="Times New Roman"/>
                <w:color w:val="auto"/>
              </w:rPr>
            </w:pPr>
            <w:r>
              <w:rPr>
                <w:rFonts w:hint="eastAsia" w:ascii="Times New Roman" w:hAnsi="Times New Roman" w:eastAsia="宋体" w:cs="Times New Roman"/>
                <w:color w:val="auto"/>
              </w:rPr>
              <w:t>7.提供《审核报告》审核报告中包括审核目的、审核范围、审核依据、审核内容摘要、审核结论等内容，对审核过程进行了综述，对公司管理体系的符合性进行了评价，针对不足部门提出了建议改进即：对于所有审核中发现的不合格，部门应分析不合格原因，提出纠正和纠正措施计划，组织相关部门人员进行质理体系标准条款学习，进行不符合项整改，要求在5日内整改完毕，由管代组织相关内审员对整改后的情况进行跟踪验证，确认纠正及纠正措施有效，体系的建立、运行符合质量管理体系要求。</w:t>
            </w:r>
          </w:p>
          <w:p>
            <w:pPr>
              <w:spacing w:line="360" w:lineRule="exact"/>
              <w:rPr>
                <w:rFonts w:hint="eastAsia" w:ascii="Times New Roman" w:hAnsi="Times New Roman" w:eastAsia="宋体" w:cs="Times New Roman"/>
                <w:color w:val="auto"/>
              </w:rPr>
            </w:pPr>
            <w:r>
              <w:rPr>
                <w:rFonts w:hint="eastAsia" w:ascii="Times New Roman" w:hAnsi="Times New Roman" w:eastAsia="宋体" w:cs="Times New Roman"/>
                <w:color w:val="auto"/>
              </w:rPr>
              <w:t xml:space="preserve">审核结论：基本符合计划安排和标准的要求，并得到了较有效实施和保持， 仍需进一步改进。    </w:t>
            </w:r>
          </w:p>
          <w:p>
            <w:pPr>
              <w:spacing w:line="360" w:lineRule="exact"/>
              <w:rPr>
                <w:rFonts w:hint="default" w:eastAsia="宋体"/>
                <w:color w:val="auto"/>
                <w:lang w:val="en-US" w:eastAsia="zh-CN"/>
              </w:rPr>
            </w:pPr>
            <w:r>
              <w:rPr>
                <w:rFonts w:hint="eastAsia" w:ascii="Times New Roman" w:hAnsi="Times New Roman" w:eastAsia="宋体" w:cs="Times New Roman"/>
                <w:color w:val="auto"/>
              </w:rPr>
              <w:t>审核组长：</w:t>
            </w:r>
            <w:r>
              <w:rPr>
                <w:rFonts w:hint="eastAsia"/>
                <w:color w:val="auto"/>
                <w:lang w:val="en-US" w:eastAsia="zh-CN"/>
              </w:rPr>
              <w:t>姜红梅</w:t>
            </w:r>
            <w:r>
              <w:rPr>
                <w:rFonts w:hint="eastAsia" w:ascii="Times New Roman" w:hAnsi="Times New Roman" w:eastAsia="宋体" w:cs="Times New Roman"/>
                <w:color w:val="auto"/>
              </w:rPr>
              <w:t xml:space="preserve">  批准：</w:t>
            </w:r>
            <w:r>
              <w:rPr>
                <w:rFonts w:hint="eastAsia" w:ascii="楷体_GB2312" w:hAnsi="宋体" w:eastAsia="楷体_GB2312"/>
                <w:b/>
                <w:color w:val="auto"/>
                <w:sz w:val="24"/>
                <w:lang w:val="en-US" w:eastAsia="zh-CN"/>
              </w:rPr>
              <w:t>谭明军</w:t>
            </w:r>
          </w:p>
          <w:p>
            <w:pPr>
              <w:ind w:firstLine="420" w:firstLineChars="200"/>
              <w:rPr>
                <w:rFonts w:hint="default" w:ascii="宋体" w:hAnsi="宋体" w:eastAsia="宋体" w:cs="宋体"/>
                <w:color w:val="auto"/>
                <w:sz w:val="24"/>
                <w:szCs w:val="24"/>
                <w:lang w:val="en-US" w:eastAsia="zh-CN"/>
              </w:rPr>
            </w:pPr>
            <w:r>
              <w:rPr>
                <w:rFonts w:hint="eastAsia"/>
                <w:color w:val="auto"/>
              </w:rPr>
              <w:t>提供了内审员培训记录，审核员没有审核自己部门工作，具有独立性。</w:t>
            </w:r>
          </w:p>
        </w:tc>
        <w:tc>
          <w:tcPr>
            <w:tcW w:w="1100" w:type="dxa"/>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spacing w:line="360" w:lineRule="exac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不符合和纠正措施</w:t>
            </w:r>
          </w:p>
          <w:p>
            <w:pPr>
              <w:spacing w:line="360" w:lineRule="exact"/>
              <w:rPr>
                <w:rFonts w:hint="eastAsia" w:ascii="Times New Roman" w:hAnsi="Times New Roman" w:eastAsia="宋体" w:cs="Times New Roman"/>
                <w:color w:val="auto"/>
                <w:lang w:val="en-US" w:eastAsia="zh-CN"/>
              </w:rPr>
            </w:pPr>
          </w:p>
          <w:p>
            <w:pPr>
              <w:spacing w:line="360" w:lineRule="exact"/>
              <w:rPr>
                <w:rFonts w:hint="eastAsia" w:ascii="Times New Roman" w:hAnsi="Times New Roman" w:eastAsia="宋体" w:cs="Times New Roman"/>
                <w:color w:val="auto"/>
                <w:lang w:val="en-US" w:eastAsia="zh-CN"/>
              </w:rPr>
            </w:pPr>
          </w:p>
          <w:p>
            <w:pPr>
              <w:spacing w:line="360" w:lineRule="exact"/>
              <w:rPr>
                <w:rFonts w:hint="eastAsia" w:ascii="Times New Roman" w:hAnsi="Times New Roman" w:eastAsia="宋体" w:cs="Times New Roman"/>
                <w:color w:val="auto"/>
                <w:lang w:val="en-US" w:eastAsia="zh-CN"/>
              </w:rPr>
            </w:pPr>
          </w:p>
          <w:p>
            <w:pPr>
              <w:spacing w:line="360" w:lineRule="exact"/>
              <w:rPr>
                <w:rFonts w:hint="eastAsia" w:ascii="Times New Roman" w:hAnsi="Times New Roman" w:eastAsia="宋体" w:cs="Times New Roman"/>
                <w:color w:val="auto"/>
                <w:lang w:val="en-US" w:eastAsia="zh-CN"/>
              </w:rPr>
            </w:pPr>
          </w:p>
          <w:p>
            <w:pPr>
              <w:spacing w:line="360" w:lineRule="exact"/>
              <w:rPr>
                <w:rFonts w:hint="eastAsia" w:ascii="Times New Roman" w:hAnsi="Times New Roman" w:eastAsia="宋体" w:cs="Times New Roman"/>
                <w:color w:val="auto"/>
                <w:lang w:val="en-US" w:eastAsia="zh-CN"/>
              </w:rPr>
            </w:pPr>
          </w:p>
          <w:p>
            <w:pPr>
              <w:spacing w:line="360" w:lineRule="exact"/>
              <w:rPr>
                <w:rFonts w:hint="eastAsia" w:ascii="Times New Roman" w:hAnsi="Times New Roman" w:eastAsia="宋体" w:cs="Times New Roman"/>
                <w:color w:val="auto"/>
                <w:lang w:val="en-US" w:eastAsia="zh-CN"/>
              </w:rPr>
            </w:pPr>
          </w:p>
          <w:p>
            <w:pPr>
              <w:spacing w:line="360" w:lineRule="exact"/>
              <w:rPr>
                <w:rFonts w:hint="eastAsia" w:ascii="Times New Roman" w:hAnsi="Times New Roman" w:eastAsia="宋体" w:cs="Times New Roman"/>
                <w:color w:val="auto"/>
                <w:lang w:val="en-US" w:eastAsia="zh-CN"/>
              </w:rPr>
            </w:pPr>
          </w:p>
          <w:p>
            <w:pPr>
              <w:spacing w:line="360" w:lineRule="exact"/>
              <w:rPr>
                <w:rFonts w:hint="eastAsia" w:ascii="Times New Roman" w:hAnsi="Times New Roman" w:eastAsia="宋体" w:cs="Times New Roman"/>
                <w:color w:val="auto"/>
                <w:lang w:val="en-US" w:eastAsia="zh-CN"/>
              </w:rPr>
            </w:pPr>
          </w:p>
        </w:tc>
        <w:tc>
          <w:tcPr>
            <w:tcW w:w="960" w:type="dxa"/>
            <w:vAlign w:val="top"/>
          </w:tcPr>
          <w:p>
            <w:pPr>
              <w:spacing w:line="360" w:lineRule="exac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10.1</w:t>
            </w:r>
          </w:p>
          <w:p>
            <w:pPr>
              <w:spacing w:line="360" w:lineRule="exact"/>
              <w:rPr>
                <w:rFonts w:hint="eastAsia" w:ascii="Times New Roman" w:hAnsi="Times New Roman" w:eastAsia="宋体" w:cs="Times New Roman"/>
                <w:color w:val="auto"/>
                <w:lang w:val="en-US" w:eastAsia="zh-CN"/>
              </w:rPr>
            </w:pPr>
          </w:p>
          <w:p>
            <w:pPr>
              <w:spacing w:line="360" w:lineRule="exact"/>
              <w:rPr>
                <w:rFonts w:hint="eastAsia" w:ascii="Times New Roman" w:hAnsi="Times New Roman" w:eastAsia="宋体" w:cs="Times New Roman"/>
                <w:color w:val="auto"/>
                <w:lang w:val="en-US" w:eastAsia="zh-CN"/>
              </w:rPr>
            </w:pPr>
          </w:p>
          <w:p>
            <w:pPr>
              <w:spacing w:line="360" w:lineRule="exact"/>
              <w:rPr>
                <w:rFonts w:hint="eastAsia" w:ascii="Times New Roman" w:hAnsi="Times New Roman" w:eastAsia="宋体" w:cs="Times New Roman"/>
                <w:color w:val="auto"/>
                <w:lang w:val="en-US" w:eastAsia="zh-CN"/>
              </w:rPr>
            </w:pPr>
          </w:p>
          <w:p>
            <w:pPr>
              <w:spacing w:line="360" w:lineRule="exact"/>
              <w:rPr>
                <w:rFonts w:hint="eastAsia" w:ascii="Times New Roman" w:hAnsi="Times New Roman" w:eastAsia="宋体" w:cs="Times New Roman"/>
                <w:color w:val="auto"/>
                <w:lang w:val="en-US" w:eastAsia="zh-CN"/>
              </w:rPr>
            </w:pPr>
          </w:p>
          <w:p>
            <w:pPr>
              <w:spacing w:line="360" w:lineRule="exact"/>
              <w:rPr>
                <w:rFonts w:hint="eastAsia" w:ascii="Times New Roman" w:hAnsi="Times New Roman" w:eastAsia="宋体" w:cs="Times New Roman"/>
                <w:color w:val="auto"/>
                <w:lang w:val="en-US" w:eastAsia="zh-CN"/>
              </w:rPr>
            </w:pPr>
          </w:p>
          <w:p>
            <w:pPr>
              <w:spacing w:line="360" w:lineRule="exact"/>
              <w:rPr>
                <w:rFonts w:hint="eastAsia" w:ascii="Times New Roman" w:hAnsi="Times New Roman" w:eastAsia="宋体" w:cs="Times New Roman"/>
                <w:color w:val="auto"/>
                <w:lang w:val="en-US" w:eastAsia="zh-CN"/>
              </w:rPr>
            </w:pPr>
          </w:p>
          <w:p>
            <w:pPr>
              <w:spacing w:line="360" w:lineRule="exact"/>
              <w:rPr>
                <w:rFonts w:hint="eastAsia" w:ascii="Times New Roman" w:hAnsi="Times New Roman" w:eastAsia="宋体" w:cs="Times New Roman"/>
                <w:color w:val="auto"/>
                <w:lang w:val="en-US" w:eastAsia="zh-CN"/>
              </w:rPr>
            </w:pPr>
          </w:p>
        </w:tc>
        <w:tc>
          <w:tcPr>
            <w:tcW w:w="10489" w:type="dxa"/>
            <w:vAlign w:val="top"/>
          </w:tcPr>
          <w:p>
            <w:pPr>
              <w:spacing w:line="360" w:lineRule="exact"/>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编制了《纠正措施和预防措施通知单》包括“不符合采取措施控制并纠正；任何纠正措施的结果、不符合的原因 性质和采取的任何后续措施；确定是否存在或是否可能发生类似的不符合；实施任何所需的措施；评审所采取的任何纠正措施的有效性；必要时，对能源管理体系进行变更改”等内容；</w:t>
            </w:r>
          </w:p>
          <w:p>
            <w:pPr>
              <w:spacing w:line="360" w:lineRule="exac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查内审不符合1项、有不符合项内容描述、原因分析、及纠正措施的实施及验证信息；不符合纠正措施验证有效、不符合关闭；</w:t>
            </w:r>
          </w:p>
          <w:p>
            <w:pPr>
              <w:spacing w:line="360" w:lineRule="exac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公司制定《纠正预防措施控制程序》，规定了纠正措施的来源,明确了对不合格项应进行原因分析,制定纠正措施计划,实施跟踪验证,确保所采取 的纠正措施满足预期要求。</w:t>
            </w:r>
          </w:p>
          <w:p>
            <w:pPr>
              <w:spacing w:line="360" w:lineRule="exac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内审中发现的不符合项已经采取纠正措施，整改完毕且有效。</w:t>
            </w:r>
          </w:p>
          <w:p>
            <w:pPr>
              <w:spacing w:line="360" w:lineRule="exac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通过交谈，基本能清楚纠正和预防措施的控制要求。改进的示例包括纠正、纠正措施、持续改进。</w:t>
            </w:r>
          </w:p>
          <w:p>
            <w:pPr>
              <w:spacing w:line="360" w:lineRule="exac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根据不同过程、不同产品和不同要求，采取不同的方法进行监视、测量和分析。无其他不符合发生。</w:t>
            </w:r>
          </w:p>
          <w:p>
            <w:pPr>
              <w:spacing w:line="360" w:lineRule="exac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公司利用En方针、目标、内审和外审、数据分析、纠正和预防措施以及管理评审，识别任何改进的机会，持续改进质量管理体系的适宜性、充分性和有效性。</w:t>
            </w:r>
          </w:p>
        </w:tc>
        <w:tc>
          <w:tcPr>
            <w:tcW w:w="1100" w:type="dxa"/>
            <w:vAlign w:val="top"/>
          </w:tcPr>
          <w:p>
            <w:pPr>
              <w:rPr>
                <w:color w:val="auto"/>
              </w:rPr>
            </w:pPr>
          </w:p>
        </w:tc>
      </w:tr>
    </w:tbl>
    <w:p>
      <w:r>
        <w:ptab w:relativeTo="margin" w:alignment="center" w:leader="none"/>
      </w:r>
    </w:p>
    <w:p/>
    <w:p/>
    <w:p>
      <w:pPr>
        <w:pStyle w:val="8"/>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9"/>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9"/>
        <w:rFonts w:hint="default"/>
      </w:rPr>
      <w:t>北京国标联合认证有限公司</w:t>
    </w:r>
    <w:r>
      <w:rPr>
        <w:rStyle w:val="19"/>
        <w:rFonts w:hint="default"/>
      </w:rPr>
      <w:tab/>
    </w:r>
    <w:r>
      <w:rPr>
        <w:rStyle w:val="19"/>
        <w:rFonts w:hint="default"/>
      </w:rPr>
      <w:tab/>
    </w:r>
    <w:r>
      <w:rPr>
        <w:rStyle w:val="19"/>
        <w:rFonts w:hint="default"/>
      </w:rPr>
      <w:tab/>
    </w:r>
  </w:p>
  <w:p>
    <w:pPr>
      <w:pStyle w:val="9"/>
      <w:pBdr>
        <w:bottom w:val="none" w:color="auto" w:sz="0" w:space="0"/>
      </w:pBdr>
      <w:spacing w:line="320" w:lineRule="exact"/>
      <w:jc w:val="left"/>
    </w:pPr>
    <w:r>
      <mc:AlternateContent>
        <mc:Choice Requires="wps">
          <w:drawing>
            <wp:anchor distT="0" distB="0" distL="114300" distR="114300" simplePos="0" relativeHeight="251659264" behindDoc="0" locked="0" layoutInCell="1" allowOverlap="1">
              <wp:simplePos x="0" y="0"/>
              <wp:positionH relativeFrom="column">
                <wp:posOffset>7045325</wp:posOffset>
              </wp:positionH>
              <wp:positionV relativeFrom="paragraph">
                <wp:posOffset>27940</wp:posOffset>
              </wp:positionV>
              <wp:extent cx="2184400" cy="256540"/>
              <wp:effectExtent l="0" t="0" r="6350" b="10160"/>
              <wp:wrapNone/>
              <wp:docPr id="2" name="文本框 1025"/>
              <wp:cNvGraphicFramePr/>
              <a:graphic xmlns:a="http://schemas.openxmlformats.org/drawingml/2006/main">
                <a:graphicData uri="http://schemas.microsoft.com/office/word/2010/wordprocessingShape">
                  <wps:wsp>
                    <wps:cNvSpPr txBox="1"/>
                    <wps:spPr>
                      <a:xfrm>
                        <a:off x="0" y="0"/>
                        <a:ext cx="2184400" cy="256540"/>
                      </a:xfrm>
                      <a:prstGeom prst="rect">
                        <a:avLst/>
                      </a:prstGeom>
                      <a:solidFill>
                        <a:srgbClr val="FFFFFF"/>
                      </a:solidFill>
                      <a:ln>
                        <a:noFill/>
                      </a:ln>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wps:txbx>
                    <wps:bodyPr upright="1"/>
                  </wps:wsp>
                </a:graphicData>
              </a:graphic>
            </wp:anchor>
          </w:drawing>
        </mc:Choice>
        <mc:Fallback>
          <w:pict>
            <v:shape id="文本框 1025" o:spid="_x0000_s1026" o:spt="202" type="#_x0000_t202" style="position:absolute;left:0pt;margin-left:554.75pt;margin-top:2.2pt;height:20.2pt;width:172pt;z-index:251659264;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O6djL7EAQAAegMAAA4AAABkcnMvZTJvRG9jLnhtbK1TzY7T&#10;MBC+I/EOlu80adSuVlXTlaAqFwRICw/gOk5iyX+acZv0BeANOHHhznP1ORg73e6yXPZADo498/nz&#10;fN/Y67vRGnZUgNq7ms9nJWfKSd9o19X865fdm1vOMArXCOOdqvlJIb/bvH61HsJKVb73plHAiMTh&#10;agg172MMq6JA2SsrcOaDcpRsPVgRaQld0YAYiN2aoirLm2Lw0ATwUiFSdDsl+YURXkLo21ZLtfXy&#10;YJWLEysoIyJJwl4H5JtcbdsqGT+1LarITM1JacwjHULzfRqLzVqsOhCh1/JSgnhJCc80WaEdHXql&#10;2ooo2AH0P1RWS/Do2ziT3haTkOwIqZiXz7y570VQWQtZjeFqOv4/Wvnx+BmYbmpeceaEpYaff3w/&#10;//x9/vWNzctqmRwaAq4IeB8IGse3fqR78xBHCibhYws2/UkSozz5e7r6q8bIJAWr+e1iUVJKUq5a&#10;3iwXuQHF4+4AGN8rb1ma1Byof9lWcfyAkSoh6AMkHYbe6GanjckL6PbvDLCjoF7v8peKpC1/wYxL&#10;YOfTtimdIkXSOGlJszjux4vwvW9OpPsQQHc91ZSVZzi1JNNfrk/q+dN1Jn18Mp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IQaq5dYAAAAKAQAADwAAAAAAAAABACAAAAAiAAAAZHJzL2Rvd25yZXYu&#10;eG1sUEsBAhQAFAAAAAgAh07iQO6djL7EAQAAegMAAA4AAAAAAAAAAQAgAAAAJQEAAGRycy9lMm9E&#10;b2MueG1sUEsFBgAAAAAGAAYAWQEAAFsFA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mc:Fallback>
      </mc:AlternateContent>
    </w:r>
    <w:r>
      <w:rPr>
        <w:rStyle w:val="19"/>
        <w:rFonts w:hint="default"/>
        <w:w w:val="90"/>
      </w:rPr>
      <w:t>Beijing International Standard united Certification Co.,Ltd.</w:t>
    </w:r>
  </w:p>
  <w:p>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FB7989"/>
    <w:rsid w:val="042862ED"/>
    <w:rsid w:val="066B79A8"/>
    <w:rsid w:val="07AC18F2"/>
    <w:rsid w:val="0A6A1554"/>
    <w:rsid w:val="0B2F2444"/>
    <w:rsid w:val="0CC93E40"/>
    <w:rsid w:val="0FF44133"/>
    <w:rsid w:val="103A2607"/>
    <w:rsid w:val="10824623"/>
    <w:rsid w:val="10A967B9"/>
    <w:rsid w:val="12265489"/>
    <w:rsid w:val="1291364C"/>
    <w:rsid w:val="12B94D11"/>
    <w:rsid w:val="148168D6"/>
    <w:rsid w:val="16461BF9"/>
    <w:rsid w:val="1768237D"/>
    <w:rsid w:val="17F71F65"/>
    <w:rsid w:val="1B0E253E"/>
    <w:rsid w:val="22516447"/>
    <w:rsid w:val="22F07A84"/>
    <w:rsid w:val="246A3245"/>
    <w:rsid w:val="24F33525"/>
    <w:rsid w:val="24F82A34"/>
    <w:rsid w:val="2573164D"/>
    <w:rsid w:val="28AB754A"/>
    <w:rsid w:val="29801B7A"/>
    <w:rsid w:val="29AD5457"/>
    <w:rsid w:val="2CD9740B"/>
    <w:rsid w:val="2DC36F7A"/>
    <w:rsid w:val="351C2720"/>
    <w:rsid w:val="36797100"/>
    <w:rsid w:val="36D74EBC"/>
    <w:rsid w:val="3B0B118D"/>
    <w:rsid w:val="3C033575"/>
    <w:rsid w:val="3FBE386E"/>
    <w:rsid w:val="403F79C4"/>
    <w:rsid w:val="42483FE4"/>
    <w:rsid w:val="45A4501C"/>
    <w:rsid w:val="47EC6D81"/>
    <w:rsid w:val="495D0CC2"/>
    <w:rsid w:val="4B946D42"/>
    <w:rsid w:val="4D4D66CE"/>
    <w:rsid w:val="4EFF2013"/>
    <w:rsid w:val="4F323AB9"/>
    <w:rsid w:val="536212BA"/>
    <w:rsid w:val="536F19B2"/>
    <w:rsid w:val="53FF54C0"/>
    <w:rsid w:val="555F30D1"/>
    <w:rsid w:val="565A330A"/>
    <w:rsid w:val="56EE3107"/>
    <w:rsid w:val="5C5C3AFC"/>
    <w:rsid w:val="5C7A5750"/>
    <w:rsid w:val="5CFD0918"/>
    <w:rsid w:val="5DA47360"/>
    <w:rsid w:val="5DF52D98"/>
    <w:rsid w:val="5EA95088"/>
    <w:rsid w:val="603F5B71"/>
    <w:rsid w:val="60527450"/>
    <w:rsid w:val="613913A0"/>
    <w:rsid w:val="633E6947"/>
    <w:rsid w:val="64A74FCF"/>
    <w:rsid w:val="65705F30"/>
    <w:rsid w:val="676F3C4A"/>
    <w:rsid w:val="69B25C14"/>
    <w:rsid w:val="6CFD6C0C"/>
    <w:rsid w:val="6D896AE7"/>
    <w:rsid w:val="6EE76570"/>
    <w:rsid w:val="720D6AAF"/>
    <w:rsid w:val="742F48F9"/>
    <w:rsid w:val="79DC538C"/>
    <w:rsid w:val="7D4708C0"/>
    <w:rsid w:val="7DB920E5"/>
    <w:rsid w:val="7EA26C89"/>
    <w:rsid w:val="7EE73F2D"/>
    <w:rsid w:val="7EE93D41"/>
    <w:rsid w:val="7FD2162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rPr>
      <w:sz w:val="24"/>
    </w:rPr>
  </w:style>
  <w:style w:type="paragraph" w:styleId="3">
    <w:name w:val="Body Text Indent"/>
    <w:basedOn w:val="1"/>
    <w:next w:val="4"/>
    <w:unhideWhenUsed/>
    <w:qFormat/>
    <w:uiPriority w:val="0"/>
    <w:pPr>
      <w:spacing w:beforeLines="0" w:after="120" w:afterLines="0"/>
      <w:ind w:left="200" w:leftChars="200"/>
    </w:pPr>
    <w:rPr>
      <w:rFonts w:hint="default"/>
      <w:sz w:val="24"/>
    </w:rPr>
  </w:style>
  <w:style w:type="paragraph" w:styleId="4">
    <w:name w:val="toc 3"/>
    <w:basedOn w:val="1"/>
    <w:next w:val="1"/>
    <w:unhideWhenUsed/>
    <w:qFormat/>
    <w:uiPriority w:val="0"/>
    <w:pPr>
      <w:spacing w:beforeLines="0" w:afterLines="0"/>
      <w:ind w:left="400" w:leftChars="400"/>
    </w:pPr>
    <w:rPr>
      <w:rFonts w:hint="default"/>
      <w:sz w:val="21"/>
    </w:rPr>
  </w:style>
  <w:style w:type="paragraph" w:styleId="5">
    <w:name w:val="Block Text"/>
    <w:basedOn w:val="1"/>
    <w:qFormat/>
    <w:uiPriority w:val="0"/>
    <w:pPr>
      <w:ind w:left="-178" w:leftChars="-85" w:right="1105" w:rightChars="526" w:firstLine="560" w:firstLineChars="200"/>
    </w:pPr>
    <w:rPr>
      <w:rFonts w:eastAsia="仿宋_GB2312"/>
      <w:sz w:val="28"/>
    </w:rPr>
  </w:style>
  <w:style w:type="paragraph" w:styleId="6">
    <w:name w:val="Plain Text"/>
    <w:basedOn w:val="1"/>
    <w:qFormat/>
    <w:uiPriority w:val="0"/>
    <w:rPr>
      <w:rFonts w:ascii="宋体" w:hAnsi="Courier New" w:cs="Courier New"/>
      <w:szCs w:val="21"/>
    </w:rPr>
  </w:style>
  <w:style w:type="paragraph" w:styleId="7">
    <w:name w:val="Balloon Text"/>
    <w:basedOn w:val="1"/>
    <w:link w:val="18"/>
    <w:semiHidden/>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autoSpaceDE/>
      <w:autoSpaceDN/>
    </w:pPr>
    <w:rPr>
      <w:rFonts w:ascii="Calibri" w:hAnsi="Calibri" w:eastAsia="宋体"/>
      <w:sz w:val="24"/>
      <w:szCs w:val="24"/>
      <w:lang w:val="en-US" w:bidi="ar-SA"/>
    </w:rPr>
  </w:style>
  <w:style w:type="paragraph" w:styleId="11">
    <w:name w:val="Body Text First Indent"/>
    <w:basedOn w:val="2"/>
    <w:semiHidden/>
    <w:unhideWhenUsed/>
    <w:qFormat/>
    <w:uiPriority w:val="99"/>
    <w:pPr>
      <w:autoSpaceDE/>
      <w:autoSpaceDN/>
      <w:spacing w:before="0" w:after="120"/>
      <w:ind w:left="0" w:firstLine="420" w:firstLineChars="100"/>
      <w:jc w:val="both"/>
    </w:pPr>
    <w:rPr>
      <w:rFonts w:ascii="Times New Roman" w:hAnsi="Times New Roman" w:cs="Times New Roman"/>
      <w:kern w:val="2"/>
      <w:sz w:val="21"/>
      <w:szCs w:val="20"/>
      <w:lang w:val="en-US" w:bidi="ar-SA"/>
    </w:rPr>
  </w:style>
  <w:style w:type="paragraph" w:styleId="12">
    <w:name w:val="Body Text First Indent 2"/>
    <w:basedOn w:val="3"/>
    <w:next w:val="1"/>
    <w:unhideWhenUsed/>
    <w:qFormat/>
    <w:uiPriority w:val="0"/>
    <w:pPr>
      <w:autoSpaceDE w:val="0"/>
      <w:autoSpaceDN w:val="0"/>
      <w:adjustRightInd w:val="0"/>
      <w:spacing w:beforeLines="0" w:after="0" w:afterLines="0" w:line="360" w:lineRule="auto"/>
      <w:ind w:left="0" w:firstLine="420" w:firstLineChars="200"/>
      <w:jc w:val="left"/>
    </w:pPr>
    <w:rPr>
      <w:rFonts w:hint="default"/>
      <w:kern w:val="0"/>
      <w:sz w:val="24"/>
    </w:rPr>
  </w:style>
  <w:style w:type="paragraph" w:customStyle="1" w:styleId="15">
    <w:name w:val="表格文字"/>
    <w:basedOn w:val="1"/>
    <w:qFormat/>
    <w:uiPriority w:val="0"/>
    <w:pPr>
      <w:spacing w:before="25" w:after="25"/>
    </w:pPr>
    <w:rPr>
      <w:bCs/>
      <w:spacing w:val="10"/>
    </w:rPr>
  </w:style>
  <w:style w:type="character" w:customStyle="1" w:styleId="16">
    <w:name w:val="页眉 Char"/>
    <w:basedOn w:val="14"/>
    <w:link w:val="9"/>
    <w:qFormat/>
    <w:uiPriority w:val="99"/>
    <w:rPr>
      <w:rFonts w:ascii="Times New Roman" w:hAnsi="Times New Roman" w:eastAsia="宋体" w:cs="Times New Roman"/>
      <w:sz w:val="18"/>
      <w:szCs w:val="18"/>
    </w:rPr>
  </w:style>
  <w:style w:type="character" w:customStyle="1" w:styleId="17">
    <w:name w:val="页脚 Char"/>
    <w:basedOn w:val="14"/>
    <w:link w:val="8"/>
    <w:qFormat/>
    <w:uiPriority w:val="99"/>
    <w:rPr>
      <w:rFonts w:ascii="Times New Roman" w:hAnsi="Times New Roman" w:eastAsia="宋体" w:cs="Times New Roman"/>
      <w:sz w:val="18"/>
      <w:szCs w:val="18"/>
    </w:rPr>
  </w:style>
  <w:style w:type="character" w:customStyle="1" w:styleId="18">
    <w:name w:val="批注框文本 Char"/>
    <w:basedOn w:val="14"/>
    <w:link w:val="7"/>
    <w:semiHidden/>
    <w:qFormat/>
    <w:uiPriority w:val="99"/>
    <w:rPr>
      <w:rFonts w:ascii="Times New Roman" w:hAnsi="Times New Roman" w:eastAsia="宋体" w:cs="Times New Roman"/>
      <w:sz w:val="18"/>
      <w:szCs w:val="18"/>
    </w:rPr>
  </w:style>
  <w:style w:type="character" w:customStyle="1" w:styleId="19">
    <w:name w:val="Char Char1"/>
    <w:qFormat/>
    <w:locked/>
    <w:uiPriority w:val="0"/>
    <w:rPr>
      <w:rFonts w:hint="eastAsia" w:ascii="宋体" w:hAnsi="Courier New" w:eastAsia="宋体"/>
      <w:kern w:val="2"/>
      <w:sz w:val="21"/>
      <w:lang w:val="en-US" w:eastAsia="zh-CN" w:bidi="ar-SA"/>
    </w:rPr>
  </w:style>
  <w:style w:type="table" w:customStyle="1" w:styleId="20">
    <w:name w:val="Table Normal"/>
    <w:semiHidden/>
    <w:unhideWhenUsed/>
    <w:qFormat/>
    <w:uiPriority w:val="2"/>
    <w:tblPr>
      <w:tblCellMar>
        <w:top w:w="0" w:type="dxa"/>
        <w:left w:w="0" w:type="dxa"/>
        <w:bottom w:w="0" w:type="dxa"/>
        <w:right w:w="0" w:type="dxa"/>
      </w:tblCellMar>
    </w:tblPr>
  </w:style>
  <w:style w:type="paragraph" w:styleId="21">
    <w:name w:val="List Paragraph"/>
    <w:basedOn w:val="1"/>
    <w:qFormat/>
    <w:uiPriority w:val="1"/>
    <w:pPr>
      <w:spacing w:before="92"/>
      <w:ind w:left="980" w:hanging="601"/>
    </w:pPr>
    <w:rPr>
      <w:rFonts w:ascii="宋体" w:hAnsi="宋体" w:eastAsia="宋体" w:cs="宋体"/>
      <w:lang w:val="zh-CN" w:eastAsia="zh-CN" w:bidi="zh-CN"/>
    </w:rPr>
  </w:style>
  <w:style w:type="character" w:customStyle="1" w:styleId="22">
    <w:name w:val="样式 页眉 + 五号 Char"/>
    <w:link w:val="23"/>
    <w:qFormat/>
    <w:uiPriority w:val="0"/>
    <w:rPr>
      <w:rFonts w:ascii="Calibri" w:hAnsi="Calibri"/>
      <w:sz w:val="20"/>
    </w:rPr>
  </w:style>
  <w:style w:type="paragraph" w:customStyle="1" w:styleId="23">
    <w:name w:val="样式 页眉 + 五号"/>
    <w:basedOn w:val="9"/>
    <w:link w:val="22"/>
    <w:qFormat/>
    <w:uiPriority w:val="0"/>
    <w:pPr>
      <w:pBdr>
        <w:bottom w:val="none" w:color="auto" w:sz="0" w:space="0"/>
      </w:pBdr>
    </w:pPr>
    <w:rPr>
      <w:rFonts w:ascii="Calibri" w:hAnsi="Calibri"/>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4554</Words>
  <Characters>4812</Characters>
  <Lines>1</Lines>
  <Paragraphs>1</Paragraphs>
  <TotalTime>14</TotalTime>
  <ScaleCrop>false</ScaleCrop>
  <LinksUpToDate>false</LinksUpToDate>
  <CharactersWithSpaces>4911</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2021-11-15T01:46:16Z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24620FE07F824CEF9347841678D27BAF</vt:lpwstr>
  </property>
</Properties>
</file>