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85"/>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035"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8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694"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受审核部门：综合部 </w:t>
            </w:r>
            <w:r>
              <w:rPr>
                <w:rFonts w:hint="eastAsia" w:asciiTheme="minorEastAsia" w:hAnsiTheme="minorEastAsia" w:eastAsiaTheme="minorEastAsia" w:cstheme="minorEastAsia"/>
                <w:sz w:val="21"/>
                <w:szCs w:val="21"/>
                <w:lang w:val="en-US" w:eastAsia="zh-CN"/>
              </w:rPr>
              <w:t>（含财务）</w:t>
            </w:r>
            <w:r>
              <w:rPr>
                <w:rFonts w:hint="eastAsia" w:asciiTheme="minorEastAsia" w:hAnsiTheme="minorEastAsia" w:eastAsiaTheme="minorEastAsia" w:cstheme="minorEastAsia"/>
                <w:sz w:val="21"/>
                <w:szCs w:val="21"/>
              </w:rPr>
              <w:t xml:space="preserve">   主管领导：</w:t>
            </w:r>
            <w:r>
              <w:rPr>
                <w:rFonts w:hint="eastAsia" w:asciiTheme="minorEastAsia" w:hAnsiTheme="minorEastAsia" w:eastAsiaTheme="minorEastAsia" w:cstheme="minorEastAsia"/>
                <w:sz w:val="21"/>
                <w:szCs w:val="21"/>
                <w:lang w:val="en-US" w:eastAsia="zh-CN"/>
              </w:rPr>
              <w:t>武虎明   刘亚臣</w:t>
            </w:r>
            <w:r>
              <w:rPr>
                <w:rFonts w:hint="eastAsia" w:asciiTheme="minorEastAsia" w:hAnsiTheme="minorEastAsia" w:eastAsiaTheme="minorEastAsia" w:cstheme="minorEastAsia"/>
                <w:sz w:val="21"/>
                <w:szCs w:val="21"/>
              </w:rPr>
              <w:t xml:space="preserve">   </w:t>
            </w:r>
          </w:p>
        </w:tc>
        <w:tc>
          <w:tcPr>
            <w:tcW w:w="89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35" w:type="dxa"/>
            <w:vMerge w:val="continue"/>
            <w:vAlign w:val="center"/>
          </w:tcPr>
          <w:p>
            <w:pPr>
              <w:rPr>
                <w:rFonts w:hint="eastAsia" w:asciiTheme="minorEastAsia" w:hAnsiTheme="minorEastAsia" w:eastAsiaTheme="minorEastAsia" w:cstheme="minorEastAsia"/>
                <w:sz w:val="21"/>
                <w:szCs w:val="21"/>
              </w:rPr>
            </w:pPr>
          </w:p>
        </w:tc>
        <w:tc>
          <w:tcPr>
            <w:tcW w:w="1085" w:type="dxa"/>
            <w:vMerge w:val="continue"/>
            <w:vAlign w:val="center"/>
          </w:tcPr>
          <w:p>
            <w:pPr>
              <w:rPr>
                <w:rFonts w:hint="eastAsia" w:asciiTheme="minorEastAsia" w:hAnsiTheme="minorEastAsia" w:eastAsiaTheme="minorEastAsia" w:cstheme="minorEastAsia"/>
                <w:sz w:val="21"/>
                <w:szCs w:val="21"/>
              </w:rPr>
            </w:pPr>
          </w:p>
        </w:tc>
        <w:tc>
          <w:tcPr>
            <w:tcW w:w="10694" w:type="dxa"/>
            <w:vAlign w:val="center"/>
          </w:tcPr>
          <w:p>
            <w:pPr>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姜小清</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val="en-US" w:eastAsia="zh-CN"/>
              </w:rPr>
              <w:t>2021.8.1</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35" w:type="dxa"/>
            <w:vMerge w:val="continue"/>
            <w:vAlign w:val="center"/>
          </w:tcPr>
          <w:p>
            <w:pPr>
              <w:rPr>
                <w:rFonts w:hint="eastAsia" w:asciiTheme="minorEastAsia" w:hAnsiTheme="minorEastAsia" w:eastAsiaTheme="minorEastAsia" w:cstheme="minorEastAsia"/>
                <w:sz w:val="21"/>
                <w:szCs w:val="21"/>
              </w:rPr>
            </w:pPr>
          </w:p>
        </w:tc>
        <w:tc>
          <w:tcPr>
            <w:tcW w:w="1085" w:type="dxa"/>
            <w:vMerge w:val="continue"/>
            <w:vAlign w:val="center"/>
          </w:tcPr>
          <w:p>
            <w:pPr>
              <w:rPr>
                <w:rFonts w:hint="eastAsia" w:asciiTheme="minorEastAsia" w:hAnsiTheme="minorEastAsia" w:eastAsiaTheme="minorEastAsia" w:cstheme="minorEastAsia"/>
                <w:sz w:val="21"/>
                <w:szCs w:val="21"/>
              </w:rPr>
            </w:pPr>
          </w:p>
        </w:tc>
        <w:tc>
          <w:tcPr>
            <w:tcW w:w="10694" w:type="dxa"/>
            <w:vAlign w:val="center"/>
          </w:tcPr>
          <w:p>
            <w:pPr>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审核条款：部门职责权限、目标管理方案,风险与机遇；人力资源管理；采购控制情况，内部审核，环境和职业健康安全运行控制等</w:t>
            </w:r>
            <w:r>
              <w:rPr>
                <w:rFonts w:hint="eastAsia" w:asciiTheme="minorEastAsia" w:hAnsiTheme="minorEastAsia" w:eastAsiaTheme="minorEastAsia" w:cstheme="minorEastAsia"/>
                <w:sz w:val="21"/>
                <w:szCs w:val="21"/>
                <w:lang w:val="en-US" w:eastAsia="zh-CN"/>
              </w:rPr>
              <w:t>B审核ES</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ES</w:t>
            </w:r>
            <w:r>
              <w:rPr>
                <w:rFonts w:hint="eastAsia" w:asciiTheme="minorEastAsia" w:hAnsiTheme="minorEastAsia" w:eastAsiaTheme="minorEastAsia" w:cstheme="minorEastAsia"/>
                <w:sz w:val="21"/>
                <w:szCs w:val="21"/>
              </w:rPr>
              <w:t>:5.3/6.1.2/6.1.3/6.2/</w:t>
            </w:r>
            <w:r>
              <w:rPr>
                <w:rFonts w:hint="eastAsia" w:asciiTheme="minorEastAsia" w:hAnsiTheme="minorEastAsia" w:eastAsiaTheme="minorEastAsia" w:cstheme="minorEastAsia"/>
                <w:sz w:val="21"/>
                <w:szCs w:val="21"/>
                <w:lang w:val="en-US" w:eastAsia="zh-CN"/>
              </w:rPr>
              <w:t>7.1/</w:t>
            </w:r>
            <w:r>
              <w:rPr>
                <w:rFonts w:hint="eastAsia" w:asciiTheme="minorEastAsia" w:hAnsiTheme="minorEastAsia" w:eastAsiaTheme="minorEastAsia" w:cstheme="minorEastAsia"/>
                <w:sz w:val="21"/>
                <w:szCs w:val="21"/>
              </w:rPr>
              <w:t>7.2/7.3/7.4/7.5/8.1/8.</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9.1.2/</w:t>
            </w:r>
            <w:r>
              <w:rPr>
                <w:rFonts w:hint="eastAsia" w:asciiTheme="minorEastAsia" w:hAnsiTheme="minorEastAsia" w:eastAsiaTheme="minorEastAsia" w:cstheme="minorEastAsia"/>
                <w:sz w:val="21"/>
                <w:szCs w:val="21"/>
              </w:rPr>
              <w:t>9.2/10.1/10.2</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组织的岗位、职责权限</w:t>
            </w:r>
          </w:p>
        </w:tc>
        <w:tc>
          <w:tcPr>
            <w:tcW w:w="108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EO5.3</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p>
        </w:tc>
        <w:tc>
          <w:tcPr>
            <w:tcW w:w="10694"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部门负责人：武虎明</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综合部经理的职责为：</w:t>
            </w:r>
            <w:bookmarkStart w:id="0" w:name="_GoBack"/>
            <w:bookmarkEnd w:id="0"/>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主持综合部经理工作；</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协助管理者代表组建公司的 环境/职业健康安全管理体系，并协助维持体系的运行和持续改进；</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负责《管理手册》、《程序文件》等质量管理体系文件的标识、编号、发放、回收、处置等控制管理</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组织负责公司内审工作。</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负责质量管理体系组织设计与人员配置情况</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文件管理与档案管理情况</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做好人员的培训计划，组织公司内部员工的培训工作</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公司行政会议的记录、催办、落实；</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负责公司 环境/职业健康安全管理体系文件及档案的管理；策划和实施环境/职业健康安全管理体系</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公司合同、营业证照、税务登记证及所获得的各种证书的管理；</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负责公司各种资质及公司产品认证的申报；</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对公司人员进行环境/职业健康安全管理体系相关条款的培训。使公司运行符合环境/职业健康安全标准的要求；</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负责公司的采购，库存管理，收、发货工作。</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合格供方的评定工作</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负责本部门环境因素、危险源的识别和评价，并确定重要环境因素、危险源，报综合部审批</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贯彻落实GB/T19001-2008标准、GB/T24001-2004标准、GB/T45001-2020/GB/T45001-2020/ISO45001:2018标准，作好质量、环境、职业安全健康管理体系的执行工作；</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职责明确，回答基本正确，沟通顺畅。</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35"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风险辨识、评价和控制措施的策划</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p>
        </w:tc>
        <w:tc>
          <w:tcPr>
            <w:tcW w:w="1085"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EO6.1.2</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tc>
        <w:tc>
          <w:tcPr>
            <w:tcW w:w="10694"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危险源辨识与风险评价管理程序》，符合标准要求，对影响职业健康安全的危险源，评价其风险程度及级别，不可接受风险评价的标准和更新的时机,并确定更新不可接受风险因素从而进行有效控制等方面的管理要求进行了规定，满足要求。</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企业提供的：“危险源识别与风险评价表”、“不可接受风险源清单”，评价考虑了将来、状态、可能导致的事件</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查“危险源识别与风险评价表”查危害因素：主要包括：接触从疫情区回来的人员、办公区域无灭火器或过期未及时更换、线路过载、短路引燃易燃物品、电脑未断电修理、触电等，制定了相应的风险控制措施。</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用打分法考虑了法规符合性、发生频次、影响范围等, 通过是非法，共识别出不可接受风险5项，涉及：潜在火灾、爆炸、触电、食物中毒、新冠疫情、意外伤害等，评价符合程序要求及公司的实际情况。</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对危险源的控制措施包括制定目标指标和管理方案、控制检查、应急预案、教育培训等。 </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环境因素识别与评价控制程序》，符合标准要求，对影响公司在活动的环境因素进行识别，评价出重要环境因素，并根据公司相关情况的变化及有关法律、法规和其他要求的变化，及时更新环境因素，实现对环境污染的预防和有效控制等方面的管理要求进行了规定，满足要求。</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查“环境因素辨识与评价清单” ：识别出环境因素共32项，主要包括：电消耗、废硒鼓的产生、固体废弃物的处理、废复写纸的处理、污水排放等，有控制措施。</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评价出重要环境因素：潜在火灾事故发生、固体废弃物处理、均制定了控制措施。</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查上述重要环境因素制定目标指标和管理方案，基本合理、有效。</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35"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合规义务、法律法规及其他要求</w:t>
            </w:r>
          </w:p>
        </w:tc>
        <w:tc>
          <w:tcPr>
            <w:tcW w:w="1085"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EO6.1.3</w:t>
            </w:r>
          </w:p>
        </w:tc>
        <w:tc>
          <w:tcPr>
            <w:tcW w:w="10694"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法律法规和其它要求控制程序》要求，随时对法律法规的更新进行跟踪，并进行补充。识别了法律法规清单。获取渠道为网上下载。获取了国家法律、环境保护、职业健康、质量、安全、地方法规等适用的法律、法规和其他要求等，包括：安全生产法、环境保护法、职业病防治法、清洁生产法、固体废弃物污染环境防治法、消防法、中华人民共和国标准化法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查《环境法律法规清单》收集的环境法律法规。组织进行了合规性的评价。</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查合规性评价记录：评价人：韩明波 武虎明 杨其兵 杨跃   日期：2020.4.10</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提供《职业健康安全法律法规清单》收集的职业健康和安全法律法规。组织进行了合规性的评价。</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查合规性评价记录，评价人：韩明波 武虎明 杨其兵 杨跃       日期：2020.4.10</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经查看，及时对国家法律、环境保护、职业健康、安全、地方法规等进行了传递、宣贯，并得到落实，有效。</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无违反法律法规的是发生。</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管理目标及其实现的策划</w:t>
            </w:r>
          </w:p>
          <w:p>
            <w:pPr>
              <w:spacing w:line="280" w:lineRule="exact"/>
              <w:rPr>
                <w:rFonts w:hint="eastAsia" w:asciiTheme="minorEastAsia" w:hAnsiTheme="minorEastAsia" w:eastAsiaTheme="minorEastAsia" w:cstheme="minorEastAsia"/>
                <w:sz w:val="21"/>
                <w:szCs w:val="21"/>
              </w:rPr>
            </w:pPr>
          </w:p>
        </w:tc>
        <w:tc>
          <w:tcPr>
            <w:tcW w:w="1085"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O6.2</w:t>
            </w:r>
          </w:p>
          <w:p>
            <w:pPr>
              <w:spacing w:line="280" w:lineRule="exact"/>
              <w:rPr>
                <w:rFonts w:hint="eastAsia" w:asciiTheme="minorEastAsia" w:hAnsiTheme="minorEastAsia" w:eastAsiaTheme="minorEastAsia" w:cstheme="minorEastAsia"/>
                <w:sz w:val="21"/>
                <w:szCs w:val="21"/>
              </w:rPr>
            </w:pPr>
          </w:p>
        </w:tc>
        <w:tc>
          <w:tcPr>
            <w:tcW w:w="10694"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w:t>
            </w:r>
          </w:p>
          <w:p>
            <w:pPr>
              <w:spacing w:line="460" w:lineRule="exact"/>
              <w:jc w:val="lef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公司总目标：</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固体废弃物100%分类，合理处理；</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环境污染事故发生率为零</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各类重伤以上事故发生率为零； </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火灾事故发生率为零。</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目标可测量，与公司管理方针一致。</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综合部的目标分解为：</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员工培训按时完成率100%。</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环境污染事故为零。</w:t>
            </w:r>
          </w:p>
          <w:p>
            <w:pPr>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火灾事故发生率为零。</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w:t>
            </w:r>
            <w:r>
              <w:rPr>
                <w:rFonts w:hint="eastAsia" w:asciiTheme="minorEastAsia" w:hAnsiTheme="minorEastAsia" w:eastAsiaTheme="minorEastAsia" w:cstheme="minorEastAsia"/>
                <w:sz w:val="21"/>
                <w:szCs w:val="21"/>
                <w:lang w:eastAsia="zh-CN"/>
              </w:rPr>
              <w:t>季度</w:t>
            </w:r>
            <w:r>
              <w:rPr>
                <w:rFonts w:hint="eastAsia" w:asciiTheme="minorEastAsia" w:hAnsiTheme="minorEastAsia" w:eastAsiaTheme="minorEastAsia" w:cstheme="minorEastAsia"/>
                <w:sz w:val="21"/>
                <w:szCs w:val="21"/>
              </w:rPr>
              <w:t>由综合部按公司管理目标考核要求统计考核公司管理目标完成情况，提交管理评审会议。查到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2021.1-</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公司管理目标完成情况，各项目标均已完成，考核部门综合部。</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3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EO资源</w:t>
            </w:r>
          </w:p>
        </w:tc>
        <w:tc>
          <w:tcPr>
            <w:tcW w:w="1085" w:type="dxa"/>
            <w:vAlign w:val="center"/>
          </w:tcPr>
          <w:p>
            <w:pPr>
              <w:keepNext w:val="0"/>
              <w:keepLines w:val="0"/>
              <w:widowControl/>
              <w:suppressLineNumbers w:val="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7.1.1</w:t>
            </w:r>
          </w:p>
        </w:tc>
        <w:tc>
          <w:tcPr>
            <w:tcW w:w="10694" w:type="dxa"/>
            <w:vAlign w:val="center"/>
          </w:tcPr>
          <w:p>
            <w:pPr>
              <w:keepNext w:val="0"/>
              <w:keepLines w:val="0"/>
              <w:widowControl/>
              <w:suppressLineNumbers w:val="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查组织安全环保资源包括人力物力及财力投入基本满足要求；</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03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人员、能力、培训</w:t>
            </w:r>
          </w:p>
        </w:tc>
        <w:tc>
          <w:tcPr>
            <w:tcW w:w="10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EO7.2</w:t>
            </w:r>
          </w:p>
          <w:p>
            <w:pPr>
              <w:pStyle w:val="2"/>
              <w:rPr>
                <w:rFonts w:hint="eastAsia" w:asciiTheme="minorEastAsia" w:hAnsiTheme="minorEastAsia" w:eastAsiaTheme="minorEastAsia" w:cstheme="minorEastAsia"/>
                <w:sz w:val="21"/>
                <w:szCs w:val="21"/>
              </w:rPr>
            </w:pPr>
          </w:p>
        </w:tc>
        <w:tc>
          <w:tcPr>
            <w:tcW w:w="10694" w:type="dxa"/>
            <w:vAlign w:val="center"/>
          </w:tcPr>
          <w:p>
            <w:pPr>
              <w:pStyle w:val="7"/>
              <w:widowControl/>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编制《人员能力、意识控制程序》，已识别与QMS相关人员：各部门负责人、采购人员、销售人员内审员，提供了岗位职责权限及任职要求。公司无特殊工种。</w:t>
            </w:r>
          </w:p>
          <w:p>
            <w:pPr>
              <w:pStyle w:val="7"/>
              <w:widowControl/>
              <w:ind w:firstLine="420" w:firstLineChars="200"/>
              <w:rPr>
                <w:rFonts w:hint="eastAsia" w:asciiTheme="minorEastAsia" w:hAnsiTheme="minorEastAsia" w:eastAsiaTheme="minorEastAsia" w:cstheme="minorEastAsia"/>
                <w:sz w:val="21"/>
                <w:szCs w:val="21"/>
                <w:lang w:val="en-US" w:eastAsia="zh-CN"/>
              </w:rPr>
            </w:pPr>
          </w:p>
          <w:p>
            <w:pPr>
              <w:pStyle w:val="7"/>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查能力评价</w:t>
            </w:r>
            <w:r>
              <w:rPr>
                <w:rFonts w:hint="eastAsia" w:asciiTheme="minorEastAsia" w:hAnsiTheme="minorEastAsia" w:eastAsiaTheme="minorEastAsia" w:cstheme="minorEastAsia"/>
                <w:sz w:val="21"/>
                <w:szCs w:val="21"/>
                <w:lang w:eastAsia="zh-CN"/>
              </w:rPr>
              <w:t>情况</w:t>
            </w:r>
          </w:p>
          <w:p>
            <w:pPr>
              <w:pStyle w:val="7"/>
              <w:widowControl/>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定期对员工进</w:t>
            </w:r>
            <w:r>
              <w:rPr>
                <w:rFonts w:hint="eastAsia" w:asciiTheme="minorEastAsia" w:hAnsiTheme="minorEastAsia" w:eastAsiaTheme="minorEastAsia" w:cstheme="minorEastAsia"/>
                <w:sz w:val="21"/>
                <w:szCs w:val="21"/>
                <w:highlight w:val="none"/>
                <w:lang w:val="en-US" w:eastAsia="zh-CN"/>
              </w:rPr>
              <w:t>行能力评价</w:t>
            </w: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kern w:val="2"/>
                <w:sz w:val="21"/>
                <w:szCs w:val="21"/>
                <w:highlight w:val="none"/>
                <w:lang w:val="zh-CN" w:eastAsia="zh-CN" w:bidi="ar-SA"/>
              </w:rPr>
              <w:t>抽对</w:t>
            </w:r>
            <w:r>
              <w:rPr>
                <w:rFonts w:hint="eastAsia" w:asciiTheme="minorEastAsia" w:hAnsiTheme="minorEastAsia" w:eastAsiaTheme="minorEastAsia" w:cstheme="minorEastAsia"/>
                <w:kern w:val="2"/>
                <w:sz w:val="21"/>
                <w:szCs w:val="21"/>
                <w:highlight w:val="none"/>
                <w:lang w:val="en-US" w:eastAsia="zh-CN" w:bidi="ar-SA"/>
              </w:rPr>
              <w:t>会计</w:t>
            </w:r>
            <w:r>
              <w:rPr>
                <w:rFonts w:hint="eastAsia" w:asciiTheme="minorEastAsia" w:hAnsiTheme="minorEastAsia" w:eastAsiaTheme="minorEastAsia" w:cstheme="minorEastAsia"/>
                <w:kern w:val="2"/>
                <w:sz w:val="21"/>
                <w:szCs w:val="21"/>
                <w:highlight w:val="none"/>
                <w:lang w:val="zh-CN" w:eastAsia="zh-CN" w:bidi="ar-SA"/>
              </w:rPr>
              <w:t>岗</w:t>
            </w:r>
            <w:r>
              <w:rPr>
                <w:rFonts w:hint="eastAsia" w:asciiTheme="minorEastAsia" w:hAnsiTheme="minorEastAsia" w:eastAsiaTheme="minorEastAsia" w:cstheme="minorEastAsia"/>
                <w:kern w:val="2"/>
                <w:sz w:val="21"/>
                <w:szCs w:val="21"/>
                <w:highlight w:val="none"/>
                <w:lang w:val="en-US" w:eastAsia="zh-CN" w:bidi="ar-SA"/>
              </w:rPr>
              <w:t>刘亚辰</w:t>
            </w:r>
            <w:r>
              <w:rPr>
                <w:rFonts w:hint="eastAsia" w:asciiTheme="minorEastAsia" w:hAnsiTheme="minorEastAsia" w:eastAsiaTheme="minorEastAsia" w:cstheme="minorEastAsia"/>
                <w:kern w:val="2"/>
                <w:sz w:val="21"/>
                <w:szCs w:val="21"/>
                <w:highlight w:val="none"/>
                <w:lang w:val="zh-CN" w:eastAsia="zh-CN" w:bidi="ar-SA"/>
              </w:rPr>
              <w:t>的评价表</w:t>
            </w:r>
            <w:r>
              <w:rPr>
                <w:rFonts w:hint="eastAsia" w:asciiTheme="minorEastAsia" w:hAnsiTheme="minorEastAsia" w:eastAsiaTheme="minorEastAsia" w:cstheme="minorEastAsia"/>
                <w:kern w:val="2"/>
                <w:sz w:val="21"/>
                <w:szCs w:val="21"/>
                <w:highlight w:val="none"/>
                <w:lang w:val="en-US" w:eastAsia="zh-CN" w:bidi="ar-SA"/>
              </w:rPr>
              <w:t>,评价内容包括：、教育程度、工作经验、岗位技能、专业培训、工作态度、团队意识等，共6项，结论是:合格,评价人：杨跃  日期：2020年6月20日。</w:t>
            </w:r>
            <w:r>
              <w:rPr>
                <w:rFonts w:hint="eastAsia" w:asciiTheme="minorEastAsia" w:hAnsiTheme="minorEastAsia" w:eastAsiaTheme="minorEastAsia" w:cstheme="minorEastAsia"/>
                <w:color w:val="000000"/>
                <w:sz w:val="21"/>
                <w:szCs w:val="21"/>
                <w:highlight w:val="none"/>
                <w:lang w:eastAsia="zh-CN"/>
              </w:rPr>
              <w:t>没有对应急能力、环境</w:t>
            </w:r>
            <w:r>
              <w:rPr>
                <w:rFonts w:hint="eastAsia" w:asciiTheme="minorEastAsia" w:hAnsiTheme="minorEastAsia" w:eastAsiaTheme="minorEastAsia" w:cstheme="minorEastAsia"/>
                <w:color w:val="000000"/>
                <w:sz w:val="21"/>
                <w:szCs w:val="21"/>
                <w:highlight w:val="none"/>
                <w:lang w:val="en-US" w:eastAsia="zh-CN"/>
              </w:rPr>
              <w:t>意识内容</w:t>
            </w:r>
            <w:r>
              <w:rPr>
                <w:rFonts w:hint="eastAsia" w:asciiTheme="minorEastAsia" w:hAnsiTheme="minorEastAsia" w:eastAsiaTheme="minorEastAsia" w:cstheme="minorEastAsia"/>
                <w:color w:val="000000"/>
                <w:sz w:val="21"/>
                <w:szCs w:val="21"/>
                <w:highlight w:val="none"/>
              </w:rPr>
              <w:t>评价</w:t>
            </w:r>
            <w:r>
              <w:rPr>
                <w:rFonts w:hint="eastAsia" w:asciiTheme="minorEastAsia" w:hAnsiTheme="minorEastAsia" w:eastAsiaTheme="minorEastAsia" w:cstheme="minorEastAsia"/>
                <w:color w:val="000000"/>
                <w:sz w:val="21"/>
                <w:szCs w:val="21"/>
                <w:highlight w:val="none"/>
                <w:lang w:eastAsia="zh-CN"/>
              </w:rPr>
              <w:t>。建议改进，现场补充审核时追踪；</w:t>
            </w:r>
          </w:p>
          <w:p>
            <w:pP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kern w:val="2"/>
                <w:sz w:val="21"/>
                <w:szCs w:val="21"/>
                <w:highlight w:val="none"/>
                <w:lang w:val="zh-CN" w:eastAsia="zh-CN" w:bidi="ar-SA"/>
              </w:rPr>
              <w:t>查培训计划及实施。</w:t>
            </w:r>
          </w:p>
          <w:p>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zh-CN" w:eastAsia="zh-CN" w:bidi="ar-SA"/>
              </w:rPr>
              <w:t>执行《人员能力、意识控制程序》，企业提供了《岗位资格任职要求》，对各岗位的任职条件做了规定。编制了</w:t>
            </w:r>
            <w:r>
              <w:rPr>
                <w:rFonts w:hint="eastAsia" w:asciiTheme="minorEastAsia" w:hAnsiTheme="minorEastAsia" w:eastAsiaTheme="minorEastAsia" w:cstheme="minorEastAsia"/>
                <w:kern w:val="2"/>
                <w:sz w:val="21"/>
                <w:szCs w:val="21"/>
                <w:highlight w:val="none"/>
                <w:lang w:val="en-US" w:eastAsia="zh-CN" w:bidi="ar-SA"/>
              </w:rPr>
              <w:t>2021年</w:t>
            </w:r>
            <w:r>
              <w:rPr>
                <w:rFonts w:hint="eastAsia" w:asciiTheme="minorEastAsia" w:hAnsiTheme="minorEastAsia" w:eastAsiaTheme="minorEastAsia" w:cstheme="minorEastAsia"/>
                <w:kern w:val="2"/>
                <w:sz w:val="21"/>
                <w:szCs w:val="21"/>
                <w:highlight w:val="none"/>
                <w:lang w:val="zh-CN" w:eastAsia="zh-CN" w:bidi="ar-SA"/>
              </w:rPr>
              <w:t>培训计划。</w:t>
            </w:r>
          </w:p>
          <w:p>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zh-CN" w:eastAsia="zh-CN" w:bidi="ar-SA"/>
              </w:rPr>
              <w:t>抽</w:t>
            </w:r>
            <w:r>
              <w:rPr>
                <w:rFonts w:hint="eastAsia" w:asciiTheme="minorEastAsia" w:hAnsiTheme="minorEastAsia" w:eastAsiaTheme="minorEastAsia" w:cstheme="minorEastAsia"/>
                <w:kern w:val="2"/>
                <w:sz w:val="21"/>
                <w:szCs w:val="21"/>
                <w:highlight w:val="none"/>
                <w:lang w:val="en-US" w:eastAsia="zh-CN" w:bidi="ar-SA"/>
              </w:rPr>
              <w:t>2021</w:t>
            </w:r>
            <w:r>
              <w:rPr>
                <w:rFonts w:hint="eastAsia" w:asciiTheme="minorEastAsia" w:hAnsiTheme="minorEastAsia" w:eastAsiaTheme="minorEastAsia" w:cstheme="minorEastAsia"/>
                <w:kern w:val="2"/>
                <w:sz w:val="21"/>
                <w:szCs w:val="21"/>
                <w:highlight w:val="none"/>
                <w:lang w:val="zh-CN" w:eastAsia="zh-CN" w:bidi="ar-SA"/>
              </w:rPr>
              <w:t>年度培训计划，计划中明确了培训对象、培训学时、培训日期、培训内容等，培训内容主要包括：QES管理体系贯标培训、体系文件培训、内审员培训、技能培训、法律法规培训、ES管理体系贯标培训等。</w:t>
            </w:r>
            <w:r>
              <w:rPr>
                <w:rFonts w:hint="eastAsia" w:asciiTheme="minorEastAsia" w:hAnsiTheme="minorEastAsia" w:eastAsiaTheme="minorEastAsia" w:cstheme="minorEastAsia"/>
                <w:kern w:val="2"/>
                <w:sz w:val="21"/>
                <w:szCs w:val="21"/>
                <w:highlight w:val="none"/>
                <w:lang w:val="en-US" w:eastAsia="zh-CN" w:bidi="ar-SA"/>
              </w:rPr>
              <w:t xml:space="preserve"> </w:t>
            </w:r>
          </w:p>
          <w:p>
            <w:pPr>
              <w:pStyle w:val="2"/>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抽查培训记录内容包括课时学习课程教师考核方式及成绩等内容、基本符合规定；</w:t>
            </w:r>
          </w:p>
          <w:p>
            <w:pPr>
              <w:pStyle w:val="2"/>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bCs w:val="0"/>
                <w:kern w:val="2"/>
                <w:sz w:val="21"/>
                <w:szCs w:val="21"/>
                <w:highlight w:val="none"/>
                <w:lang w:val="en-US" w:eastAsia="zh-CN" w:bidi="ar-SA"/>
              </w:rPr>
              <w:t>查人员资格</w:t>
            </w:r>
            <w:r>
              <w:rPr>
                <w:rFonts w:hint="eastAsia" w:asciiTheme="minorEastAsia" w:hAnsiTheme="minorEastAsia" w:eastAsiaTheme="minorEastAsia" w:cstheme="minorEastAsia"/>
                <w:kern w:val="2"/>
                <w:sz w:val="21"/>
                <w:szCs w:val="21"/>
                <w:highlight w:val="none"/>
                <w:lang w:val="en-US" w:eastAsia="zh-CN" w:bidi="ar-SA"/>
              </w:rPr>
              <w:t>：</w:t>
            </w:r>
          </w:p>
          <w:p>
            <w:pPr>
              <w:pStyle w:val="2"/>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《北京市从业人员健康证明》杨其兵、编号61242219851108****、长期有效；</w:t>
            </w:r>
          </w:p>
          <w:p>
            <w:pPr>
              <w:pStyle w:val="2"/>
              <w:ind w:firstLine="2990" w:firstLineChars="13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杨跃、编号34262319920326****、长期有效；</w:t>
            </w:r>
          </w:p>
          <w:p>
            <w:pPr>
              <w:pStyle w:val="2"/>
              <w:ind w:firstLine="2990" w:firstLineChars="13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姚娜、编号2303022000********、长期有效；</w:t>
            </w:r>
          </w:p>
          <w:p>
            <w:pPr>
              <w:pStyle w:val="2"/>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通过（北京）“卫生法规知识培训合格”（证）、杨其兵、编号通1321210021474、日期2021.5.25；</w:t>
            </w:r>
          </w:p>
          <w:p>
            <w:pPr>
              <w:pStyle w:val="2"/>
              <w:ind w:firstLine="5060" w:firstLineChars="22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杨跃、编号“通1321210021499”、日期同上；</w:t>
            </w:r>
          </w:p>
          <w:p>
            <w:pPr>
              <w:pStyle w:val="2"/>
              <w:ind w:firstLine="5060" w:firstLineChars="220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姚娜、编号“昌1014200017079”、发证日期2020.9.6；</w:t>
            </w:r>
          </w:p>
          <w:p>
            <w:pPr>
              <w:pStyle w:val="2"/>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无</w:t>
            </w:r>
            <w:r>
              <w:rPr>
                <w:rFonts w:hint="eastAsia" w:asciiTheme="minorEastAsia" w:hAnsiTheme="minorEastAsia" w:eastAsiaTheme="minorEastAsia" w:cstheme="minorEastAsia"/>
                <w:b/>
                <w:bCs w:val="0"/>
                <w:kern w:val="2"/>
                <w:sz w:val="21"/>
                <w:szCs w:val="21"/>
                <w:highlight w:val="none"/>
                <w:lang w:val="en-US" w:eastAsia="zh-CN" w:bidi="ar-SA"/>
              </w:rPr>
              <w:t>电工及其他特种设备</w:t>
            </w:r>
            <w:r>
              <w:rPr>
                <w:rFonts w:hint="eastAsia" w:asciiTheme="minorEastAsia" w:hAnsiTheme="minorEastAsia" w:eastAsiaTheme="minorEastAsia" w:cstheme="minorEastAsia"/>
                <w:kern w:val="2"/>
                <w:sz w:val="21"/>
                <w:szCs w:val="21"/>
                <w:highlight w:val="none"/>
                <w:lang w:val="en-US" w:eastAsia="zh-CN" w:bidi="ar-SA"/>
              </w:rPr>
              <w:t>工种人员的需要；</w:t>
            </w:r>
          </w:p>
          <w:p>
            <w:pPr>
              <w:pStyle w:val="2"/>
              <w:rPr>
                <w:rFonts w:hint="eastAsia" w:asciiTheme="minorEastAsia" w:hAnsiTheme="minorEastAsia" w:eastAsiaTheme="minorEastAsia" w:cstheme="minorEastAsia"/>
                <w:bCs w:val="0"/>
                <w:color w:val="333333"/>
                <w:spacing w:val="0"/>
                <w:sz w:val="21"/>
                <w:szCs w:val="21"/>
                <w:shd w:val="clear" w:color="auto" w:fill="FFFFFF"/>
              </w:rPr>
            </w:pPr>
            <w:r>
              <w:rPr>
                <w:rFonts w:hint="eastAsia" w:asciiTheme="minorEastAsia" w:hAnsiTheme="minorEastAsia" w:eastAsiaTheme="minorEastAsia" w:cstheme="minorEastAsia"/>
                <w:b/>
                <w:bCs w:val="0"/>
                <w:sz w:val="21"/>
                <w:szCs w:val="21"/>
                <w:highlight w:val="none"/>
                <w:lang w:val="en-US" w:eastAsia="zh-CN"/>
              </w:rPr>
              <w:t>近一年</w:t>
            </w:r>
            <w:r>
              <w:rPr>
                <w:rFonts w:hint="eastAsia" w:asciiTheme="minorEastAsia" w:hAnsiTheme="minorEastAsia" w:eastAsiaTheme="minorEastAsia" w:cstheme="minorEastAsia"/>
                <w:b/>
                <w:bCs w:val="0"/>
                <w:sz w:val="21"/>
                <w:szCs w:val="21"/>
                <w:highlight w:val="none"/>
                <w:lang w:val="zh-CN" w:eastAsia="zh-CN"/>
              </w:rPr>
              <w:t>无</w:t>
            </w:r>
            <w:r>
              <w:rPr>
                <w:rFonts w:hint="eastAsia" w:asciiTheme="minorEastAsia" w:hAnsiTheme="minorEastAsia" w:eastAsiaTheme="minorEastAsia" w:cstheme="minorEastAsia"/>
                <w:sz w:val="21"/>
                <w:szCs w:val="21"/>
                <w:highlight w:val="none"/>
                <w:lang w:val="zh-CN" w:eastAsia="zh-CN"/>
              </w:rPr>
              <w:t>新员工</w:t>
            </w:r>
            <w:r>
              <w:rPr>
                <w:rFonts w:hint="eastAsia" w:asciiTheme="minorEastAsia" w:hAnsiTheme="minorEastAsia" w:eastAsiaTheme="minorEastAsia" w:cstheme="minorEastAsia"/>
                <w:color w:val="000000"/>
                <w:sz w:val="21"/>
                <w:szCs w:val="21"/>
                <w:highlight w:val="none"/>
                <w:lang w:eastAsia="zh-CN"/>
              </w:rPr>
              <w:t>；</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03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意识</w:t>
            </w:r>
          </w:p>
        </w:tc>
        <w:tc>
          <w:tcPr>
            <w:tcW w:w="108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EO7.3</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p>
        </w:tc>
        <w:tc>
          <w:tcPr>
            <w:tcW w:w="10694"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要通过培训提高岗位作业水平及质量和环境、安全意识，明确各岗位要求，销售人员、财务人员及办公人员自身工作对环境、安全目标的影响，以及如何通过培训和互相交流提高环境绩效，不符合质量管理体系、环境管理体系和职业健康安全管理体系要求的后果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询问综合部人员，清楚与其相关的质量、重要环境因素与职业健康安全风险。</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03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沟通、参与和协商</w:t>
            </w:r>
          </w:p>
        </w:tc>
        <w:tc>
          <w:tcPr>
            <w:tcW w:w="108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QEO7.4</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p>
        </w:tc>
        <w:tc>
          <w:tcPr>
            <w:tcW w:w="10694"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策划编制的程序文件《信息交流控制程序》及管理手册的相关章节规定了企业内、外部沟通和员工就职业健康安全事务参与、协商的要求，经查阅和交谈符合标准要求。</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查内部沟通：主要通过文件、会议、网络等形式进行沟通。沟通的内容主要是：员工福利待遇、人事调动、人员培训、规章制度等。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外部沟通：，要有与北京二商大红门肉类食品有限公司、三河汇福粮油集团精炼植物油有限公司、北京市老才臣食品有限公司、北京二商大红门五肉联食品有限公司等供方进行沟通，与中国石油化股份有限公司北京北化院燕山分院、北京餐易捷餐饮管理有限公司等客户进行沟通，内容有传达公司一体化管理方针、环境目标指标、重大环境影响及控制，要求主要通过文件、会议、合同、信函等方式进行，建立了沟通记录。</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目前各项沟通都较为及时、顺畅、效果较好</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03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文件化信息</w:t>
            </w:r>
          </w:p>
        </w:tc>
        <w:tc>
          <w:tcPr>
            <w:tcW w:w="108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EO7.5</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p>
        </w:tc>
        <w:tc>
          <w:tcPr>
            <w:tcW w:w="10694"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受审核方建立的管理体系文件包括：</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1.管理手册</w:t>
            </w:r>
            <w:r>
              <w:rPr>
                <w:rFonts w:hint="eastAsia" w:asciiTheme="minorEastAsia" w:hAnsiTheme="minorEastAsia" w:eastAsiaTheme="minorEastAsia" w:cstheme="minorEastAsia"/>
                <w:color w:val="auto"/>
                <w:sz w:val="21"/>
                <w:szCs w:val="21"/>
                <w:lang w:val="zh-CN" w:eastAsia="zh-CN"/>
              </w:rPr>
              <w:t>LYBF-SC-</w:t>
            </w:r>
            <w:r>
              <w:rPr>
                <w:rFonts w:hint="eastAsia" w:asciiTheme="minorEastAsia" w:hAnsiTheme="minorEastAsia" w:eastAsiaTheme="minorEastAsia" w:cstheme="minorEastAsia"/>
                <w:color w:val="auto"/>
                <w:sz w:val="21"/>
                <w:szCs w:val="21"/>
                <w:lang w:val="en-US" w:eastAsia="zh-CN"/>
              </w:rPr>
              <w:t>A/0-</w:t>
            </w:r>
            <w:r>
              <w:rPr>
                <w:rFonts w:hint="eastAsia" w:asciiTheme="minorEastAsia" w:hAnsiTheme="minorEastAsia" w:eastAsiaTheme="minorEastAsia" w:cstheme="minorEastAsia"/>
                <w:color w:val="auto"/>
                <w:sz w:val="21"/>
                <w:szCs w:val="21"/>
                <w:lang w:val="zh-CN" w:eastAsia="zh-CN"/>
              </w:rPr>
              <w:t xml:space="preserve">2020 </w:t>
            </w:r>
            <w:r>
              <w:rPr>
                <w:rFonts w:hint="eastAsia" w:asciiTheme="minorEastAsia" w:hAnsiTheme="minorEastAsia" w:eastAsiaTheme="minorEastAsia" w:cstheme="minorEastAsia"/>
                <w:color w:val="auto"/>
                <w:sz w:val="21"/>
                <w:szCs w:val="21"/>
                <w:lang w:val="en-US" w:eastAsia="zh-CN"/>
              </w:rPr>
              <w:t>A/0版，发布时间：</w:t>
            </w:r>
            <w:r>
              <w:rPr>
                <w:rFonts w:hint="eastAsia" w:asciiTheme="minorEastAsia" w:hAnsiTheme="minorEastAsia" w:eastAsiaTheme="minorEastAsia" w:cstheme="minorEastAsia"/>
                <w:color w:val="auto"/>
                <w:sz w:val="21"/>
                <w:szCs w:val="21"/>
                <w:lang w:val="zh-CN" w:eastAsia="zh-CN"/>
              </w:rPr>
              <w:t>2020年3月10日</w:t>
            </w:r>
            <w:r>
              <w:rPr>
                <w:rFonts w:hint="eastAsia" w:asciiTheme="minorEastAsia" w:hAnsiTheme="minorEastAsia" w:eastAsiaTheme="minorEastAsia" w:cstheme="minorEastAsia"/>
                <w:color w:val="auto"/>
                <w:sz w:val="21"/>
                <w:szCs w:val="21"/>
                <w:lang w:val="en-US" w:eastAsia="zh-CN"/>
              </w:rPr>
              <w:t>实施时间：</w:t>
            </w:r>
            <w:r>
              <w:rPr>
                <w:rFonts w:hint="eastAsia" w:asciiTheme="minorEastAsia" w:hAnsiTheme="minorEastAsia" w:eastAsiaTheme="minorEastAsia" w:cstheme="minorEastAsia"/>
                <w:color w:val="auto"/>
                <w:sz w:val="21"/>
                <w:szCs w:val="21"/>
                <w:lang w:val="zh-CN" w:eastAsia="zh-CN"/>
              </w:rPr>
              <w:t>2020年3月10日</w:t>
            </w:r>
            <w:r>
              <w:rPr>
                <w:rFonts w:hint="eastAsia" w:asciiTheme="minorEastAsia" w:hAnsiTheme="minorEastAsia" w:eastAsiaTheme="minorEastAsia" w:cstheme="minorEastAsia"/>
                <w:color w:val="auto"/>
                <w:sz w:val="21"/>
                <w:szCs w:val="21"/>
                <w:lang w:val="en-US" w:eastAsia="zh-CN"/>
              </w:rPr>
              <w:t>2.程序文件</w:t>
            </w:r>
            <w:r>
              <w:rPr>
                <w:rFonts w:hint="eastAsia" w:asciiTheme="minorEastAsia" w:hAnsiTheme="minorEastAsia" w:eastAsiaTheme="minorEastAsia" w:cstheme="minorEastAsia"/>
                <w:color w:val="auto"/>
                <w:sz w:val="21"/>
                <w:szCs w:val="21"/>
                <w:lang w:val="zh-CN" w:eastAsia="zh-CN"/>
              </w:rPr>
              <w:t>YTSX -CX -</w:t>
            </w:r>
            <w:r>
              <w:rPr>
                <w:rFonts w:hint="eastAsia" w:asciiTheme="minorEastAsia" w:hAnsiTheme="minorEastAsia" w:eastAsiaTheme="minorEastAsia" w:cstheme="minorEastAsia"/>
                <w:color w:val="auto"/>
                <w:sz w:val="21"/>
                <w:szCs w:val="21"/>
                <w:lang w:val="en-US" w:eastAsia="zh-CN"/>
              </w:rPr>
              <w:t>A/0-</w:t>
            </w:r>
            <w:r>
              <w:rPr>
                <w:rFonts w:hint="eastAsia" w:asciiTheme="minorEastAsia" w:hAnsiTheme="minorEastAsia" w:eastAsiaTheme="minorEastAsia" w:cstheme="minorEastAsia"/>
                <w:color w:val="auto"/>
                <w:sz w:val="21"/>
                <w:szCs w:val="21"/>
                <w:lang w:val="zh-CN" w:eastAsia="zh-CN"/>
              </w:rPr>
              <w:t xml:space="preserve">2020  </w:t>
            </w:r>
            <w:r>
              <w:rPr>
                <w:rFonts w:hint="eastAsia" w:asciiTheme="minorEastAsia" w:hAnsiTheme="minorEastAsia" w:eastAsiaTheme="minorEastAsia" w:cstheme="minorEastAsia"/>
                <w:color w:val="auto"/>
                <w:sz w:val="21"/>
                <w:szCs w:val="21"/>
                <w:lang w:val="en-US" w:eastAsia="zh-CN"/>
              </w:rPr>
              <w:t>A/0版含23个文件，包括标准要求的形成文件的信息。</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2.管理制度汇编：质量管理制度、销售管理制度等8个</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3.体系运行所需要的文件和记录</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编制了《文件控制程序》《记录控制程序》用于对管理体系文件，符合标准要求。</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查综合部管理手册、管理制度等文件均保管良好，为有效版本，有受控标识。</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综合部负责收集有关产品的国家标准、行业标准的最新版本，分发到相关部门使用；收回旧标准。</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查见《适用的法律法规及其他要求清单》，内容包括：序号、文件名称、编号、版本等，收集基本全面，基本符合。</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以上外来文件保管良好，均为有效版本。</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查见《记录清单》，内容包括：序号、记录名称、编号、保存期、使用部门等。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共登记有不符合项报告、顾客满意程度调查表、文件发放回收记录、外来文件清单、培训记录表、环境因素清单等。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保存期限分别为三年和长期。</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抽查综合部办文件发放登记表、培训记录表、受控文件清单，固体废弃物处置记录，填写及保管符合要求。</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各部门保存各记录，按时间整理，放置在文件柜中，以便检索，综合部定期对其进行检查，目前保存完好。名称，编号构成记录的唯一性标识。</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查：“文件发放记录”，内容涵盖：序号、名称、接收人、日期等。 目前无回收记录。</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介绍：尚未有销毁记录，若有由综合部组织进行。</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综合部部负责公司知识管理的协调工作、无形资产的管理以及公司所有制度文件和资料的管理和控制工作并对内、外部知识进行确定、维护、发放与管理。</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已识别的公司内部知识包括：公司信息、专业技术知识、项目积累三大类。主要有：人员的工作经历、经验、技能、作业文件、工作程序等。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公司的组织知识以纸质文件、电子文档方式保存，各部门负责本部门职能范围内知识的管理，综合部负责其余知识的管理控制。</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外部知识包括：外来资料、市场信息两大类，查“外来文件清单”、“环境法律法规清单”“安全法律法规清单”等。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综合部负责在公司内部建立QQ工作群、微信工作组、公司网页以及实行培训、教育等活动以实现知识共享、传递的目的。</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已制定培训计划组织学习相关知识，并按要求不断更新。</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35" w:type="dxa"/>
            <w:vAlign w:val="top"/>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运行策划和控制</w:t>
            </w:r>
          </w:p>
        </w:tc>
        <w:tc>
          <w:tcPr>
            <w:tcW w:w="1085" w:type="dxa"/>
            <w:vAlign w:val="top"/>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 8.1</w:t>
            </w:r>
          </w:p>
        </w:tc>
        <w:tc>
          <w:tcPr>
            <w:tcW w:w="10694" w:type="dxa"/>
            <w:vAlign w:val="top"/>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总经理指导销售部组织相关部门对办公室产品销售服务实现、环境运行控制所需的过程程的顺序和相互关系进行策划，并对办公室销售服务提供的过程、重要环境因素有关的运行和活动进行控制，确保管理方针、目标、指标的实现。策划确定下列内容：a）应达到的环境/职业健康安全目标、指标要求；b）针对服务确定过程及重要环境因素/危险源，并建立销售服务所需要的文件，以及所需提供的资源和设施；c）依据销售服务实现过程和活动的特点，确定验证、确认、监视、测量和检验需求的活动以及接收准则；d）保存销售服务实现过程和活动满足规定要求的记录；</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远程视频查看办公室环境情况：</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从视频看，办公室环境整洁、物品摆放整齐。</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抽查办公室-固体废物处理记录   编号：JL-7.7-03</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时间2021.7.10 废纸  1.5Kg 处理方式：物业公司回收。</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在风险控制方面策划了：风险和机遇控制程序、环境绩效检测控制程序管理制度、应急准备及响应程序等。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查看《环境检查记录表》。检查项目：办公室固废丢弃、电消耗、安全检查、一般因素等。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2、查环境安全检查情况统计表、检查内容：办公室安全检查、办公室供电系统安全检查、办公室及办公区安全检查等。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3、查用电安全检查记录、检查内容：用电安全等7项。</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4、查体系运行检查记录表 检查内容：疫情期间职业健康安全保护用品（口罩）发放情况、职业健康教育情况、临时用电情况、物品存放、固体废物分类情况、现场垃圾排放情况、办公楼固体废物分类处置情况、灭火器配置情况等。</w:t>
            </w:r>
          </w:p>
          <w:p>
            <w:pPr>
              <w:keepNext w:val="0"/>
              <w:keepLines w:val="0"/>
              <w:widowControl/>
              <w:suppressLineNumbers w:val="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5、财务统计一年来环保安全投入费用、近20万元；</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运行策划和控制符合要求；</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35" w:type="dxa"/>
            <w:vAlign w:val="top"/>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应急准备和响应</w:t>
            </w:r>
          </w:p>
        </w:tc>
        <w:tc>
          <w:tcPr>
            <w:tcW w:w="1085" w:type="dxa"/>
            <w:vAlign w:val="top"/>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 8.2</w:t>
            </w:r>
          </w:p>
        </w:tc>
        <w:tc>
          <w:tcPr>
            <w:tcW w:w="10694" w:type="dxa"/>
            <w:vAlign w:val="top"/>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办公室按照策划的《应急准备和响应控制程序程序》《应急预案》等，明确了相应的运行准则。</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经销过程中加强用电安全，防止触电事故、火灾事故和新冠病毒传播的发生，安装了漏电保护器。</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现场审核时查看车间门口灭火器指针在绿色区域。 </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公司员工一律佩戴口罩，并要求进店顾客佩戴口罩，并出示健康码。 </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办公室有“禁止吸烟”，“小心触电” 等环保、安全警示标识。</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配有急救药箱，箱内有创可贴、消毒酒精、碘伏、棉棒等。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查2021年4月23日</w:t>
            </w:r>
            <w:r>
              <w:rPr>
                <w:rFonts w:hint="eastAsia" w:asciiTheme="minorEastAsia" w:hAnsiTheme="minorEastAsia" w:eastAsiaTheme="minorEastAsia" w:cstheme="minorEastAsia"/>
                <w:color w:val="auto"/>
                <w:sz w:val="21"/>
                <w:szCs w:val="21"/>
                <w:lang w:val="en-US" w:eastAsia="zh-CN"/>
              </w:rPr>
              <w:t>参加了办公室组织的火灾预案演练，提供了相关记录。</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自体系运行以来未出现应急事故情况。</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35" w:type="dxa"/>
            <w:vAlign w:val="top"/>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合规性评价</w:t>
            </w:r>
          </w:p>
        </w:tc>
        <w:tc>
          <w:tcPr>
            <w:tcW w:w="1085" w:type="dxa"/>
            <w:vAlign w:val="top"/>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EO:9.1.2</w:t>
            </w:r>
          </w:p>
        </w:tc>
        <w:tc>
          <w:tcPr>
            <w:tcW w:w="10694" w:type="dxa"/>
            <w:vAlign w:val="top"/>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合规性评价记录》、《合规性评价报告》，对公司适用环境、职业健康安全的法律法规和其他要求进行了评价，全部符合要求。评价结果：我公司没有违法国家法律、法规及相关标准，严格遵守国家有关环境方面的规定，密切关注法律法规的变化，并适时调整，严格按体系标准执行。公司都能够有效遵循法律法规进行销售活动，未发生重大安全安全事故，未发生环境扰民事件，无个人或单位投诉，无环境污染事件发生，各项目的环境行为符合法律法规和环境要求，对于合规性评价分析所确定的薄弱环节，公司将制定改进措施，以持续改进分公司的安全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未提供对“流通领域食品安全管理办法”进行合规性评价的证据</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合规性评价人：韩明波 武虎明 杨其兵 杨跃  日期：2021.5.30。</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3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内部审核</w:t>
            </w:r>
          </w:p>
        </w:tc>
        <w:tc>
          <w:tcPr>
            <w:tcW w:w="1085"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EO9.2</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p>
        </w:tc>
        <w:tc>
          <w:tcPr>
            <w:tcW w:w="10694" w:type="dxa"/>
            <w:vAlign w:val="center"/>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公司制定《内部审核控制程序》，对内部审核方案策划规定：</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1.频次：内审每年至少进行一次，两次内部审核的时间间隔不超过12个月。</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2.方法：集中式按部门审核。</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3.职责：体系负责人组织内部审核活动。</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4.策划要求：范围、准则、工作分配等。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5.报告：体系负责人在内部审核结束及纠正措施完成后应向总经理报告审核结果。</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6.提供了《2021年内部审核实施计划》，计划内容有：目的、范围、审核准则，审核时间2021年6月10日。</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查阅2021年度内部审核有关记录</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提供了审核组名单：组长：刘金波  组员：丁同安</w:t>
            </w:r>
          </w:p>
          <w:p>
            <w:pPr>
              <w:keepNext w:val="0"/>
              <w:keepLines w:val="0"/>
              <w:widowControl/>
              <w:suppressLineNumbers w:val="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审核时间： 2021.6.10；</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3.审核范围：管理手册覆盖的所有部门及过程；</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4.审核准则：依据GB/T19001-2016 idt ISO9001:2015、GB/T24001-2016 idt ISO14001:2015、ISO45001：2018 质量/环境/安全管理体系要求标准、管理手册、程序文件、相关适用的法律、法规、国家标准等5.提供了《内审首次会议签到表》，参加人有各部门负责人等。</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6.提供了《内审检查表》，经查阅对照，受审核部门涉及条款与公司管理体系职责分配相一致。</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审核计划安排合理，审核记录基本满足要求。</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提供了《内审不合格报告》1份，审核发现, 审核发现,综合部未按照要求对外来文件清单中法律法规进行及时更新；不符合标准条款：GB/T19001-2016 idt ISO9001:2015标准7.5.3条款。对此制定了纠正措施，并记录了纠正措施的结果。</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审核结论：</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综合来看，这次内审是比较成功的审核，同时也发现我公司的质量/环境/安全管理体系运行基本是正常的、有效的。</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提供了内审员授权书，审核员没有审核自己部门工作，具有独立性。</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35"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p>
            <w:pPr>
              <w:spacing w:line="280" w:lineRule="exact"/>
              <w:rPr>
                <w:rFonts w:hint="eastAsia" w:asciiTheme="minorEastAsia" w:hAnsiTheme="minorEastAsia" w:eastAsiaTheme="minorEastAsia" w:cstheme="minorEastAsia"/>
                <w:sz w:val="21"/>
                <w:szCs w:val="21"/>
              </w:rPr>
            </w:pPr>
          </w:p>
        </w:tc>
        <w:tc>
          <w:tcPr>
            <w:tcW w:w="1085"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 10.1</w:t>
            </w:r>
          </w:p>
          <w:p>
            <w:pPr>
              <w:spacing w:line="280" w:lineRule="exact"/>
              <w:rPr>
                <w:rFonts w:hint="eastAsia" w:asciiTheme="minorEastAsia" w:hAnsiTheme="minorEastAsia" w:eastAsiaTheme="minorEastAsia" w:cstheme="minorEastAsia"/>
                <w:sz w:val="21"/>
                <w:szCs w:val="21"/>
              </w:rPr>
            </w:pPr>
          </w:p>
        </w:tc>
        <w:tc>
          <w:tcPr>
            <w:tcW w:w="10694" w:type="dxa"/>
            <w:vAlign w:val="top"/>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——具体事实可见审核10.2条款记录。</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35"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不合格和纠正措施</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事件、不符合和纠正措施</w:t>
            </w:r>
          </w:p>
          <w:p>
            <w:pPr>
              <w:spacing w:line="280" w:lineRule="exact"/>
              <w:rPr>
                <w:rFonts w:hint="eastAsia" w:asciiTheme="minorEastAsia" w:hAnsiTheme="minorEastAsia" w:eastAsiaTheme="minorEastAsia" w:cstheme="minorEastAsia"/>
                <w:sz w:val="21"/>
                <w:szCs w:val="21"/>
              </w:rPr>
            </w:pPr>
          </w:p>
        </w:tc>
        <w:tc>
          <w:tcPr>
            <w:tcW w:w="1085"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p>
            <w:pPr>
              <w:spacing w:line="280" w:lineRule="exact"/>
              <w:rPr>
                <w:rFonts w:hint="eastAsia" w:asciiTheme="minorEastAsia" w:hAnsiTheme="minorEastAsia" w:eastAsiaTheme="minorEastAsia" w:cstheme="minorEastAsia"/>
                <w:sz w:val="21"/>
                <w:szCs w:val="21"/>
                <w:lang w:eastAsia="zh-CN"/>
              </w:rPr>
            </w:pPr>
          </w:p>
          <w:p>
            <w:pPr>
              <w:spacing w:line="280" w:lineRule="exact"/>
              <w:rPr>
                <w:rFonts w:hint="eastAsia" w:asciiTheme="minorEastAsia" w:hAnsiTheme="minorEastAsia" w:eastAsiaTheme="minorEastAsia" w:cstheme="minorEastAsia"/>
                <w:sz w:val="21"/>
                <w:szCs w:val="21"/>
              </w:rPr>
            </w:pPr>
          </w:p>
        </w:tc>
        <w:tc>
          <w:tcPr>
            <w:tcW w:w="1069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公司内审时发现的</w:t>
            </w:r>
            <w:r>
              <w:rPr>
                <w:rFonts w:hint="eastAsia" w:asciiTheme="minorEastAsia" w:hAnsiTheme="minorEastAsia" w:eastAsiaTheme="minorEastAsia" w:cstheme="minorEastAsia"/>
                <w:sz w:val="21"/>
                <w:szCs w:val="21"/>
                <w:lang w:val="en-US" w:eastAsia="zh-CN"/>
              </w:rPr>
              <w:t>1项</w:t>
            </w:r>
            <w:r>
              <w:rPr>
                <w:rFonts w:hint="eastAsia" w:asciiTheme="minorEastAsia" w:hAnsiTheme="minorEastAsia" w:eastAsiaTheme="minorEastAsia" w:cstheme="minorEastAsia"/>
                <w:sz w:val="21"/>
                <w:szCs w:val="21"/>
              </w:rPr>
              <w:t>不符合项进行了原因分析、纠正措施和验证，公司对纠正及预防措施的管理基本符合要求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不符合关闭； </w:t>
            </w:r>
          </w:p>
          <w:p>
            <w:pPr>
              <w:spacing w:line="280" w:lineRule="exact"/>
              <w:rPr>
                <w:rFonts w:hint="eastAsia" w:asciiTheme="minorEastAsia" w:hAnsiTheme="minorEastAsia" w:eastAsiaTheme="minorEastAsia" w:cstheme="minorEastAsia"/>
                <w:sz w:val="21"/>
                <w:szCs w:val="21"/>
                <w:lang w:val="en-US" w:eastAsia="zh-CN"/>
              </w:rPr>
            </w:pP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查组织近一年来未发生安全事件或事故、</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无相关方就环保和安全问题提出意见或投诉；</w:t>
            </w:r>
          </w:p>
        </w:tc>
        <w:tc>
          <w:tcPr>
            <w:tcW w:w="895" w:type="dxa"/>
          </w:tcPr>
          <w:p>
            <w:pPr>
              <w:rPr>
                <w:rFonts w:hint="eastAsia" w:asciiTheme="minorEastAsia" w:hAnsiTheme="minorEastAsia" w:eastAsiaTheme="minorEastAsia" w:cstheme="minorEastAsia"/>
                <w:sz w:val="21"/>
                <w:szCs w:val="21"/>
              </w:rPr>
            </w:pPr>
          </w:p>
        </w:tc>
      </w:tr>
    </w:tbl>
    <w:p>
      <w:pPr>
        <w:rPr>
          <w:sz w:val="24"/>
          <w:szCs w:val="24"/>
        </w:rPr>
      </w:pPr>
    </w:p>
    <w:tbl>
      <w:tblPr>
        <w:tblStyle w:val="13"/>
        <w:tblpPr w:leftFromText="180" w:rightFromText="180" w:vertAnchor="text" w:tblpX="68" w:tblpY="-7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24" w:type="dxa"/>
          </w:tcPr>
          <w:p>
            <w:pPr>
              <w:rPr>
                <w:vertAlign w:val="baseline"/>
              </w:rPr>
            </w:p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3"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Xw+TLRAQAAjg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SUlhmkc+Pn7&#10;t/OPX+efX8kiytM7X2LWvcO8MLy3Ay7Nk9+jM7IeGtDxi3wIxlHc00VcMQTC0ZkvV6t8WVDCMZYX&#10;18VVUj/7c9uBD3fCahKNigIOL2nKjh99wE4w9SklFvNWyXonlUoHaPcfFJAjw0Hv0hObxCt/pSlD&#10;+oreFH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AF8Pky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8"/>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8616E"/>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A3CAF"/>
    <w:rsid w:val="032C3757"/>
    <w:rsid w:val="036603D4"/>
    <w:rsid w:val="03A15F10"/>
    <w:rsid w:val="04291742"/>
    <w:rsid w:val="04617F72"/>
    <w:rsid w:val="04C04927"/>
    <w:rsid w:val="05B11F2A"/>
    <w:rsid w:val="06400A4B"/>
    <w:rsid w:val="06E01EC3"/>
    <w:rsid w:val="07F6514C"/>
    <w:rsid w:val="086D556B"/>
    <w:rsid w:val="08F6273C"/>
    <w:rsid w:val="09535250"/>
    <w:rsid w:val="09806D23"/>
    <w:rsid w:val="0A5B4EAC"/>
    <w:rsid w:val="0B156FC6"/>
    <w:rsid w:val="0B256D46"/>
    <w:rsid w:val="0BB74A17"/>
    <w:rsid w:val="0C1821A1"/>
    <w:rsid w:val="0C5F0639"/>
    <w:rsid w:val="0C85106D"/>
    <w:rsid w:val="0D66233C"/>
    <w:rsid w:val="0D8B1FB3"/>
    <w:rsid w:val="0EB61F95"/>
    <w:rsid w:val="0F6442AD"/>
    <w:rsid w:val="0FDA7F53"/>
    <w:rsid w:val="108219C2"/>
    <w:rsid w:val="116E02B0"/>
    <w:rsid w:val="11705116"/>
    <w:rsid w:val="15110FDA"/>
    <w:rsid w:val="155A19C5"/>
    <w:rsid w:val="17B20018"/>
    <w:rsid w:val="18DB38B5"/>
    <w:rsid w:val="19406AA9"/>
    <w:rsid w:val="1A120A39"/>
    <w:rsid w:val="1AD215C7"/>
    <w:rsid w:val="1B2C7B1C"/>
    <w:rsid w:val="1E295883"/>
    <w:rsid w:val="1E565434"/>
    <w:rsid w:val="1E90527F"/>
    <w:rsid w:val="1FC65B2B"/>
    <w:rsid w:val="21747ECE"/>
    <w:rsid w:val="22017E7F"/>
    <w:rsid w:val="23544896"/>
    <w:rsid w:val="235E7C88"/>
    <w:rsid w:val="246B6135"/>
    <w:rsid w:val="24B94D23"/>
    <w:rsid w:val="24FE116D"/>
    <w:rsid w:val="26E4625C"/>
    <w:rsid w:val="27B53290"/>
    <w:rsid w:val="28A46FFC"/>
    <w:rsid w:val="29A06FDB"/>
    <w:rsid w:val="2A134B34"/>
    <w:rsid w:val="2A712F0F"/>
    <w:rsid w:val="2B24799D"/>
    <w:rsid w:val="2B2E2752"/>
    <w:rsid w:val="2B9022F9"/>
    <w:rsid w:val="2BDB3D57"/>
    <w:rsid w:val="2BFC024F"/>
    <w:rsid w:val="2C9B1E1D"/>
    <w:rsid w:val="2F4B0E69"/>
    <w:rsid w:val="30791B2B"/>
    <w:rsid w:val="30D16CC5"/>
    <w:rsid w:val="31C028B0"/>
    <w:rsid w:val="31F80541"/>
    <w:rsid w:val="364B669F"/>
    <w:rsid w:val="37476F8A"/>
    <w:rsid w:val="38610411"/>
    <w:rsid w:val="38AA56C2"/>
    <w:rsid w:val="38E10519"/>
    <w:rsid w:val="39827C37"/>
    <w:rsid w:val="3C125F9B"/>
    <w:rsid w:val="3C1959EB"/>
    <w:rsid w:val="3CDA54E5"/>
    <w:rsid w:val="3D2F613A"/>
    <w:rsid w:val="3E1444F6"/>
    <w:rsid w:val="3F3B2173"/>
    <w:rsid w:val="40715AC8"/>
    <w:rsid w:val="40B67F76"/>
    <w:rsid w:val="415E2F32"/>
    <w:rsid w:val="41E277AB"/>
    <w:rsid w:val="429A35A3"/>
    <w:rsid w:val="435C1130"/>
    <w:rsid w:val="442828E9"/>
    <w:rsid w:val="477305BA"/>
    <w:rsid w:val="478D5891"/>
    <w:rsid w:val="49BA3960"/>
    <w:rsid w:val="4A0F666A"/>
    <w:rsid w:val="4B4B30DE"/>
    <w:rsid w:val="4BFA763C"/>
    <w:rsid w:val="4C4035AE"/>
    <w:rsid w:val="4DDC3C53"/>
    <w:rsid w:val="4DE50B10"/>
    <w:rsid w:val="4F2168FD"/>
    <w:rsid w:val="4F7F35B2"/>
    <w:rsid w:val="52B24340"/>
    <w:rsid w:val="52E25BE3"/>
    <w:rsid w:val="5469232D"/>
    <w:rsid w:val="56311B54"/>
    <w:rsid w:val="573A305D"/>
    <w:rsid w:val="591A0A81"/>
    <w:rsid w:val="5949498B"/>
    <w:rsid w:val="59A85EFD"/>
    <w:rsid w:val="5A8C7DC0"/>
    <w:rsid w:val="5D86343D"/>
    <w:rsid w:val="5DB12D14"/>
    <w:rsid w:val="5DFB32A2"/>
    <w:rsid w:val="5EA12B9A"/>
    <w:rsid w:val="5EC928D3"/>
    <w:rsid w:val="5F425B73"/>
    <w:rsid w:val="5F4D0E09"/>
    <w:rsid w:val="5F5C48D2"/>
    <w:rsid w:val="5F6A1134"/>
    <w:rsid w:val="5F8E191F"/>
    <w:rsid w:val="5F9641CD"/>
    <w:rsid w:val="5FBF3387"/>
    <w:rsid w:val="601C68BA"/>
    <w:rsid w:val="602F0488"/>
    <w:rsid w:val="628D2779"/>
    <w:rsid w:val="628D5F03"/>
    <w:rsid w:val="64F43146"/>
    <w:rsid w:val="654A5507"/>
    <w:rsid w:val="658C10F3"/>
    <w:rsid w:val="65CA104B"/>
    <w:rsid w:val="65FD5922"/>
    <w:rsid w:val="66356363"/>
    <w:rsid w:val="66972AAF"/>
    <w:rsid w:val="677E4DCB"/>
    <w:rsid w:val="68BB08C9"/>
    <w:rsid w:val="6970211F"/>
    <w:rsid w:val="6A4140D3"/>
    <w:rsid w:val="6A5D69B2"/>
    <w:rsid w:val="6A7021FA"/>
    <w:rsid w:val="6A734042"/>
    <w:rsid w:val="6C093A05"/>
    <w:rsid w:val="6DA65F1D"/>
    <w:rsid w:val="6E031C73"/>
    <w:rsid w:val="6E116960"/>
    <w:rsid w:val="6E6B6A6E"/>
    <w:rsid w:val="6EE8797B"/>
    <w:rsid w:val="6FF46E59"/>
    <w:rsid w:val="7051627C"/>
    <w:rsid w:val="70CA3520"/>
    <w:rsid w:val="73E237A4"/>
    <w:rsid w:val="73E9008B"/>
    <w:rsid w:val="76C24502"/>
    <w:rsid w:val="772935FE"/>
    <w:rsid w:val="79335210"/>
    <w:rsid w:val="7A0E74A5"/>
    <w:rsid w:val="7A42130E"/>
    <w:rsid w:val="7B4E1A82"/>
    <w:rsid w:val="7B53369F"/>
    <w:rsid w:val="7B760BF0"/>
    <w:rsid w:val="7B8757FC"/>
    <w:rsid w:val="7C046C2A"/>
    <w:rsid w:val="7C483276"/>
    <w:rsid w:val="7C4D08BC"/>
    <w:rsid w:val="7DAC6B0C"/>
    <w:rsid w:val="7DAD46F3"/>
    <w:rsid w:val="7ED07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qFormat/>
    <w:uiPriority w:val="0"/>
    <w:pPr>
      <w:ind w:firstLine="420"/>
      <w:jc w:val="left"/>
    </w:pPr>
    <w:rPr>
      <w:rFonts w:eastAsia="仿宋_GB2312"/>
      <w:color w:val="00000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qFormat/>
    <w:uiPriority w:val="0"/>
  </w:style>
  <w:style w:type="character" w:customStyle="1" w:styleId="21">
    <w:name w:val="标题 1 Char"/>
    <w:basedOn w:val="14"/>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1459</Words>
  <Characters>8319</Characters>
  <Lines>69</Lines>
  <Paragraphs>19</Paragraphs>
  <TotalTime>2</TotalTime>
  <ScaleCrop>false</ScaleCrop>
  <LinksUpToDate>false</LinksUpToDate>
  <CharactersWithSpaces>9759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2021-08-01T06:19:26Z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