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sz w:val="24"/>
          <w:szCs w:val="24"/>
        </w:rPr>
      </w:pPr>
      <w:r>
        <w:rPr>
          <w:rFonts w:hint="eastAsia" w:ascii="楷体" w:hAnsi="楷体" w:eastAsia="楷体"/>
          <w:bCs/>
          <w:sz w:val="24"/>
          <w:szCs w:val="2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45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受审核部门：行政部        主管领导：周楸智    陪同人员：郭爽</w:t>
            </w:r>
          </w:p>
        </w:tc>
        <w:tc>
          <w:tcPr>
            <w:tcW w:w="1134"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455"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李永双        审核时间：202</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.10</w:t>
            </w:r>
          </w:p>
        </w:tc>
        <w:tc>
          <w:tcPr>
            <w:tcW w:w="1134"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809" w:type="dxa"/>
            <w:vMerge w:val="continue"/>
            <w:vAlign w:val="center"/>
          </w:tcPr>
          <w:p>
            <w:pPr>
              <w:rPr>
                <w:rFonts w:hint="eastAsia" w:ascii="宋体" w:hAnsi="宋体" w:eastAsia="宋体" w:cs="宋体"/>
                <w:sz w:val="21"/>
                <w:szCs w:val="21"/>
              </w:rPr>
            </w:pPr>
          </w:p>
        </w:tc>
        <w:tc>
          <w:tcPr>
            <w:tcW w:w="1311" w:type="dxa"/>
            <w:vMerge w:val="continue"/>
            <w:vAlign w:val="center"/>
          </w:tcPr>
          <w:p>
            <w:pPr>
              <w:rPr>
                <w:rFonts w:hint="eastAsia" w:ascii="宋体" w:hAnsi="宋体" w:eastAsia="宋体" w:cs="宋体"/>
                <w:sz w:val="21"/>
                <w:szCs w:val="21"/>
              </w:rPr>
            </w:pPr>
          </w:p>
        </w:tc>
        <w:tc>
          <w:tcPr>
            <w:tcW w:w="10455" w:type="dxa"/>
            <w:vAlign w:val="center"/>
          </w:tcPr>
          <w:p>
            <w:pPr>
              <w:adjustRightInd w:val="0"/>
              <w:snapToGrid w:val="0"/>
              <w:spacing w:line="360" w:lineRule="auto"/>
              <w:ind w:right="105" w:rightChars="50"/>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textAlignment w:val="baseline"/>
              <w:rPr>
                <w:rFonts w:hint="eastAsia" w:ascii="宋体" w:hAnsi="宋体" w:eastAsia="宋体" w:cs="宋体"/>
                <w:sz w:val="21"/>
                <w:szCs w:val="21"/>
              </w:rPr>
            </w:pPr>
            <w:r>
              <w:rPr>
                <w:rFonts w:hint="eastAsia" w:ascii="宋体" w:hAnsi="宋体" w:eastAsia="宋体" w:cs="宋体"/>
                <w:sz w:val="21"/>
                <w:szCs w:val="21"/>
              </w:rPr>
              <w:t>QMS: 5.3组织的岗位、职责和权限、6.2质量目标、</w:t>
            </w:r>
            <w:r>
              <w:rPr>
                <w:rFonts w:hint="eastAsia" w:ascii="宋体" w:hAnsi="宋体" w:cs="宋体"/>
                <w:sz w:val="21"/>
                <w:szCs w:val="21"/>
                <w:lang w:val="en-US" w:eastAsia="zh-CN"/>
              </w:rPr>
              <w:t>7.1.6</w:t>
            </w:r>
            <w:r>
              <w:rPr>
                <w:rFonts w:hint="eastAsia" w:ascii="宋体" w:hAnsi="宋体" w:eastAsia="宋体" w:cs="宋体"/>
                <w:sz w:val="21"/>
                <w:szCs w:val="21"/>
              </w:rPr>
              <w:t>组织知识</w:t>
            </w:r>
            <w:r>
              <w:rPr>
                <w:rFonts w:hint="eastAsia" w:ascii="宋体" w:hAnsi="宋体" w:eastAsia="宋体" w:cs="宋体"/>
                <w:sz w:val="21"/>
                <w:szCs w:val="21"/>
                <w:lang w:val="en-US" w:eastAsia="zh-CN"/>
              </w:rPr>
              <w:t>、</w:t>
            </w:r>
            <w:r>
              <w:rPr>
                <w:rFonts w:hint="eastAsia" w:ascii="宋体" w:hAnsi="宋体" w:eastAsia="宋体" w:cs="宋体"/>
                <w:sz w:val="21"/>
                <w:szCs w:val="21"/>
              </w:rPr>
              <w:t>7.1.2人员、7.2能力、7.3意识、</w:t>
            </w:r>
            <w:r>
              <w:rPr>
                <w:rFonts w:hint="eastAsia" w:ascii="宋体" w:hAnsi="宋体" w:eastAsia="宋体" w:cs="宋体"/>
                <w:spacing w:val="-6"/>
                <w:sz w:val="21"/>
                <w:szCs w:val="21"/>
              </w:rPr>
              <w:t>9.1.1监视、测量、分析和评价总则</w:t>
            </w:r>
            <w:r>
              <w:rPr>
                <w:rFonts w:hint="eastAsia" w:ascii="宋体" w:hAnsi="宋体" w:eastAsia="宋体" w:cs="宋体"/>
                <w:sz w:val="21"/>
                <w:szCs w:val="21"/>
              </w:rPr>
              <w:t>、9.1.3分析与评价、9.2 内部审核、10.2不合格和纠正措施，</w:t>
            </w:r>
          </w:p>
          <w:p>
            <w:pPr>
              <w:adjustRightInd w:val="0"/>
              <w:snapToGrid w:val="0"/>
              <w:ind w:right="105" w:rightChars="50"/>
              <w:jc w:val="left"/>
              <w:textAlignment w:val="baseline"/>
              <w:rPr>
                <w:rFonts w:hint="eastAsia" w:ascii="宋体" w:hAnsi="宋体" w:eastAsia="宋体" w:cs="宋体"/>
                <w:sz w:val="21"/>
                <w:szCs w:val="21"/>
              </w:rPr>
            </w:pPr>
          </w:p>
        </w:tc>
        <w:tc>
          <w:tcPr>
            <w:tcW w:w="1134"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Q：5.3   </w:t>
            </w:r>
          </w:p>
          <w:p>
            <w:pPr>
              <w:spacing w:line="360" w:lineRule="auto"/>
              <w:rPr>
                <w:rFonts w:hint="eastAsia" w:ascii="宋体" w:hAnsi="宋体" w:eastAsia="宋体" w:cs="宋体"/>
                <w:b/>
                <w:sz w:val="21"/>
                <w:szCs w:val="21"/>
              </w:rPr>
            </w:pPr>
          </w:p>
        </w:tc>
        <w:tc>
          <w:tcPr>
            <w:tcW w:w="10455" w:type="dxa"/>
          </w:tcPr>
          <w:p>
            <w:pPr>
              <w:tabs>
                <w:tab w:val="left" w:pos="900"/>
              </w:tabs>
              <w:spacing w:line="360" w:lineRule="auto"/>
              <w:rPr>
                <w:rFonts w:hint="eastAsia" w:ascii="宋体" w:hAnsi="宋体" w:eastAsia="宋体" w:cs="Times New Roman"/>
                <w:sz w:val="21"/>
                <w:szCs w:val="21"/>
              </w:rPr>
            </w:pPr>
            <w:r>
              <w:rPr>
                <w:rFonts w:hint="eastAsia" w:ascii="宋体" w:hAnsi="宋体" w:eastAsia="宋体" w:cs="Times New Roman"/>
                <w:sz w:val="21"/>
                <w:szCs w:val="21"/>
              </w:rPr>
              <w:t>现场审核了解到部门主要负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根据管理者代表的部署，制定内部审核计划，组织实施内部审核，并监督检查纠正措施的落实；负责管理评审工作；负责本公司后勤（保安、车辆、绿化等）的管理；负责管理体系绩效的监测和测量；负责法律、法规合规性评价。</w:t>
            </w:r>
          </w:p>
          <w:p>
            <w:pPr>
              <w:spacing w:before="215" w:beforeLines="69" w:line="360" w:lineRule="auto"/>
              <w:ind w:firstLine="420" w:firstLineChars="200"/>
              <w:rPr>
                <w:rFonts w:hint="eastAsia" w:ascii="宋体" w:hAnsi="宋体" w:eastAsia="宋体" w:cs="宋体"/>
                <w:sz w:val="21"/>
                <w:szCs w:val="21"/>
              </w:rPr>
            </w:pPr>
            <w:r>
              <w:rPr>
                <w:rFonts w:hint="eastAsia" w:ascii="宋体" w:hAnsi="宋体" w:eastAsia="宋体" w:cs="Times New Roman"/>
                <w:sz w:val="21"/>
                <w:szCs w:val="21"/>
              </w:rPr>
              <w:t>财务人员</w:t>
            </w:r>
            <w:r>
              <w:rPr>
                <w:rFonts w:hint="eastAsia" w:ascii="宋体" w:hAnsi="宋体" w:eastAsia="宋体" w:cs="Times New Roman"/>
                <w:sz w:val="21"/>
                <w:szCs w:val="21"/>
                <w:lang w:eastAsia="zh-CN"/>
              </w:rPr>
              <w:t>：</w:t>
            </w:r>
            <w:r>
              <w:rPr>
                <w:rFonts w:hint="eastAsia" w:ascii="宋体" w:hAnsi="宋体" w:eastAsia="宋体" w:cs="Times New Roman"/>
                <w:sz w:val="21"/>
                <w:szCs w:val="21"/>
              </w:rPr>
              <w:t>在总经理的领导下为管理体系正常有效运行提供必要的资金保证；负责办理经营投标所需的银行担保及资金证明，提供所需的企业财务状况资料；对本公司各部门的资金使用状况进行监督与管理；负责本公司财务的日常管理工作</w:t>
            </w:r>
            <w:r>
              <w:rPr>
                <w:rFonts w:hint="eastAsia" w:ascii="宋体" w:hAnsi="宋体" w:eastAsia="宋体" w:cs="Times New Roman"/>
                <w:sz w:val="21"/>
                <w:szCs w:val="21"/>
                <w:lang w:eastAsia="zh-CN"/>
              </w:rPr>
              <w:t>。</w:t>
            </w:r>
          </w:p>
        </w:tc>
        <w:tc>
          <w:tcPr>
            <w:tcW w:w="1134"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9"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目标和实现措施</w:t>
            </w:r>
          </w:p>
        </w:tc>
        <w:tc>
          <w:tcPr>
            <w:tcW w:w="1311" w:type="dxa"/>
          </w:tcPr>
          <w:p>
            <w:pPr>
              <w:pStyle w:val="20"/>
              <w:spacing w:line="360" w:lineRule="auto"/>
              <w:rPr>
                <w:rFonts w:hint="eastAsia" w:ascii="宋体" w:hAnsi="宋体" w:eastAsia="宋体" w:cs="宋体"/>
                <w:sz w:val="21"/>
                <w:szCs w:val="21"/>
              </w:rPr>
            </w:pPr>
          </w:p>
          <w:p>
            <w:pPr>
              <w:pStyle w:val="20"/>
              <w:spacing w:line="360" w:lineRule="auto"/>
              <w:rPr>
                <w:rFonts w:hint="eastAsia" w:ascii="宋体" w:hAnsi="宋体" w:eastAsia="宋体" w:cs="宋体"/>
                <w:sz w:val="21"/>
                <w:szCs w:val="21"/>
              </w:rPr>
            </w:pPr>
          </w:p>
          <w:p>
            <w:pPr>
              <w:pStyle w:val="20"/>
              <w:spacing w:line="360" w:lineRule="auto"/>
              <w:rPr>
                <w:rFonts w:hint="eastAsia" w:ascii="宋体" w:hAnsi="宋体" w:eastAsia="宋体" w:cs="宋体"/>
                <w:sz w:val="21"/>
                <w:szCs w:val="21"/>
              </w:rPr>
            </w:pPr>
          </w:p>
          <w:p>
            <w:pPr>
              <w:pStyle w:val="20"/>
              <w:spacing w:line="360" w:lineRule="auto"/>
              <w:rPr>
                <w:rFonts w:hint="eastAsia" w:ascii="宋体" w:hAnsi="宋体" w:eastAsia="宋体" w:cs="宋体"/>
                <w:sz w:val="21"/>
                <w:szCs w:val="21"/>
              </w:rPr>
            </w:pPr>
          </w:p>
          <w:p>
            <w:pPr>
              <w:pStyle w:val="20"/>
              <w:spacing w:line="360" w:lineRule="auto"/>
              <w:rPr>
                <w:rFonts w:hint="eastAsia" w:ascii="宋体" w:hAnsi="宋体" w:eastAsia="宋体" w:cs="宋体"/>
                <w:sz w:val="21"/>
                <w:szCs w:val="21"/>
              </w:rPr>
            </w:pPr>
          </w:p>
          <w:p>
            <w:pPr>
              <w:pStyle w:val="20"/>
              <w:spacing w:line="360" w:lineRule="auto"/>
              <w:rPr>
                <w:rFonts w:hint="eastAsia" w:ascii="宋体" w:hAnsi="宋体" w:eastAsia="宋体" w:cs="宋体"/>
                <w:sz w:val="21"/>
                <w:szCs w:val="21"/>
              </w:rPr>
            </w:pPr>
            <w:r>
              <w:rPr>
                <w:rFonts w:hint="eastAsia" w:ascii="宋体" w:hAnsi="宋体" w:eastAsia="宋体" w:cs="宋体"/>
                <w:sz w:val="21"/>
                <w:szCs w:val="21"/>
              </w:rPr>
              <w:t>Q：6.2</w:t>
            </w:r>
          </w:p>
          <w:p>
            <w:pPr>
              <w:pStyle w:val="20"/>
              <w:spacing w:line="360" w:lineRule="auto"/>
              <w:rPr>
                <w:rFonts w:hint="eastAsia" w:ascii="宋体" w:hAnsi="宋体" w:eastAsia="宋体" w:cs="宋体"/>
                <w:sz w:val="21"/>
                <w:szCs w:val="21"/>
              </w:rPr>
            </w:pPr>
          </w:p>
          <w:p>
            <w:pPr>
              <w:pStyle w:val="20"/>
              <w:spacing w:line="360" w:lineRule="auto"/>
              <w:rPr>
                <w:rFonts w:hint="eastAsia" w:ascii="宋体" w:hAnsi="宋体" w:eastAsia="宋体" w:cs="宋体"/>
                <w:sz w:val="21"/>
                <w:szCs w:val="21"/>
              </w:rPr>
            </w:pPr>
          </w:p>
        </w:tc>
        <w:tc>
          <w:tcPr>
            <w:tcW w:w="10455" w:type="dxa"/>
          </w:tcPr>
          <w:p>
            <w:pPr>
              <w:tabs>
                <w:tab w:val="left" w:pos="900"/>
              </w:tabs>
              <w:spacing w:line="360" w:lineRule="auto"/>
              <w:rPr>
                <w:rFonts w:hint="eastAsia" w:ascii="宋体" w:hAnsi="宋体" w:eastAsia="宋体" w:cs="Times New Roman"/>
                <w:sz w:val="21"/>
                <w:szCs w:val="21"/>
              </w:rPr>
            </w:pPr>
            <w:r>
              <w:rPr>
                <w:rFonts w:hint="eastAsia" w:ascii="宋体" w:hAnsi="宋体" w:eastAsia="宋体" w:cs="Times New Roman"/>
                <w:sz w:val="21"/>
                <w:szCs w:val="21"/>
              </w:rPr>
              <w:t>编制了《目标指标管理方案控制程序》，公司有将质量目标分解到各个部门，</w:t>
            </w:r>
          </w:p>
          <w:p>
            <w:pPr>
              <w:tabs>
                <w:tab w:val="left" w:pos="900"/>
              </w:tabs>
              <w:spacing w:line="360" w:lineRule="auto"/>
              <w:rPr>
                <w:rFonts w:hint="eastAsia" w:ascii="宋体" w:hAnsi="宋体" w:eastAsia="宋体" w:cs="Times New Roman"/>
                <w:sz w:val="21"/>
                <w:szCs w:val="21"/>
              </w:rPr>
            </w:pPr>
            <w:r>
              <w:rPr>
                <w:rFonts w:hint="eastAsia" w:ascii="宋体" w:hAnsi="宋体" w:eastAsia="宋体" w:cs="Times New Roman"/>
                <w:sz w:val="21"/>
                <w:szCs w:val="21"/>
              </w:rPr>
              <w:t>抽查《目标分解规定》,编制：周楸智  批准：张福林　 日期：20</w:t>
            </w:r>
            <w:r>
              <w:rPr>
                <w:rFonts w:hint="eastAsia" w:ascii="宋体" w:hAnsi="宋体" w:eastAsia="宋体" w:cs="Times New Roman"/>
                <w:sz w:val="21"/>
                <w:szCs w:val="21"/>
                <w:lang w:val="en-US" w:eastAsia="zh-CN"/>
              </w:rPr>
              <w:t>21</w:t>
            </w:r>
            <w:r>
              <w:rPr>
                <w:rFonts w:hint="eastAsia" w:ascii="宋体" w:hAnsi="宋体" w:eastAsia="宋体" w:cs="Times New Roman"/>
                <w:sz w:val="21"/>
                <w:szCs w:val="21"/>
              </w:rPr>
              <w:t>年</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月</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日</w:t>
            </w:r>
          </w:p>
          <w:p>
            <w:pPr>
              <w:pStyle w:val="2"/>
              <w:rPr>
                <w:rFonts w:hint="eastAsia"/>
              </w:rPr>
            </w:pPr>
          </w:p>
          <w:tbl>
            <w:tblPr>
              <w:tblStyle w:val="10"/>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337"/>
              <w:gridCol w:w="2833"/>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103"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分解部门</w:t>
                  </w:r>
                </w:p>
              </w:tc>
              <w:tc>
                <w:tcPr>
                  <w:tcW w:w="2337" w:type="dxa"/>
                  <w:vAlign w:val="center"/>
                </w:tcPr>
                <w:p>
                  <w:pPr>
                    <w:tabs>
                      <w:tab w:val="left" w:pos="900"/>
                    </w:tabs>
                    <w:spacing w:line="24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目标分解值</w:t>
                  </w:r>
                </w:p>
              </w:tc>
              <w:tc>
                <w:tcPr>
                  <w:tcW w:w="2833"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计  算  方  法</w:t>
                  </w:r>
                </w:p>
              </w:tc>
              <w:tc>
                <w:tcPr>
                  <w:tcW w:w="4167"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措施及监视、测量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103" w:type="dxa"/>
                  <w:vMerge w:val="restart"/>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行政部</w:t>
                  </w:r>
                </w:p>
              </w:tc>
              <w:tc>
                <w:tcPr>
                  <w:tcW w:w="2337"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文件发放有效率100%。</w:t>
                  </w:r>
                </w:p>
              </w:tc>
              <w:tc>
                <w:tcPr>
                  <w:tcW w:w="2833" w:type="dxa"/>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及时发放数/需发放文件数×100%</w:t>
                  </w:r>
                </w:p>
              </w:tc>
              <w:tc>
                <w:tcPr>
                  <w:tcW w:w="4167" w:type="dxa"/>
                  <w:vAlign w:val="center"/>
                </w:tcPr>
                <w:p>
                  <w:pPr>
                    <w:numPr>
                      <w:ilvl w:val="0"/>
                      <w:numId w:val="1"/>
                    </w:num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确保使用现场的文件现行有效；</w:t>
                  </w:r>
                </w:p>
                <w:p>
                  <w:pPr>
                    <w:numPr>
                      <w:ilvl w:val="0"/>
                      <w:numId w:val="0"/>
                    </w:num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2．及时处理作废文件；</w:t>
                  </w:r>
                </w:p>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3．定期对文件进行评审。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103" w:type="dxa"/>
                  <w:vMerge w:val="continue"/>
                  <w:textDirection w:val="tbRlV"/>
                  <w:vAlign w:val="center"/>
                </w:tcPr>
                <w:p>
                  <w:pPr>
                    <w:tabs>
                      <w:tab w:val="left" w:pos="900"/>
                    </w:tabs>
                    <w:spacing w:line="240" w:lineRule="auto"/>
                    <w:rPr>
                      <w:rFonts w:hint="eastAsia" w:ascii="宋体" w:hAnsi="宋体" w:eastAsia="宋体" w:cs="Times New Roman"/>
                      <w:sz w:val="21"/>
                      <w:szCs w:val="21"/>
                    </w:rPr>
                  </w:pPr>
                </w:p>
              </w:tc>
              <w:tc>
                <w:tcPr>
                  <w:tcW w:w="2337"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培训计划完成率98%。</w:t>
                  </w:r>
                </w:p>
              </w:tc>
              <w:tc>
                <w:tcPr>
                  <w:tcW w:w="2833" w:type="dxa"/>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培训计划数/培训完成数×100%</w:t>
                  </w:r>
                </w:p>
              </w:tc>
              <w:tc>
                <w:tcPr>
                  <w:tcW w:w="4167" w:type="dxa"/>
                  <w:vAlign w:val="center"/>
                </w:tcPr>
                <w:p>
                  <w:pPr>
                    <w:numPr>
                      <w:ilvl w:val="0"/>
                      <w:numId w:val="2"/>
                    </w:num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明确培训需求；</w:t>
                  </w:r>
                </w:p>
                <w:p>
                  <w:pPr>
                    <w:numPr>
                      <w:ilvl w:val="0"/>
                      <w:numId w:val="0"/>
                    </w:num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2．组织和实施培训。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03" w:type="dxa"/>
                  <w:vMerge w:val="continue"/>
                  <w:textDirection w:val="tbRlV"/>
                  <w:vAlign w:val="center"/>
                </w:tcPr>
                <w:p>
                  <w:pPr>
                    <w:tabs>
                      <w:tab w:val="left" w:pos="900"/>
                    </w:tabs>
                    <w:spacing w:line="240" w:lineRule="auto"/>
                    <w:rPr>
                      <w:rFonts w:hint="eastAsia" w:ascii="宋体" w:hAnsi="宋体" w:eastAsia="宋体" w:cs="Times New Roman"/>
                      <w:sz w:val="21"/>
                      <w:szCs w:val="21"/>
                    </w:rPr>
                  </w:pPr>
                </w:p>
              </w:tc>
              <w:tc>
                <w:tcPr>
                  <w:tcW w:w="2337"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办公区域可回收废弃物统一收集处理率100%</w:t>
                  </w:r>
                </w:p>
              </w:tc>
              <w:tc>
                <w:tcPr>
                  <w:tcW w:w="2833" w:type="dxa"/>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收集次数/处理次数×100%</w:t>
                  </w:r>
                </w:p>
              </w:tc>
              <w:tc>
                <w:tcPr>
                  <w:tcW w:w="4167"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每月对办公区域废弃物处理检查。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03" w:type="dxa"/>
                  <w:vMerge w:val="continue"/>
                  <w:textDirection w:val="tbRlV"/>
                  <w:vAlign w:val="center"/>
                </w:tcPr>
                <w:p>
                  <w:pPr>
                    <w:tabs>
                      <w:tab w:val="left" w:pos="900"/>
                    </w:tabs>
                    <w:spacing w:line="240" w:lineRule="auto"/>
                    <w:rPr>
                      <w:rFonts w:hint="eastAsia" w:ascii="宋体" w:hAnsi="宋体" w:eastAsia="宋体" w:cs="Times New Roman"/>
                      <w:sz w:val="21"/>
                      <w:szCs w:val="21"/>
                    </w:rPr>
                  </w:pPr>
                </w:p>
              </w:tc>
              <w:tc>
                <w:tcPr>
                  <w:tcW w:w="2337"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安全事故为零</w:t>
                  </w:r>
                </w:p>
              </w:tc>
              <w:tc>
                <w:tcPr>
                  <w:tcW w:w="2833" w:type="dxa"/>
                </w:tcPr>
                <w:p>
                  <w:pPr>
                    <w:tabs>
                      <w:tab w:val="left" w:pos="900"/>
                    </w:tabs>
                    <w:spacing w:line="240" w:lineRule="auto"/>
                    <w:rPr>
                      <w:rFonts w:hint="eastAsia" w:ascii="宋体" w:hAnsi="宋体" w:eastAsia="宋体" w:cs="Times New Roman"/>
                      <w:sz w:val="21"/>
                      <w:szCs w:val="21"/>
                    </w:rPr>
                  </w:pPr>
                </w:p>
              </w:tc>
              <w:tc>
                <w:tcPr>
                  <w:tcW w:w="4167"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每月进行一次安全文明生产检查。</w:t>
                  </w:r>
                </w:p>
              </w:tc>
            </w:tr>
          </w:tbl>
          <w:p>
            <w:pPr>
              <w:tabs>
                <w:tab w:val="left" w:pos="900"/>
              </w:tabs>
              <w:spacing w:line="240" w:lineRule="auto"/>
              <w:rPr>
                <w:rFonts w:hint="eastAsia" w:ascii="宋体" w:hAnsi="宋体" w:eastAsia="宋体" w:cs="Times New Roman"/>
                <w:sz w:val="21"/>
                <w:szCs w:val="21"/>
              </w:rPr>
            </w:pPr>
          </w:p>
          <w:p>
            <w:pPr>
              <w:tabs>
                <w:tab w:val="left" w:pos="900"/>
              </w:tabs>
              <w:spacing w:line="240" w:lineRule="auto"/>
              <w:ind w:firstLine="210" w:firstLineChars="100"/>
              <w:rPr>
                <w:rFonts w:hint="eastAsia" w:ascii="宋体" w:hAnsi="宋体" w:eastAsia="宋体" w:cs="Times New Roman"/>
                <w:sz w:val="21"/>
                <w:szCs w:val="21"/>
              </w:rPr>
            </w:pPr>
            <w:r>
              <w:rPr>
                <w:rFonts w:hint="eastAsia" w:ascii="宋体" w:hAnsi="宋体" w:eastAsia="宋体" w:cs="Times New Roman"/>
                <w:sz w:val="21"/>
                <w:szCs w:val="21"/>
              </w:rPr>
              <w:t>行政部的目标完成情况：</w:t>
            </w:r>
          </w:p>
          <w:p>
            <w:pPr>
              <w:pStyle w:val="20"/>
              <w:rPr>
                <w:rFonts w:hint="eastAsia"/>
              </w:rPr>
            </w:pPr>
          </w:p>
          <w:tbl>
            <w:tblPr>
              <w:tblStyle w:val="10"/>
              <w:tblW w:w="7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4818"/>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4" w:type="dxa"/>
                  <w:vAlign w:val="center"/>
                </w:tcPr>
                <w:p>
                  <w:pPr>
                    <w:tabs>
                      <w:tab w:val="left" w:pos="900"/>
                    </w:tabs>
                    <w:spacing w:line="240" w:lineRule="auto"/>
                    <w:rPr>
                      <w:rFonts w:hint="eastAsia" w:ascii="宋体" w:hAnsi="宋体" w:eastAsia="宋体" w:cs="Times New Roman"/>
                      <w:sz w:val="21"/>
                      <w:szCs w:val="21"/>
                    </w:rPr>
                  </w:pPr>
                </w:p>
              </w:tc>
              <w:tc>
                <w:tcPr>
                  <w:tcW w:w="4818"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目    标    值</w:t>
                  </w:r>
                </w:p>
              </w:tc>
              <w:tc>
                <w:tcPr>
                  <w:tcW w:w="2491" w:type="dxa"/>
                  <w:vAlign w:val="center"/>
                </w:tcPr>
                <w:p>
                  <w:pPr>
                    <w:tabs>
                      <w:tab w:val="left" w:pos="900"/>
                    </w:tabs>
                    <w:spacing w:line="240" w:lineRule="auto"/>
                    <w:rPr>
                      <w:rFonts w:hint="eastAsia" w:ascii="宋体" w:hAnsi="宋体" w:eastAsia="宋体" w:cs="Times New Roman"/>
                      <w:sz w:val="21"/>
                      <w:szCs w:val="21"/>
                      <w:lang w:eastAsia="zh-CN"/>
                    </w:rPr>
                  </w:pPr>
                  <w:r>
                    <w:rPr>
                      <w:rFonts w:hint="eastAsia" w:ascii="宋体" w:hAnsi="宋体" w:eastAsia="宋体" w:cs="Times New Roman"/>
                      <w:sz w:val="21"/>
                      <w:szCs w:val="21"/>
                    </w:rPr>
                    <w:t>时间：202</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-7.</w:t>
                  </w:r>
                  <w:r>
                    <w:rPr>
                      <w:rFonts w:hint="eastAsia" w:ascii="宋体" w:hAnsi="宋体"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4"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1</w:t>
                  </w:r>
                </w:p>
              </w:tc>
              <w:tc>
                <w:tcPr>
                  <w:tcW w:w="4818"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文件发放有效率100%。</w:t>
                  </w:r>
                </w:p>
              </w:tc>
              <w:tc>
                <w:tcPr>
                  <w:tcW w:w="2491"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94"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2</w:t>
                  </w:r>
                </w:p>
              </w:tc>
              <w:tc>
                <w:tcPr>
                  <w:tcW w:w="4818"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培训计划完成率98%。</w:t>
                  </w:r>
                </w:p>
              </w:tc>
              <w:tc>
                <w:tcPr>
                  <w:tcW w:w="2491"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94"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3</w:t>
                  </w:r>
                </w:p>
              </w:tc>
              <w:tc>
                <w:tcPr>
                  <w:tcW w:w="4818"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办公区域可回收废弃物统一收集处理率100%</w:t>
                  </w:r>
                </w:p>
              </w:tc>
              <w:tc>
                <w:tcPr>
                  <w:tcW w:w="2491"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4"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4</w:t>
                  </w:r>
                </w:p>
              </w:tc>
              <w:tc>
                <w:tcPr>
                  <w:tcW w:w="4818"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安全事故为零</w:t>
                  </w:r>
                </w:p>
              </w:tc>
              <w:tc>
                <w:tcPr>
                  <w:tcW w:w="2491" w:type="dxa"/>
                  <w:vAlign w:val="center"/>
                </w:tcPr>
                <w:p>
                  <w:pPr>
                    <w:tabs>
                      <w:tab w:val="left" w:pos="900"/>
                    </w:tabs>
                    <w:spacing w:line="240" w:lineRule="auto"/>
                    <w:rPr>
                      <w:rFonts w:hint="eastAsia" w:ascii="宋体" w:hAnsi="宋体" w:eastAsia="宋体" w:cs="Times New Roman"/>
                      <w:sz w:val="21"/>
                      <w:szCs w:val="21"/>
                    </w:rPr>
                  </w:pPr>
                  <w:r>
                    <w:rPr>
                      <w:rFonts w:hint="eastAsia" w:ascii="宋体" w:hAnsi="宋体" w:eastAsia="宋体" w:cs="Times New Roman"/>
                      <w:sz w:val="21"/>
                      <w:szCs w:val="21"/>
                    </w:rPr>
                    <w:t>0</w:t>
                  </w:r>
                </w:p>
              </w:tc>
            </w:tr>
          </w:tbl>
          <w:p>
            <w:pPr>
              <w:tabs>
                <w:tab w:val="center" w:pos="3169"/>
              </w:tabs>
              <w:spacing w:line="240" w:lineRule="auto"/>
              <w:jc w:val="left"/>
              <w:rPr>
                <w:rFonts w:hint="eastAsia" w:ascii="楷体" w:hAnsi="楷体" w:eastAsia="楷体"/>
                <w:sz w:val="24"/>
                <w:szCs w:val="24"/>
              </w:rPr>
            </w:pPr>
          </w:p>
          <w:p>
            <w:pPr>
              <w:tabs>
                <w:tab w:val="left" w:pos="900"/>
              </w:tabs>
              <w:spacing w:line="240" w:lineRule="auto"/>
              <w:ind w:firstLine="210" w:firstLineChars="100"/>
              <w:rPr>
                <w:rFonts w:hint="eastAsia" w:ascii="宋体" w:hAnsi="宋体" w:eastAsia="宋体" w:cs="宋体"/>
                <w:sz w:val="21"/>
                <w:szCs w:val="21"/>
              </w:rPr>
            </w:pPr>
            <w:r>
              <w:rPr>
                <w:rFonts w:hint="eastAsia" w:ascii="宋体" w:hAnsi="宋体" w:eastAsia="宋体" w:cs="Times New Roman"/>
                <w:sz w:val="21"/>
                <w:szCs w:val="21"/>
              </w:rPr>
              <w:t>提供202</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日《目标情况统计表》，经查已完成。</w:t>
            </w:r>
          </w:p>
        </w:tc>
        <w:tc>
          <w:tcPr>
            <w:tcW w:w="1134"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组织知识</w:t>
            </w: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cs="宋体"/>
                <w:sz w:val="21"/>
                <w:szCs w:val="21"/>
                <w:lang w:eastAsia="zh-CN"/>
              </w:rPr>
              <w:t>：</w:t>
            </w:r>
            <w:r>
              <w:rPr>
                <w:rFonts w:hint="eastAsia" w:ascii="宋体" w:hAnsi="宋体" w:eastAsia="宋体" w:cs="宋体"/>
                <w:sz w:val="21"/>
                <w:szCs w:val="21"/>
              </w:rPr>
              <w:t xml:space="preserve">7.1.6 </w:t>
            </w:r>
          </w:p>
        </w:tc>
        <w:tc>
          <w:tcPr>
            <w:tcW w:w="10455" w:type="dxa"/>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企业确定运行过程所需要的知识，包括内部知识、外部知识。</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经组织识别，组织内外部知识包括：外部知识、专业知识、管理经验、教训等。</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组织各部门层次基本有相应的管理制度、岗位职责、工作要求等组织内部知识。此外还通过文件发放、会议传达、专题培训等方式进行内部知识的获得、交流和更新等。</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企业知识在部门管理基本符合标准要求。</w:t>
            </w:r>
          </w:p>
        </w:tc>
        <w:tc>
          <w:tcPr>
            <w:tcW w:w="1134"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line="360" w:lineRule="auto"/>
              <w:rPr>
                <w:rFonts w:hint="eastAsia"/>
                <w:sz w:val="21"/>
                <w:szCs w:val="21"/>
              </w:rPr>
            </w:pPr>
          </w:p>
          <w:p>
            <w:pPr>
              <w:spacing w:line="360" w:lineRule="auto"/>
              <w:rPr>
                <w:rFonts w:hint="eastAsia"/>
                <w:sz w:val="21"/>
                <w:szCs w:val="21"/>
              </w:rPr>
            </w:pPr>
          </w:p>
          <w:p>
            <w:pPr>
              <w:spacing w:line="360" w:lineRule="auto"/>
              <w:rPr>
                <w:rFonts w:hint="eastAsia"/>
                <w:sz w:val="21"/>
                <w:szCs w:val="21"/>
              </w:rPr>
            </w:pPr>
          </w:p>
          <w:p>
            <w:pPr>
              <w:spacing w:line="360" w:lineRule="auto"/>
              <w:rPr>
                <w:rFonts w:hint="eastAsia"/>
                <w:sz w:val="21"/>
                <w:szCs w:val="21"/>
              </w:rPr>
            </w:pPr>
          </w:p>
          <w:p>
            <w:pPr>
              <w:spacing w:line="360" w:lineRule="auto"/>
              <w:rPr>
                <w:sz w:val="21"/>
                <w:szCs w:val="21"/>
              </w:rPr>
            </w:pPr>
            <w:r>
              <w:rPr>
                <w:rFonts w:hint="eastAsia"/>
                <w:sz w:val="21"/>
                <w:szCs w:val="21"/>
              </w:rPr>
              <w:t>人员</w:t>
            </w:r>
          </w:p>
          <w:p>
            <w:pPr>
              <w:spacing w:line="360" w:lineRule="auto"/>
              <w:rPr>
                <w:rFonts w:hint="eastAsia" w:ascii="宋体" w:hAnsi="宋体" w:eastAsia="宋体" w:cs="宋体"/>
                <w:sz w:val="21"/>
                <w:szCs w:val="21"/>
              </w:rPr>
            </w:pPr>
            <w:r>
              <w:rPr>
                <w:rFonts w:hint="eastAsia"/>
                <w:sz w:val="21"/>
                <w:szCs w:val="21"/>
              </w:rPr>
              <w:t>能力</w:t>
            </w:r>
          </w:p>
        </w:tc>
        <w:tc>
          <w:tcPr>
            <w:tcW w:w="1311" w:type="dxa"/>
            <w:vAlign w:val="top"/>
          </w:tcPr>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r>
              <w:rPr>
                <w:rFonts w:hint="eastAsia" w:ascii="宋体" w:hAnsi="宋体" w:eastAsia="宋体" w:cs="宋体"/>
                <w:sz w:val="21"/>
                <w:szCs w:val="21"/>
              </w:rPr>
              <w:t>Q</w:t>
            </w:r>
            <w:r>
              <w:rPr>
                <w:rFonts w:hint="eastAsia" w:ascii="宋体" w:hAnsi="宋体" w:cs="宋体"/>
                <w:sz w:val="21"/>
                <w:szCs w:val="21"/>
                <w:lang w:eastAsia="zh-CN"/>
              </w:rPr>
              <w:t>：</w:t>
            </w:r>
            <w:r>
              <w:rPr>
                <w:sz w:val="21"/>
                <w:szCs w:val="21"/>
              </w:rPr>
              <w:t>7.1.2</w:t>
            </w:r>
          </w:p>
          <w:p>
            <w:pPr>
              <w:spacing w:line="360" w:lineRule="auto"/>
              <w:rPr>
                <w:rFonts w:hint="eastAsia" w:ascii="宋体" w:hAnsi="宋体" w:eastAsia="宋体" w:cs="宋体"/>
                <w:sz w:val="21"/>
                <w:szCs w:val="21"/>
              </w:rPr>
            </w:pPr>
            <w:r>
              <w:rPr>
                <w:sz w:val="21"/>
                <w:szCs w:val="21"/>
              </w:rPr>
              <w:t>7.2</w:t>
            </w:r>
          </w:p>
        </w:tc>
        <w:tc>
          <w:tcPr>
            <w:tcW w:w="10455" w:type="dxa"/>
          </w:tcPr>
          <w:p>
            <w:pPr>
              <w:adjustRightInd w:val="0"/>
              <w:snapToGrid w:val="0"/>
              <w:spacing w:line="360" w:lineRule="auto"/>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抽见：检验人员，文化：</w:t>
            </w:r>
            <w:r>
              <w:rPr>
                <w:rFonts w:hint="eastAsia" w:ascii="宋体" w:hAnsi="宋体" w:cs="宋体"/>
                <w:sz w:val="21"/>
                <w:szCs w:val="21"/>
                <w:lang w:val="en-US" w:eastAsia="zh-CN"/>
              </w:rPr>
              <w:t>大专</w:t>
            </w:r>
            <w:r>
              <w:rPr>
                <w:rFonts w:hint="eastAsia" w:ascii="宋体" w:hAnsi="宋体" w:cs="宋体"/>
                <w:sz w:val="21"/>
                <w:szCs w:val="21"/>
              </w:rPr>
              <w:t>。熟悉产品标准，熟悉生产工艺及各种量具的使用等。</w:t>
            </w:r>
          </w:p>
          <w:p>
            <w:pPr>
              <w:spacing w:line="360" w:lineRule="auto"/>
              <w:ind w:firstLine="420" w:firstLineChars="200"/>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sz w:val="21"/>
                <w:szCs w:val="21"/>
              </w:rPr>
            </w:pPr>
            <w:r>
              <w:rPr>
                <w:sz w:val="21"/>
                <w:szCs w:val="21"/>
              </w:rPr>
              <w:t>20</w:t>
            </w:r>
            <w:r>
              <w:rPr>
                <w:rFonts w:hint="eastAsia"/>
                <w:sz w:val="21"/>
                <w:szCs w:val="21"/>
                <w:lang w:val="en-US" w:eastAsia="zh-CN"/>
              </w:rPr>
              <w:t>20-2021</w:t>
            </w:r>
            <w:r>
              <w:rPr>
                <w:rFonts w:hint="eastAsia"/>
                <w:sz w:val="21"/>
                <w:szCs w:val="21"/>
              </w:rPr>
              <w:t>年制定与体系运行有关的培训计划</w:t>
            </w:r>
            <w:r>
              <w:rPr>
                <w:rFonts w:hint="eastAsia"/>
                <w:sz w:val="21"/>
                <w:szCs w:val="21"/>
                <w:lang w:val="en-US" w:eastAsia="zh-CN"/>
              </w:rPr>
              <w:t>8</w:t>
            </w:r>
            <w:r>
              <w:rPr>
                <w:rFonts w:hint="eastAsia"/>
                <w:sz w:val="21"/>
                <w:szCs w:val="21"/>
              </w:rPr>
              <w:t>项。已完成</w:t>
            </w:r>
            <w:r>
              <w:rPr>
                <w:rFonts w:hint="eastAsia"/>
                <w:sz w:val="21"/>
                <w:szCs w:val="21"/>
                <w:lang w:val="en-US" w:eastAsia="zh-CN"/>
              </w:rPr>
              <w:t>6</w:t>
            </w:r>
            <w:r>
              <w:rPr>
                <w:rFonts w:hint="eastAsia"/>
                <w:sz w:val="21"/>
                <w:szCs w:val="21"/>
              </w:rPr>
              <w:t>项</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12</w:t>
            </w:r>
            <w:r>
              <w:rPr>
                <w:rFonts w:hint="eastAsia"/>
                <w:sz w:val="21"/>
                <w:szCs w:val="21"/>
              </w:rPr>
              <w:t>日</w:t>
            </w:r>
          </w:p>
          <w:p>
            <w:pPr>
              <w:spacing w:line="360" w:lineRule="auto"/>
              <w:rPr>
                <w:rFonts w:hint="eastAsia"/>
                <w:sz w:val="21"/>
                <w:szCs w:val="21"/>
              </w:rPr>
            </w:pPr>
            <w:r>
              <w:rPr>
                <w:rFonts w:hint="eastAsia"/>
                <w:sz w:val="21"/>
                <w:szCs w:val="21"/>
              </w:rPr>
              <w:t>参加培训人员：</w:t>
            </w:r>
            <w:r>
              <w:rPr>
                <w:rFonts w:hint="eastAsia"/>
                <w:sz w:val="21"/>
                <w:lang w:val="en-US" w:eastAsia="zh-CN"/>
              </w:rPr>
              <w:t>张福林</w:t>
            </w:r>
            <w:r>
              <w:rPr>
                <w:rFonts w:hint="eastAsia"/>
                <w:szCs w:val="21"/>
                <w:u w:val="none"/>
              </w:rPr>
              <w:t>，</w:t>
            </w:r>
            <w:r>
              <w:rPr>
                <w:rFonts w:hint="eastAsia"/>
                <w:szCs w:val="21"/>
                <w:u w:val="none"/>
                <w:lang w:val="en-US" w:eastAsia="zh-CN"/>
              </w:rPr>
              <w:t>周楸智、</w:t>
            </w:r>
            <w:r>
              <w:rPr>
                <w:rFonts w:hint="eastAsia"/>
                <w:szCs w:val="21"/>
                <w:u w:val="none"/>
              </w:rPr>
              <w:t>郭爽、崔超</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numPr>
                <w:ilvl w:val="0"/>
                <w:numId w:val="3"/>
              </w:numPr>
              <w:spacing w:line="360" w:lineRule="auto"/>
              <w:rPr>
                <w:rFonts w:hint="eastAsia"/>
                <w:sz w:val="21"/>
                <w:szCs w:val="21"/>
              </w:rPr>
            </w:pPr>
            <w:r>
              <w:rPr>
                <w:rFonts w:hint="eastAsia"/>
                <w:sz w:val="21"/>
                <w:szCs w:val="21"/>
              </w:rPr>
              <w:t>抽《培训记录表》</w:t>
            </w:r>
          </w:p>
          <w:p>
            <w:pPr>
              <w:numPr>
                <w:ilvl w:val="0"/>
                <w:numId w:val="0"/>
              </w:numPr>
              <w:spacing w:line="360" w:lineRule="auto"/>
              <w:rPr>
                <w:rFonts w:hint="eastAsia" w:ascii="宋体" w:hAnsi="宋体" w:eastAsia="宋体" w:cs="宋体"/>
                <w:b w:val="0"/>
                <w:bCs w:val="0"/>
                <w:sz w:val="21"/>
                <w:szCs w:val="21"/>
              </w:rPr>
            </w:pPr>
            <w:r>
              <w:rPr>
                <w:rFonts w:hint="eastAsia"/>
                <w:sz w:val="21"/>
                <w:szCs w:val="21"/>
              </w:rPr>
              <w:t>培训日期：</w:t>
            </w:r>
            <w:r>
              <w:rPr>
                <w:rFonts w:hint="eastAsia" w:ascii="宋体" w:hAnsi="宋体" w:eastAsia="宋体" w:cs="宋体"/>
                <w:b w:val="0"/>
                <w:bCs w:val="0"/>
                <w:sz w:val="21"/>
                <w:szCs w:val="21"/>
              </w:rPr>
              <w:t>202</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6日，</w:t>
            </w:r>
          </w:p>
          <w:p>
            <w:pPr>
              <w:spacing w:line="360" w:lineRule="auto"/>
              <w:rPr>
                <w:rFonts w:hint="eastAsia"/>
                <w:sz w:val="21"/>
                <w:szCs w:val="21"/>
              </w:rPr>
            </w:pPr>
            <w:r>
              <w:rPr>
                <w:rFonts w:hint="eastAsia"/>
                <w:sz w:val="21"/>
                <w:szCs w:val="21"/>
              </w:rPr>
              <w:t>培训方式：面授</w:t>
            </w:r>
          </w:p>
          <w:p>
            <w:pPr>
              <w:numPr>
                <w:numId w:val="0"/>
              </w:numPr>
              <w:spacing w:line="360" w:lineRule="auto"/>
              <w:rPr>
                <w:rFonts w:hint="eastAsia" w:ascii="宋体" w:hAnsi="宋体" w:eastAsia="宋体" w:cs="宋体"/>
                <w:b w:val="0"/>
                <w:bCs w:val="0"/>
                <w:sz w:val="21"/>
                <w:szCs w:val="21"/>
              </w:rPr>
            </w:pPr>
            <w:r>
              <w:rPr>
                <w:rFonts w:hint="eastAsia"/>
                <w:sz w:val="21"/>
                <w:szCs w:val="21"/>
              </w:rPr>
              <w:t>培训内容：</w:t>
            </w:r>
            <w:r>
              <w:rPr>
                <w:rFonts w:hint="eastAsia" w:ascii="宋体" w:hAnsi="宋体" w:eastAsia="宋体" w:cs="宋体"/>
                <w:b w:val="0"/>
                <w:bCs w:val="0"/>
                <w:sz w:val="21"/>
                <w:szCs w:val="21"/>
              </w:rPr>
              <w:t>进行了</w:t>
            </w:r>
            <w:r>
              <w:rPr>
                <w:rFonts w:hint="eastAsia" w:ascii="宋体" w:hAnsi="宋体" w:eastAsia="宋体" w:cs="宋体"/>
                <w:b w:val="0"/>
                <w:bCs w:val="0"/>
                <w:sz w:val="21"/>
                <w:szCs w:val="21"/>
                <w:lang w:val="en-US" w:eastAsia="zh-CN"/>
              </w:rPr>
              <w:t>新版</w:t>
            </w:r>
            <w:r>
              <w:rPr>
                <w:rFonts w:hint="eastAsia" w:ascii="宋体" w:hAnsi="宋体" w:eastAsia="宋体" w:cs="宋体"/>
                <w:b w:val="0"/>
                <w:bCs w:val="0"/>
                <w:sz w:val="21"/>
                <w:szCs w:val="21"/>
              </w:rPr>
              <w:t>管理手册、程序文件培训，参加人员全体人员；培训效果评价，达到预期效果。</w:t>
            </w:r>
          </w:p>
          <w:p>
            <w:pPr>
              <w:pStyle w:val="5"/>
              <w:widowControl/>
              <w:spacing w:line="360" w:lineRule="auto"/>
              <w:jc w:val="left"/>
              <w:rPr>
                <w:rFonts w:hint="eastAsia" w:ascii="宋体" w:hAnsi="宋体" w:eastAsia="宋体" w:cs="宋体"/>
                <w:sz w:val="21"/>
                <w:szCs w:val="21"/>
              </w:rPr>
            </w:pPr>
            <w:r>
              <w:rPr>
                <w:rFonts w:hint="eastAsia"/>
                <w:sz w:val="21"/>
                <w:szCs w:val="21"/>
              </w:rPr>
              <w:t>另抽其他培训记录，均保存完好，符合要求。</w:t>
            </w:r>
          </w:p>
          <w:p>
            <w:pPr>
              <w:pStyle w:val="5"/>
              <w:widowControl/>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特殊工种：</w:t>
            </w:r>
          </w:p>
          <w:p>
            <w:pPr>
              <w:pStyle w:val="5"/>
              <w:widowControl/>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桥门式起重机司机：</w:t>
            </w:r>
          </w:p>
          <w:p>
            <w:pPr>
              <w:pStyle w:val="5"/>
              <w:widowControl/>
              <w:spacing w:line="360" w:lineRule="auto"/>
              <w:ind w:firstLine="630" w:firstLineChars="3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姓名         证件编号                 发证机关                   有限期</w:t>
            </w:r>
          </w:p>
          <w:p>
            <w:pPr>
              <w:pStyle w:val="5"/>
              <w:widowControl/>
              <w:spacing w:line="360" w:lineRule="auto"/>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王德庆     23060619900216205X     大庆市市场监督管理局           2021.11.14</w:t>
            </w:r>
          </w:p>
          <w:p>
            <w:pPr>
              <w:pStyle w:val="5"/>
              <w:widowControl/>
              <w:spacing w:line="360" w:lineRule="auto"/>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马清涛     23230319861119151X     大庆市市场监督管理局           2022.11.06</w:t>
            </w:r>
          </w:p>
          <w:p>
            <w:pPr>
              <w:pStyle w:val="5"/>
              <w:widowControl/>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起重机械指挥：</w:t>
            </w:r>
          </w:p>
          <w:p>
            <w:pPr>
              <w:pStyle w:val="5"/>
              <w:widowControl/>
              <w:spacing w:line="360" w:lineRule="auto"/>
              <w:ind w:firstLine="630" w:firstLineChars="3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姓名          证件编号                 发证机关                   有限期</w:t>
            </w:r>
          </w:p>
          <w:p>
            <w:pPr>
              <w:pStyle w:val="5"/>
              <w:widowControl/>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     张福林    232331197501013211      大庆市市场监督管理局           2020.11.03</w:t>
            </w:r>
          </w:p>
          <w:p>
            <w:pPr>
              <w:pStyle w:val="5"/>
              <w:widowControl/>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     郭守伟    2302231979121108X       大庆市市场监督管理局          2022.10.07</w:t>
            </w:r>
          </w:p>
          <w:p>
            <w:pPr>
              <w:pStyle w:val="5"/>
              <w:widowControl/>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电焊工：刘武军、郭守军、张宪涛、王德庆、朴明光、满国明、于才、任红伟、杨旭生等9人，抽</w:t>
            </w:r>
          </w:p>
          <w:p>
            <w:pPr>
              <w:pStyle w:val="5"/>
              <w:widowControl/>
              <w:spacing w:line="360" w:lineRule="auto"/>
              <w:ind w:firstLine="630" w:firstLineChars="3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姓名          证件编号                 发证机关                   有限期</w:t>
            </w:r>
          </w:p>
          <w:p>
            <w:pPr>
              <w:pStyle w:val="5"/>
              <w:widowControl/>
              <w:spacing w:line="360" w:lineRule="auto"/>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刘武军      230606197205166115        大庆市市场监督管理局        2022.01.09</w:t>
            </w:r>
          </w:p>
          <w:p>
            <w:pPr>
              <w:pStyle w:val="5"/>
              <w:widowControl/>
              <w:spacing w:line="360" w:lineRule="auto"/>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张宪涛      232321198501261217        大庆市市场监督管理局        2022.01.09</w:t>
            </w:r>
          </w:p>
          <w:p>
            <w:pPr>
              <w:pStyle w:val="5"/>
              <w:widowControl/>
              <w:spacing w:line="360" w:lineRule="auto"/>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王德庆    23060619900216205X        大庆市市场监督管理局          2022.01.09</w:t>
            </w:r>
          </w:p>
          <w:p>
            <w:pPr>
              <w:pStyle w:val="5"/>
              <w:widowControl/>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工种等级证，钳工郭爽、王志会、徐明、王良、吴波、张春波、李海涛、崔超等15人，持2020年3月15参加大庆市让胡路区职业技能鉴定指导中心的培训，经理论知识考试、技能考核均达标，颁发的钳工证书。</w:t>
            </w:r>
          </w:p>
          <w:p>
            <w:pPr>
              <w:pStyle w:val="5"/>
              <w:widowControl/>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张福林、宋国庆、马海涛、于才、张庆、马海港、李新等持大庆市让胡路区职业技能鉴定指导中心的培训，经理论知识考试、技能考核均达标，颁发的车工证书。</w:t>
            </w:r>
          </w:p>
          <w:p>
            <w:pPr>
              <w:pStyle w:val="5"/>
              <w:widowControl/>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人力资源控制基本满足要求。</w:t>
            </w:r>
          </w:p>
        </w:tc>
        <w:tc>
          <w:tcPr>
            <w:tcW w:w="1134" w:type="dxa"/>
          </w:tcPr>
          <w:p>
            <w:pPr>
              <w:spacing w:line="360" w:lineRule="auto"/>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意识</w:t>
            </w:r>
          </w:p>
        </w:tc>
        <w:tc>
          <w:tcPr>
            <w:tcW w:w="1311"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Q</w:t>
            </w:r>
            <w:r>
              <w:rPr>
                <w:rFonts w:hint="eastAsia" w:ascii="宋体" w:hAnsi="宋体" w:cs="宋体"/>
                <w:sz w:val="21"/>
                <w:szCs w:val="21"/>
                <w:lang w:eastAsia="zh-CN"/>
              </w:rPr>
              <w:t>：</w:t>
            </w:r>
            <w:r>
              <w:rPr>
                <w:sz w:val="21"/>
                <w:szCs w:val="21"/>
              </w:rPr>
              <w:t>7.3</w:t>
            </w:r>
          </w:p>
        </w:tc>
        <w:tc>
          <w:tcPr>
            <w:tcW w:w="10455"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134" w:type="dxa"/>
          </w:tcPr>
          <w:p>
            <w:pPr>
              <w:spacing w:line="360" w:lineRule="auto"/>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沟通</w:t>
            </w:r>
          </w:p>
        </w:tc>
        <w:tc>
          <w:tcPr>
            <w:tcW w:w="1311"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Q</w:t>
            </w:r>
            <w:r>
              <w:rPr>
                <w:rFonts w:hint="eastAsia" w:ascii="宋体" w:hAnsi="宋体" w:cs="宋体"/>
                <w:sz w:val="21"/>
                <w:szCs w:val="21"/>
                <w:lang w:eastAsia="zh-CN"/>
              </w:rPr>
              <w:t>：</w:t>
            </w:r>
            <w:r>
              <w:rPr>
                <w:sz w:val="21"/>
                <w:szCs w:val="21"/>
              </w:rPr>
              <w:t>7.4</w:t>
            </w:r>
          </w:p>
        </w:tc>
        <w:tc>
          <w:tcPr>
            <w:tcW w:w="10455" w:type="dxa"/>
            <w:vAlign w:val="top"/>
          </w:tcPr>
          <w:p>
            <w:pPr>
              <w:spacing w:line="360" w:lineRule="auto"/>
              <w:ind w:firstLine="420" w:firstLineChars="200"/>
              <w:rPr>
                <w:sz w:val="21"/>
                <w:szCs w:val="21"/>
              </w:rPr>
            </w:pPr>
            <w:r>
              <w:rPr>
                <w:rFonts w:hint="eastAsia"/>
                <w:sz w:val="21"/>
                <w:szCs w:val="21"/>
              </w:rPr>
              <w:t>企业主要通过以下措施实施内部、外部的信息交流和信息沟通：</w:t>
            </w:r>
          </w:p>
          <w:p>
            <w:pPr>
              <w:spacing w:line="360" w:lineRule="auto"/>
              <w:rPr>
                <w:sz w:val="21"/>
                <w:szCs w:val="21"/>
              </w:rPr>
            </w:pPr>
            <w:r>
              <w:rPr>
                <w:sz w:val="21"/>
                <w:szCs w:val="21"/>
              </w:rPr>
              <w:t>1</w:t>
            </w:r>
            <w:r>
              <w:rPr>
                <w:rFonts w:hint="eastAsia"/>
                <w:sz w:val="21"/>
                <w:szCs w:val="21"/>
              </w:rPr>
              <w:t>）内部沟通：</w:t>
            </w:r>
            <w:r>
              <w:rPr>
                <w:sz w:val="21"/>
                <w:szCs w:val="21"/>
              </w:rPr>
              <w:t>a)</w:t>
            </w:r>
            <w:r>
              <w:rPr>
                <w:rFonts w:hint="eastAsia"/>
                <w:sz w:val="21"/>
                <w:szCs w:val="21"/>
              </w:rPr>
              <w:t>通过各种列会传达、通报质量管理情况（如工作例会、经营会议等</w:t>
            </w:r>
            <w:r>
              <w:rPr>
                <w:sz w:val="21"/>
                <w:szCs w:val="21"/>
              </w:rPr>
              <w:t>)</w:t>
            </w:r>
            <w:r>
              <w:rPr>
                <w:rFonts w:hint="eastAsia"/>
                <w:sz w:val="21"/>
                <w:szCs w:val="21"/>
              </w:rPr>
              <w:t>；</w:t>
            </w:r>
            <w:r>
              <w:rPr>
                <w:sz w:val="21"/>
                <w:szCs w:val="21"/>
              </w:rPr>
              <w:t>b)</w:t>
            </w:r>
            <w:r>
              <w:rPr>
                <w:rFonts w:hint="eastAsia"/>
                <w:sz w:val="21"/>
                <w:szCs w:val="21"/>
              </w:rPr>
              <w:t>各部门内部会议等；</w:t>
            </w:r>
            <w:r>
              <w:rPr>
                <w:sz w:val="21"/>
                <w:szCs w:val="21"/>
              </w:rPr>
              <w:t>c)</w:t>
            </w:r>
            <w:r>
              <w:rPr>
                <w:rFonts w:hint="eastAsia"/>
                <w:sz w:val="21"/>
                <w:szCs w:val="21"/>
              </w:rPr>
              <w:t>内部文件的学习和传递；</w:t>
            </w:r>
            <w:r>
              <w:rPr>
                <w:sz w:val="21"/>
                <w:szCs w:val="21"/>
              </w:rPr>
              <w:t>d)</w:t>
            </w:r>
            <w:r>
              <w:rPr>
                <w:rFonts w:hint="eastAsia"/>
                <w:sz w:val="21"/>
                <w:szCs w:val="21"/>
              </w:rPr>
              <w:t>公司宣传栏：</w:t>
            </w:r>
            <w:r>
              <w:rPr>
                <w:sz w:val="21"/>
                <w:szCs w:val="21"/>
              </w:rPr>
              <w:t>e</w:t>
            </w:r>
            <w:r>
              <w:rPr>
                <w:rFonts w:hint="eastAsia"/>
                <w:sz w:val="21"/>
                <w:szCs w:val="21"/>
              </w:rPr>
              <w:t>）网络等方式。</w:t>
            </w:r>
          </w:p>
          <w:p>
            <w:pPr>
              <w:spacing w:line="360" w:lineRule="auto"/>
              <w:rPr>
                <w:sz w:val="21"/>
                <w:szCs w:val="21"/>
              </w:rPr>
            </w:pPr>
            <w:r>
              <w:rPr>
                <w:sz w:val="21"/>
                <w:szCs w:val="21"/>
              </w:rPr>
              <w:t>2</w:t>
            </w:r>
            <w:r>
              <w:rPr>
                <w:rFonts w:hint="eastAsia"/>
                <w:sz w:val="21"/>
                <w:szCs w:val="21"/>
              </w:rPr>
              <w:t>）外部沟通：</w:t>
            </w:r>
            <w:r>
              <w:rPr>
                <w:sz w:val="21"/>
                <w:szCs w:val="21"/>
              </w:rPr>
              <w:t>a)</w:t>
            </w:r>
            <w:r>
              <w:rPr>
                <w:rFonts w:hint="eastAsia"/>
                <w:sz w:val="21"/>
                <w:szCs w:val="21"/>
              </w:rPr>
              <w:t>与供方沟通采购产品信息，产品质量和交货信息等；</w:t>
            </w:r>
            <w:r>
              <w:rPr>
                <w:sz w:val="21"/>
                <w:szCs w:val="21"/>
              </w:rPr>
              <w:t>b)</w:t>
            </w:r>
            <w:r>
              <w:rPr>
                <w:rFonts w:hint="eastAsia"/>
                <w:sz w:val="21"/>
                <w:szCs w:val="21"/>
              </w:rPr>
              <w:t>与顾客沟通新产品设计开发信息、产品质量、交付情况和服务方面等；</w:t>
            </w:r>
            <w:r>
              <w:rPr>
                <w:sz w:val="21"/>
                <w:szCs w:val="21"/>
              </w:rPr>
              <w:t>c)</w:t>
            </w:r>
            <w:r>
              <w:rPr>
                <w:rFonts w:hint="eastAsia"/>
                <w:sz w:val="21"/>
                <w:szCs w:val="21"/>
              </w:rPr>
              <w:t>与当地政府主管部门进行交流沟通。</w:t>
            </w:r>
          </w:p>
          <w:p>
            <w:pPr>
              <w:spacing w:line="360" w:lineRule="auto"/>
              <w:rPr>
                <w:sz w:val="21"/>
                <w:szCs w:val="21"/>
              </w:rPr>
            </w:pPr>
            <w:r>
              <w:rPr>
                <w:rFonts w:hint="eastAsia"/>
                <w:sz w:val="21"/>
                <w:szCs w:val="21"/>
              </w:rPr>
              <w:t>内外部信息交流</w:t>
            </w:r>
            <w:r>
              <w:rPr>
                <w:sz w:val="21"/>
                <w:szCs w:val="21"/>
              </w:rPr>
              <w:t>/</w:t>
            </w:r>
            <w:r>
              <w:rPr>
                <w:rFonts w:hint="eastAsia"/>
                <w:sz w:val="21"/>
                <w:szCs w:val="21"/>
              </w:rPr>
              <w:t>沟通方式可行、有效。</w:t>
            </w:r>
          </w:p>
          <w:p>
            <w:pPr>
              <w:spacing w:line="360" w:lineRule="auto"/>
              <w:rPr>
                <w:sz w:val="21"/>
                <w:szCs w:val="21"/>
              </w:rPr>
            </w:pPr>
            <w:r>
              <w:rPr>
                <w:rFonts w:hint="eastAsia"/>
                <w:sz w:val="21"/>
                <w:szCs w:val="21"/>
              </w:rPr>
              <w:t>公司沟通机制已经建立，基本有效。</w:t>
            </w:r>
          </w:p>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尚未发生因交流、沟通不畅而导致体系运行受阻现象影响。</w:t>
            </w:r>
          </w:p>
        </w:tc>
        <w:tc>
          <w:tcPr>
            <w:tcW w:w="1134" w:type="dxa"/>
          </w:tcPr>
          <w:p>
            <w:pPr>
              <w:spacing w:line="360" w:lineRule="auto"/>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line="360" w:lineRule="auto"/>
              <w:rPr>
                <w:rFonts w:hint="eastAsia"/>
                <w:sz w:val="21"/>
                <w:szCs w:val="21"/>
              </w:rPr>
            </w:pPr>
          </w:p>
          <w:p>
            <w:pPr>
              <w:spacing w:line="360" w:lineRule="auto"/>
              <w:rPr>
                <w:rFonts w:hint="eastAsia"/>
                <w:sz w:val="21"/>
                <w:szCs w:val="21"/>
              </w:rPr>
            </w:pPr>
          </w:p>
          <w:p>
            <w:pPr>
              <w:spacing w:line="360" w:lineRule="auto"/>
              <w:rPr>
                <w:rFonts w:hint="eastAsia"/>
                <w:sz w:val="21"/>
                <w:szCs w:val="21"/>
              </w:rPr>
            </w:pPr>
          </w:p>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文件化信息</w:t>
            </w:r>
          </w:p>
        </w:tc>
        <w:tc>
          <w:tcPr>
            <w:tcW w:w="1311"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Q</w:t>
            </w:r>
            <w:r>
              <w:rPr>
                <w:rFonts w:hint="eastAsia" w:ascii="宋体" w:hAnsi="宋体" w:cs="宋体"/>
                <w:sz w:val="21"/>
                <w:szCs w:val="21"/>
                <w:lang w:eastAsia="zh-CN"/>
              </w:rPr>
              <w:t>：</w:t>
            </w:r>
            <w:r>
              <w:rPr>
                <w:sz w:val="21"/>
                <w:szCs w:val="21"/>
              </w:rPr>
              <w:t>7.5</w:t>
            </w:r>
          </w:p>
        </w:tc>
        <w:tc>
          <w:tcPr>
            <w:tcW w:w="10455" w:type="dxa"/>
            <w:vAlign w:val="top"/>
          </w:tcPr>
          <w:p>
            <w:pPr>
              <w:spacing w:line="360" w:lineRule="auto"/>
              <w:rPr>
                <w:sz w:val="21"/>
                <w:szCs w:val="21"/>
              </w:rPr>
            </w:pPr>
            <w:r>
              <w:rPr>
                <w:rFonts w:hint="eastAsia"/>
                <w:sz w:val="21"/>
                <w:szCs w:val="21"/>
              </w:rPr>
              <w:t>编制《成文信息的控制程序》</w:t>
            </w:r>
          </w:p>
          <w:p>
            <w:pPr>
              <w:spacing w:line="360" w:lineRule="auto"/>
              <w:rPr>
                <w:sz w:val="21"/>
                <w:szCs w:val="21"/>
              </w:rPr>
            </w:pPr>
            <w:r>
              <w:rPr>
                <w:rFonts w:hint="eastAsia"/>
                <w:sz w:val="21"/>
                <w:szCs w:val="21"/>
              </w:rPr>
              <w:t>公司质量管理体系文件包括：质量手册、程序文件、作业文件、外来文件、记录等。已建立“受控文件清单”。查：</w:t>
            </w:r>
            <w:r>
              <w:rPr>
                <w:rFonts w:hint="eastAsia" w:ascii="宋体" w:hAnsi="宋体" w:eastAsia="宋体" w:cs="宋体"/>
                <w:kern w:val="2"/>
                <w:sz w:val="21"/>
                <w:szCs w:val="21"/>
                <w:lang w:val="en-US" w:eastAsia="zh-CN" w:bidi="ar-SA"/>
              </w:rPr>
              <w:t>2020年12月5日，对体系文件进行了修订，提供C/0版《SX/QEOM  SC-2020  质量/环境/职业健康安全管理手册 》</w:t>
            </w:r>
            <w:r>
              <w:rPr>
                <w:rFonts w:hint="eastAsia"/>
                <w:sz w:val="21"/>
                <w:szCs w:val="21"/>
              </w:rPr>
              <w:t>由管理者代表审核，总经理批准后发布</w:t>
            </w:r>
            <w:r>
              <w:rPr>
                <w:rFonts w:hint="eastAsia"/>
                <w:sz w:val="21"/>
                <w:szCs w:val="21"/>
                <w:lang w:eastAsia="zh-CN"/>
              </w:rPr>
              <w:t>，</w:t>
            </w:r>
            <w:r>
              <w:rPr>
                <w:rFonts w:hint="eastAsia"/>
                <w:sz w:val="21"/>
                <w:szCs w:val="21"/>
                <w:lang w:val="en-US" w:eastAsia="zh-CN"/>
              </w:rPr>
              <w:t>对认证范围进行了修订</w:t>
            </w:r>
            <w:r>
              <w:rPr>
                <w:rFonts w:hint="eastAsia"/>
                <w:sz w:val="21"/>
                <w:szCs w:val="21"/>
              </w:rPr>
              <w:t>。</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sz w:val="21"/>
                <w:szCs w:val="21"/>
              </w:rPr>
            </w:pPr>
            <w:r>
              <w:rPr>
                <w:rFonts w:hint="eastAsia"/>
                <w:sz w:val="21"/>
                <w:szCs w:val="21"/>
              </w:rPr>
              <w:t>现场查看，文件、记录保持清晰，保存完好。</w:t>
            </w:r>
          </w:p>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rPr>
              <w:t>文件化信息受控。</w:t>
            </w:r>
          </w:p>
        </w:tc>
        <w:tc>
          <w:tcPr>
            <w:tcW w:w="1134" w:type="dxa"/>
          </w:tcPr>
          <w:p>
            <w:pPr>
              <w:spacing w:line="360" w:lineRule="auto"/>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spacing w:val="-6"/>
                <w:sz w:val="21"/>
                <w:szCs w:val="21"/>
              </w:rPr>
            </w:pPr>
          </w:p>
          <w:p>
            <w:pPr>
              <w:spacing w:line="360" w:lineRule="auto"/>
              <w:rPr>
                <w:rFonts w:hint="eastAsia" w:ascii="宋体" w:hAnsi="宋体" w:eastAsia="宋体" w:cs="宋体"/>
                <w:spacing w:val="-6"/>
                <w:sz w:val="21"/>
                <w:szCs w:val="21"/>
              </w:rPr>
            </w:pPr>
          </w:p>
          <w:p>
            <w:pPr>
              <w:spacing w:line="360" w:lineRule="auto"/>
              <w:rPr>
                <w:rFonts w:hint="eastAsia" w:ascii="宋体" w:hAnsi="宋体" w:eastAsia="宋体" w:cs="宋体"/>
                <w:spacing w:val="-6"/>
                <w:sz w:val="21"/>
                <w:szCs w:val="21"/>
              </w:rPr>
            </w:pPr>
          </w:p>
          <w:p>
            <w:pPr>
              <w:spacing w:line="360" w:lineRule="auto"/>
              <w:rPr>
                <w:rFonts w:hint="eastAsia" w:ascii="宋体" w:hAnsi="宋体" w:eastAsia="宋体" w:cs="宋体"/>
                <w:sz w:val="21"/>
                <w:szCs w:val="21"/>
              </w:rPr>
            </w:pPr>
            <w:r>
              <w:rPr>
                <w:rFonts w:hint="eastAsia" w:ascii="宋体" w:hAnsi="宋体" w:eastAsia="宋体" w:cs="宋体"/>
                <w:spacing w:val="-6"/>
                <w:sz w:val="21"/>
                <w:szCs w:val="21"/>
              </w:rPr>
              <w:t>监视、测量、分析和评价</w:t>
            </w:r>
          </w:p>
        </w:tc>
        <w:tc>
          <w:tcPr>
            <w:tcW w:w="1311" w:type="dxa"/>
          </w:tcPr>
          <w:p>
            <w:pPr>
              <w:spacing w:line="360" w:lineRule="auto"/>
              <w:rPr>
                <w:rFonts w:hint="eastAsia" w:ascii="宋体" w:hAnsi="宋体" w:eastAsia="宋体" w:cs="宋体"/>
                <w:spacing w:val="-6"/>
                <w:sz w:val="21"/>
                <w:szCs w:val="21"/>
              </w:rPr>
            </w:pPr>
          </w:p>
          <w:p>
            <w:pPr>
              <w:spacing w:line="360" w:lineRule="auto"/>
              <w:rPr>
                <w:rFonts w:hint="eastAsia" w:ascii="宋体" w:hAnsi="宋体" w:eastAsia="宋体" w:cs="宋体"/>
                <w:spacing w:val="-6"/>
                <w:sz w:val="21"/>
                <w:szCs w:val="21"/>
              </w:rPr>
            </w:pPr>
          </w:p>
          <w:p>
            <w:pPr>
              <w:spacing w:line="360" w:lineRule="auto"/>
              <w:rPr>
                <w:rFonts w:hint="eastAsia" w:ascii="宋体" w:hAnsi="宋体" w:eastAsia="宋体" w:cs="宋体"/>
                <w:sz w:val="21"/>
                <w:szCs w:val="21"/>
              </w:rPr>
            </w:pPr>
            <w:r>
              <w:rPr>
                <w:rFonts w:hint="eastAsia" w:ascii="宋体" w:hAnsi="宋体" w:eastAsia="宋体" w:cs="宋体"/>
                <w:spacing w:val="-6"/>
                <w:sz w:val="21"/>
                <w:szCs w:val="21"/>
              </w:rPr>
              <w:t>Q9.1.1</w:t>
            </w:r>
            <w:r>
              <w:rPr>
                <w:rFonts w:hint="eastAsia" w:ascii="宋体" w:hAnsi="宋体" w:eastAsia="宋体" w:cs="宋体"/>
                <w:sz w:val="21"/>
                <w:szCs w:val="21"/>
              </w:rPr>
              <w:t>、Q9.1.3</w:t>
            </w:r>
          </w:p>
        </w:tc>
        <w:tc>
          <w:tcPr>
            <w:tcW w:w="10455" w:type="dxa"/>
          </w:tcPr>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公司规定了管理体系相关信息的收集、汇总、分析、处理、传递的要求。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公司组织各部门策划和实施必要的监视和测量活动，确保产品、体系和过程的符合性，以持续改进质量管理体系的有效性。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公司的过程和体系的监视和测量主要是通过内审、管理评审、目标考核以及日常工作监督、产品检验、顾客满意度测量等的方式完成。</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查见202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lang w:val="en-US" w:eastAsia="zh-CN"/>
              </w:rPr>
              <w:t>20</w:t>
            </w:r>
            <w:r>
              <w:rPr>
                <w:rFonts w:hint="eastAsia" w:ascii="宋体" w:hAnsi="宋体" w:eastAsia="宋体" w:cs="宋体"/>
                <w:sz w:val="21"/>
                <w:szCs w:val="21"/>
              </w:rPr>
              <w:t>日</w:t>
            </w:r>
            <w:r>
              <w:rPr>
                <w:rFonts w:hint="eastAsia" w:ascii="宋体" w:hAnsi="宋体" w:cs="宋体"/>
                <w:sz w:val="21"/>
                <w:szCs w:val="21"/>
                <w:lang w:eastAsia="zh-CN"/>
              </w:rPr>
              <w:t>、</w:t>
            </w:r>
            <w:r>
              <w:rPr>
                <w:rFonts w:hint="eastAsia" w:ascii="宋体" w:hAnsi="宋体" w:eastAsia="宋体" w:cs="宋体"/>
                <w:sz w:val="21"/>
                <w:szCs w:val="21"/>
              </w:rPr>
              <w:t>202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w:t>
            </w:r>
            <w:r>
              <w:rPr>
                <w:rFonts w:hint="eastAsia" w:ascii="宋体" w:hAnsi="宋体" w:cs="宋体"/>
                <w:sz w:val="21"/>
                <w:szCs w:val="21"/>
                <w:lang w:val="en-US" w:eastAsia="zh-CN"/>
              </w:rPr>
              <w:t>18</w:t>
            </w:r>
            <w:r>
              <w:rPr>
                <w:rFonts w:hint="eastAsia" w:ascii="宋体" w:hAnsi="宋体" w:eastAsia="宋体" w:cs="宋体"/>
                <w:sz w:val="21"/>
                <w:szCs w:val="21"/>
              </w:rPr>
              <w:t>日</w:t>
            </w:r>
            <w:r>
              <w:rPr>
                <w:rFonts w:hint="eastAsia" w:ascii="宋体" w:hAnsi="宋体" w:eastAsia="宋体" w:cs="宋体"/>
                <w:sz w:val="21"/>
                <w:szCs w:val="21"/>
              </w:rPr>
              <w:t>《巡查表》，从整理整顿、工作态度、设备管理、工作进度、安全、操作规程遵守等予以评分，此次检查</w:t>
            </w:r>
            <w:r>
              <w:rPr>
                <w:rFonts w:hint="eastAsia" w:ascii="宋体" w:hAnsi="宋体" w:cs="宋体"/>
                <w:sz w:val="21"/>
                <w:szCs w:val="21"/>
                <w:lang w:val="en-US" w:eastAsia="zh-CN"/>
              </w:rPr>
              <w:t>分别</w:t>
            </w:r>
            <w:r>
              <w:rPr>
                <w:rFonts w:hint="eastAsia" w:ascii="宋体" w:hAnsi="宋体" w:eastAsia="宋体" w:cs="宋体"/>
                <w:sz w:val="21"/>
                <w:szCs w:val="21"/>
              </w:rPr>
              <w:t>得分</w:t>
            </w:r>
            <w:r>
              <w:rPr>
                <w:rFonts w:hint="eastAsia" w:ascii="宋体" w:hAnsi="宋体" w:cs="宋体"/>
                <w:sz w:val="21"/>
                <w:szCs w:val="21"/>
                <w:lang w:val="en-US" w:eastAsia="zh-CN"/>
              </w:rPr>
              <w:t>为</w:t>
            </w:r>
            <w:r>
              <w:rPr>
                <w:rFonts w:hint="eastAsia" w:ascii="宋体" w:hAnsi="宋体" w:eastAsia="宋体" w:cs="宋体"/>
                <w:sz w:val="21"/>
                <w:szCs w:val="21"/>
              </w:rPr>
              <w:t>97</w:t>
            </w:r>
            <w:r>
              <w:rPr>
                <w:rFonts w:hint="eastAsia" w:ascii="宋体" w:hAnsi="宋体" w:cs="宋体"/>
                <w:sz w:val="21"/>
                <w:szCs w:val="21"/>
                <w:lang w:eastAsia="zh-CN"/>
              </w:rPr>
              <w:t>、</w:t>
            </w:r>
            <w:r>
              <w:rPr>
                <w:rFonts w:hint="eastAsia" w:ascii="宋体" w:hAnsi="宋体" w:cs="宋体"/>
                <w:sz w:val="21"/>
                <w:szCs w:val="21"/>
                <w:lang w:val="en-US" w:eastAsia="zh-CN"/>
              </w:rPr>
              <w:t>98</w:t>
            </w:r>
            <w:r>
              <w:rPr>
                <w:rFonts w:hint="eastAsia" w:ascii="宋体" w:hAnsi="宋体" w:eastAsia="宋体" w:cs="宋体"/>
                <w:sz w:val="21"/>
                <w:szCs w:val="21"/>
              </w:rPr>
              <w:t>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公司日常对市场信息、目标完成情况及适宜性、营销人员过程工作监督、产品质量检验、顾客满意对测量及反馈等进行简单分析评价，但利用深度须加强。</w:t>
            </w:r>
          </w:p>
        </w:tc>
        <w:tc>
          <w:tcPr>
            <w:tcW w:w="1134"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内审</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cs="宋体"/>
                <w:sz w:val="21"/>
                <w:szCs w:val="21"/>
                <w:lang w:eastAsia="zh-CN"/>
              </w:rPr>
              <w:t>：</w:t>
            </w:r>
            <w:r>
              <w:rPr>
                <w:rFonts w:hint="eastAsia" w:ascii="宋体" w:hAnsi="宋体" w:eastAsia="宋体" w:cs="宋体"/>
                <w:sz w:val="21"/>
                <w:szCs w:val="21"/>
              </w:rPr>
              <w:t xml:space="preserve">9.2  </w:t>
            </w:r>
          </w:p>
        </w:tc>
        <w:tc>
          <w:tcPr>
            <w:tcW w:w="10455" w:type="dxa"/>
          </w:tcPr>
          <w:p>
            <w:pPr>
              <w:spacing w:line="360" w:lineRule="auto"/>
              <w:rPr>
                <w:rFonts w:hint="eastAsia" w:ascii="Times New Roman" w:hAnsi="Times New Roman" w:cs="Times New Roman"/>
                <w:szCs w:val="21"/>
                <w:u w:val="none"/>
              </w:rPr>
            </w:pPr>
            <w:r>
              <w:rPr>
                <w:rFonts w:hint="eastAsia" w:ascii="Times New Roman" w:hAnsi="Times New Roman" w:cs="Times New Roman"/>
                <w:szCs w:val="21"/>
                <w:u w:val="none"/>
              </w:rPr>
              <w:t>公司编制并实施了《内部审核管理程序》，并能按标准规定对内部审核的策划、实施、人员安排与资质、内部审核的记录、不符合项的分析与验证，以及审核的结论等开展内部审核。</w:t>
            </w:r>
          </w:p>
          <w:p>
            <w:pPr>
              <w:spacing w:line="360" w:lineRule="auto"/>
              <w:rPr>
                <w:rFonts w:hint="eastAsia" w:ascii="Times New Roman" w:hAnsi="Times New Roman" w:cs="Times New Roman"/>
                <w:szCs w:val="21"/>
                <w:u w:val="none"/>
              </w:rPr>
            </w:pPr>
            <w:r>
              <w:rPr>
                <w:rFonts w:hint="eastAsia" w:ascii="Times New Roman" w:hAnsi="Times New Roman" w:cs="Times New Roman"/>
                <w:szCs w:val="21"/>
                <w:u w:val="none"/>
              </w:rPr>
              <w:t>由管理者代表张福林定期组织内部审核，一般每年进行一次内部审核，时间间隔不超过12个月，抽查最近一次的内部审核情况：</w:t>
            </w:r>
          </w:p>
          <w:p>
            <w:pPr>
              <w:spacing w:line="360" w:lineRule="auto"/>
              <w:rPr>
                <w:szCs w:val="21"/>
                <w:u w:val="none"/>
              </w:rPr>
            </w:pPr>
            <w:r>
              <w:rPr>
                <w:rFonts w:hint="eastAsia"/>
                <w:szCs w:val="21"/>
                <w:u w:val="none"/>
              </w:rPr>
              <w:t>提供《20</w:t>
            </w:r>
            <w:r>
              <w:rPr>
                <w:szCs w:val="21"/>
                <w:u w:val="none"/>
              </w:rPr>
              <w:t>2</w:t>
            </w:r>
            <w:r>
              <w:rPr>
                <w:rFonts w:hint="eastAsia"/>
                <w:szCs w:val="21"/>
                <w:u w:val="none"/>
                <w:lang w:val="en-US" w:eastAsia="zh-CN"/>
              </w:rPr>
              <w:t>1</w:t>
            </w:r>
            <w:r>
              <w:rPr>
                <w:rFonts w:hint="eastAsia"/>
                <w:szCs w:val="21"/>
                <w:u w:val="none"/>
              </w:rPr>
              <w:t>年度内部审核计划》，内审安排1次。明确审核目的、范围、依据、日期，编制:</w:t>
            </w:r>
            <w:r>
              <w:rPr>
                <w:rFonts w:hint="eastAsia"/>
                <w:szCs w:val="21"/>
                <w:u w:val="none"/>
                <w:lang w:val="en-US" w:eastAsia="zh-CN"/>
              </w:rPr>
              <w:t>周楸智</w:t>
            </w:r>
            <w:r>
              <w:rPr>
                <w:rFonts w:hint="eastAsia"/>
                <w:szCs w:val="21"/>
                <w:u w:val="none"/>
              </w:rPr>
              <w:t xml:space="preserve">  审批：</w:t>
            </w:r>
            <w:r>
              <w:rPr>
                <w:rFonts w:hint="eastAsia"/>
                <w:szCs w:val="21"/>
                <w:u w:val="none"/>
                <w:lang w:val="en-US" w:eastAsia="zh-CN"/>
              </w:rPr>
              <w:t>张福林</w:t>
            </w:r>
            <w:r>
              <w:rPr>
                <w:rFonts w:hint="eastAsia"/>
                <w:szCs w:val="21"/>
                <w:u w:val="none"/>
              </w:rPr>
              <w:t>。</w:t>
            </w:r>
          </w:p>
          <w:p>
            <w:pPr>
              <w:spacing w:line="360" w:lineRule="auto"/>
              <w:rPr>
                <w:szCs w:val="21"/>
                <w:u w:val="none"/>
              </w:rPr>
            </w:pPr>
            <w:r>
              <w:rPr>
                <w:rFonts w:hint="eastAsia"/>
                <w:szCs w:val="21"/>
                <w:u w:val="none"/>
              </w:rPr>
              <w:t>提供QEO《审核实施计划》；内部审核计划日程安排：</w:t>
            </w:r>
            <w:r>
              <w:rPr>
                <w:rFonts w:hint="eastAsia"/>
                <w:sz w:val="21"/>
              </w:rPr>
              <w:t>20</w:t>
            </w:r>
            <w:r>
              <w:rPr>
                <w:rFonts w:hint="eastAsia"/>
                <w:sz w:val="21"/>
                <w:lang w:val="en-US" w:eastAsia="zh-CN"/>
              </w:rPr>
              <w:t>21</w:t>
            </w:r>
            <w:r>
              <w:rPr>
                <w:rFonts w:hint="eastAsia"/>
                <w:sz w:val="21"/>
              </w:rPr>
              <w:t>年</w:t>
            </w:r>
            <w:r>
              <w:rPr>
                <w:rFonts w:hint="eastAsia"/>
                <w:sz w:val="21"/>
                <w:lang w:val="en-US" w:eastAsia="zh-CN"/>
              </w:rPr>
              <w:t>6</w:t>
            </w:r>
            <w:r>
              <w:rPr>
                <w:rFonts w:hint="eastAsia"/>
                <w:sz w:val="21"/>
              </w:rPr>
              <w:t>月</w:t>
            </w:r>
            <w:r>
              <w:rPr>
                <w:rFonts w:hint="eastAsia"/>
                <w:sz w:val="21"/>
                <w:lang w:val="en-US" w:eastAsia="zh-CN"/>
              </w:rPr>
              <w:t>5-6</w:t>
            </w:r>
            <w:r>
              <w:rPr>
                <w:rFonts w:hint="eastAsia"/>
                <w:sz w:val="21"/>
              </w:rPr>
              <w:t>日</w:t>
            </w:r>
            <w:r>
              <w:rPr>
                <w:rFonts w:hint="eastAsia"/>
                <w:szCs w:val="21"/>
                <w:u w:val="none"/>
              </w:rPr>
              <w:t>，组长：</w:t>
            </w:r>
            <w:r>
              <w:rPr>
                <w:rFonts w:hint="eastAsia"/>
                <w:sz w:val="21"/>
                <w:lang w:val="en-US" w:eastAsia="zh-CN"/>
              </w:rPr>
              <w:t>张福林</w:t>
            </w:r>
            <w:r>
              <w:rPr>
                <w:rFonts w:hint="eastAsia"/>
                <w:szCs w:val="21"/>
                <w:u w:val="none"/>
              </w:rPr>
              <w:t>，组员：组员：郭爽、崔超，有培训记录和总经理的任命书；</w:t>
            </w:r>
          </w:p>
          <w:p>
            <w:pPr>
              <w:spacing w:line="360" w:lineRule="auto"/>
              <w:ind w:firstLine="420" w:firstLineChars="200"/>
              <w:rPr>
                <w:szCs w:val="21"/>
                <w:u w:val="none"/>
              </w:rPr>
            </w:pPr>
            <w:r>
              <w:rPr>
                <w:rFonts w:hint="eastAsia"/>
                <w:szCs w:val="21"/>
                <w:u w:val="none"/>
              </w:rPr>
              <w:t>审核目的、依据、范围和方法及审核安排，计划覆盖的部门或条款基本齐全，查看内审相关资料，内部质量管理体系审核实施，</w:t>
            </w:r>
            <w:r>
              <w:rPr>
                <w:rFonts w:hint="eastAsia"/>
                <w:szCs w:val="21"/>
                <w:u w:val="none"/>
                <w:lang w:val="en-US" w:eastAsia="zh-CN"/>
              </w:rPr>
              <w:t>各部门负责人</w:t>
            </w:r>
            <w:r>
              <w:rPr>
                <w:rFonts w:hint="eastAsia"/>
                <w:szCs w:val="21"/>
                <w:u w:val="none"/>
              </w:rPr>
              <w:t>参加会议，其中：包括总经理、体系推行人、各部门负责人（查参加部门、人员基本齐全），计划内容涉及各部门，条款覆盖整个体系，时间安排合理。同时考虑到互查的公正性，有签到表。</w:t>
            </w:r>
          </w:p>
          <w:p>
            <w:pPr>
              <w:spacing w:line="360" w:lineRule="auto"/>
              <w:ind w:firstLine="420" w:firstLineChars="200"/>
              <w:rPr>
                <w:szCs w:val="21"/>
                <w:u w:val="none"/>
              </w:rPr>
            </w:pPr>
            <w:r>
              <w:rPr>
                <w:rFonts w:hint="eastAsia"/>
                <w:szCs w:val="21"/>
                <w:u w:val="none"/>
              </w:rPr>
              <w:t>查《内审检查表》，有</w:t>
            </w:r>
            <w:r>
              <w:rPr>
                <w:rFonts w:hint="eastAsia"/>
                <w:color w:val="000000"/>
                <w:szCs w:val="21"/>
                <w:u w:val="none"/>
                <w:lang w:eastAsia="zh-CN"/>
              </w:rPr>
              <w:t>行政部</w:t>
            </w:r>
            <w:r>
              <w:rPr>
                <w:rFonts w:hint="eastAsia"/>
                <w:color w:val="000000"/>
                <w:szCs w:val="21"/>
                <w:u w:val="none"/>
              </w:rPr>
              <w:t>、</w:t>
            </w:r>
            <w:r>
              <w:rPr>
                <w:rFonts w:hint="eastAsia"/>
                <w:color w:val="000000"/>
                <w:szCs w:val="21"/>
                <w:u w:val="none"/>
                <w:lang w:val="en-US" w:eastAsia="zh-CN"/>
              </w:rPr>
              <w:t>供销部</w:t>
            </w:r>
            <w:r>
              <w:rPr>
                <w:rFonts w:hint="eastAsia"/>
                <w:color w:val="000000"/>
                <w:szCs w:val="21"/>
                <w:u w:val="none"/>
              </w:rPr>
              <w:t>、</w:t>
            </w:r>
            <w:r>
              <w:rPr>
                <w:rFonts w:hint="eastAsia"/>
                <w:color w:val="000000"/>
                <w:szCs w:val="21"/>
                <w:u w:val="none"/>
                <w:lang w:val="en-US" w:eastAsia="zh-CN"/>
              </w:rPr>
              <w:t>技术部</w:t>
            </w:r>
            <w:r>
              <w:rPr>
                <w:rFonts w:hint="eastAsia"/>
                <w:color w:val="000000"/>
                <w:szCs w:val="21"/>
                <w:u w:val="none"/>
                <w:lang w:eastAsia="zh-CN"/>
              </w:rPr>
              <w:t>、</w:t>
            </w:r>
            <w:r>
              <w:rPr>
                <w:rFonts w:hint="eastAsia"/>
                <w:color w:val="000000"/>
                <w:szCs w:val="21"/>
                <w:u w:val="none"/>
                <w:lang w:val="en-US" w:eastAsia="zh-CN"/>
              </w:rPr>
              <w:t>生产部管理层</w:t>
            </w:r>
            <w:r>
              <w:rPr>
                <w:rFonts w:hint="eastAsia"/>
                <w:szCs w:val="21"/>
                <w:u w:val="none"/>
              </w:rPr>
              <w:t>等部门的审核记录，条款与策划一致，记录真实、完整。包括QEO体系所有条款，没有遗漏。</w:t>
            </w:r>
          </w:p>
          <w:p>
            <w:pPr>
              <w:spacing w:line="360" w:lineRule="auto"/>
              <w:ind w:firstLine="420" w:firstLineChars="200"/>
              <w:rPr>
                <w:szCs w:val="21"/>
                <w:u w:val="none"/>
              </w:rPr>
            </w:pPr>
            <w:r>
              <w:rPr>
                <w:rFonts w:hint="eastAsia"/>
                <w:szCs w:val="21"/>
                <w:u w:val="none"/>
              </w:rPr>
              <w:t>查《不合格报告》本次开具不符合报告</w:t>
            </w:r>
            <w:r>
              <w:rPr>
                <w:rFonts w:hint="eastAsia"/>
                <w:szCs w:val="21"/>
                <w:u w:val="none"/>
                <w:lang w:val="en-US" w:eastAsia="zh-CN"/>
              </w:rPr>
              <w:t>1</w:t>
            </w:r>
            <w:r>
              <w:rPr>
                <w:rFonts w:hint="eastAsia"/>
                <w:szCs w:val="21"/>
                <w:u w:val="none"/>
              </w:rPr>
              <w:t>份，主要涉及Q</w:t>
            </w:r>
            <w:r>
              <w:rPr>
                <w:rFonts w:hint="eastAsia"/>
                <w:szCs w:val="21"/>
                <w:u w:val="none"/>
                <w:lang w:val="en-US" w:eastAsia="zh-CN"/>
              </w:rPr>
              <w:t>7.2</w:t>
            </w:r>
            <w:r>
              <w:rPr>
                <w:rFonts w:hint="eastAsia"/>
                <w:szCs w:val="21"/>
                <w:u w:val="none"/>
              </w:rPr>
              <w:t>/</w:t>
            </w:r>
            <w:r>
              <w:rPr>
                <w:szCs w:val="21"/>
                <w:u w:val="none"/>
              </w:rPr>
              <w:t>E</w:t>
            </w:r>
            <w:r>
              <w:rPr>
                <w:rFonts w:hint="eastAsia"/>
                <w:szCs w:val="21"/>
                <w:u w:val="none"/>
              </w:rPr>
              <w:t>O</w:t>
            </w:r>
            <w:r>
              <w:rPr>
                <w:rFonts w:hint="eastAsia"/>
                <w:szCs w:val="21"/>
                <w:u w:val="none"/>
                <w:lang w:val="en-US" w:eastAsia="zh-CN"/>
              </w:rPr>
              <w:t>7.2</w:t>
            </w:r>
            <w:r>
              <w:rPr>
                <w:rFonts w:hint="eastAsia"/>
                <w:szCs w:val="21"/>
                <w:u w:val="none"/>
              </w:rPr>
              <w:t>条款。对于不符合项所采取的纠正等措施，各内审员逐一进行了验证。上述内容记录完整。</w:t>
            </w:r>
          </w:p>
          <w:p>
            <w:pPr>
              <w:spacing w:line="360" w:lineRule="auto"/>
              <w:ind w:firstLine="420" w:firstLineChars="200"/>
              <w:rPr>
                <w:szCs w:val="21"/>
                <w:u w:val="none"/>
              </w:rPr>
            </w:pPr>
            <w:r>
              <w:rPr>
                <w:rFonts w:hint="eastAsia"/>
                <w:szCs w:val="21"/>
                <w:u w:val="none"/>
              </w:rPr>
              <w:t>提供《内部审核报告》，结论： 公司建立的质量/环境/职业健康安全管理体系基本符合</w:t>
            </w:r>
            <w:r>
              <w:rPr>
                <w:szCs w:val="21"/>
                <w:u w:val="none"/>
              </w:rPr>
              <w:t>GB/T 1</w:t>
            </w:r>
            <w:r>
              <w:rPr>
                <w:rFonts w:hint="eastAsia"/>
                <w:szCs w:val="21"/>
                <w:u w:val="none"/>
              </w:rPr>
              <w:t>9001-201</w:t>
            </w:r>
            <w:r>
              <w:rPr>
                <w:szCs w:val="21"/>
                <w:u w:val="none"/>
              </w:rPr>
              <w:t>6</w:t>
            </w:r>
            <w:r>
              <w:rPr>
                <w:rFonts w:hint="eastAsia"/>
                <w:szCs w:val="21"/>
                <w:u w:val="none"/>
              </w:rPr>
              <w:t>、</w:t>
            </w:r>
            <w:r>
              <w:rPr>
                <w:szCs w:val="21"/>
                <w:u w:val="none"/>
              </w:rPr>
              <w:t>GB/T 24</w:t>
            </w:r>
            <w:r>
              <w:rPr>
                <w:rFonts w:hint="eastAsia"/>
                <w:szCs w:val="21"/>
                <w:u w:val="none"/>
              </w:rPr>
              <w:t>001-201</w:t>
            </w:r>
            <w:r>
              <w:rPr>
                <w:szCs w:val="21"/>
                <w:u w:val="none"/>
              </w:rPr>
              <w:t>6</w:t>
            </w:r>
            <w:r>
              <w:rPr>
                <w:rFonts w:hint="eastAsia"/>
                <w:szCs w:val="21"/>
                <w:u w:val="none"/>
              </w:rPr>
              <w:t>、</w:t>
            </w:r>
            <w:r>
              <w:rPr>
                <w:szCs w:val="21"/>
                <w:u w:val="none"/>
              </w:rPr>
              <w:t>GB/T 45</w:t>
            </w:r>
            <w:r>
              <w:rPr>
                <w:rFonts w:hint="eastAsia"/>
                <w:szCs w:val="21"/>
                <w:u w:val="none"/>
              </w:rPr>
              <w:t>001</w:t>
            </w:r>
            <w:r>
              <w:rPr>
                <w:szCs w:val="21"/>
                <w:u w:val="none"/>
              </w:rPr>
              <w:t>:</w:t>
            </w:r>
            <w:r>
              <w:rPr>
                <w:rFonts w:hint="eastAsia"/>
                <w:szCs w:val="21"/>
                <w:u w:val="none"/>
              </w:rPr>
              <w:t>20</w:t>
            </w:r>
            <w:r>
              <w:rPr>
                <w:szCs w:val="21"/>
                <w:u w:val="none"/>
              </w:rPr>
              <w:t>20</w:t>
            </w:r>
            <w:r>
              <w:rPr>
                <w:rFonts w:hint="eastAsia"/>
                <w:szCs w:val="21"/>
                <w:u w:val="none"/>
              </w:rPr>
              <w:t>标准要求。管理体系的运行是适宜的、充分的、有效的。</w:t>
            </w:r>
          </w:p>
          <w:p>
            <w:pPr>
              <w:pStyle w:val="20"/>
              <w:rPr>
                <w:rFonts w:hint="eastAsia" w:ascii="楷体" w:hAnsi="楷体" w:eastAsia="楷体" w:cs="宋体"/>
                <w:sz w:val="24"/>
                <w:szCs w:val="24"/>
              </w:rPr>
            </w:pPr>
            <w:r>
              <w:rPr>
                <w:rFonts w:hint="eastAsia"/>
                <w:szCs w:val="21"/>
                <w:u w:val="none"/>
              </w:rPr>
              <w:t>查上述资料反映：能保留形成文件的信息，作为实施审核方案以及审核结果的证据。</w:t>
            </w:r>
          </w:p>
          <w:p>
            <w:pPr>
              <w:tabs>
                <w:tab w:val="center" w:pos="3169"/>
              </w:tabs>
              <w:spacing w:line="360" w:lineRule="auto"/>
              <w:jc w:val="left"/>
              <w:rPr>
                <w:rFonts w:hint="eastAsia" w:ascii="宋体" w:hAnsi="宋体" w:eastAsia="宋体" w:cs="宋体"/>
                <w:sz w:val="21"/>
                <w:szCs w:val="21"/>
                <w:lang w:bidi="ar"/>
              </w:rPr>
            </w:pPr>
            <w:r>
              <w:rPr>
                <w:rFonts w:hint="eastAsia" w:eastAsia="宋体"/>
                <w:szCs w:val="21"/>
                <w:u w:val="none"/>
              </w:rPr>
              <w:t>公司内部审核基本有效。</w:t>
            </w:r>
          </w:p>
        </w:tc>
        <w:tc>
          <w:tcPr>
            <w:tcW w:w="1134" w:type="dxa"/>
          </w:tcPr>
          <w:p>
            <w:pPr>
              <w:spacing w:line="360" w:lineRule="auto"/>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不合格和纠正措施</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cs="宋体"/>
                <w:sz w:val="21"/>
                <w:szCs w:val="21"/>
                <w:lang w:eastAsia="zh-CN"/>
              </w:rPr>
              <w:t>：</w:t>
            </w:r>
            <w:r>
              <w:rPr>
                <w:rFonts w:hint="eastAsia" w:ascii="宋体" w:hAnsi="宋体" w:eastAsia="宋体" w:cs="宋体"/>
                <w:sz w:val="21"/>
                <w:szCs w:val="21"/>
              </w:rPr>
              <w:t xml:space="preserve">10.2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10455"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保持实施《纠正措施和预防措施控制程序》对纠正预防措施识别、评审、验证，事故事件报告、调查、处理等作了规定，其内容符合组织实际及标准要求。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eastAsia" w:ascii="宋体" w:hAnsi="宋体" w:eastAsia="宋体" w:cs="宋体"/>
                <w:sz w:val="21"/>
                <w:szCs w:val="21"/>
              </w:rPr>
            </w:pPr>
            <w:bookmarkStart w:id="0" w:name="_GoBack"/>
            <w:bookmarkEnd w:id="0"/>
            <w:r>
              <w:rPr>
                <w:rFonts w:hint="eastAsia" w:ascii="宋体" w:hAnsi="宋体" w:eastAsia="宋体" w:cs="宋体"/>
                <w:sz w:val="21"/>
                <w:szCs w:val="21"/>
              </w:rPr>
              <w:t>企业纠正和预防措施的管理符合标准规定要求。</w:t>
            </w:r>
          </w:p>
        </w:tc>
        <w:tc>
          <w:tcPr>
            <w:tcW w:w="1134" w:type="dxa"/>
          </w:tcPr>
          <w:p>
            <w:pPr>
              <w:spacing w:line="360" w:lineRule="auto"/>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809" w:type="dxa"/>
          </w:tcPr>
          <w:p>
            <w:pPr>
              <w:spacing w:line="360" w:lineRule="auto"/>
              <w:rPr>
                <w:rFonts w:hint="eastAsia" w:ascii="宋体" w:hAnsi="宋体" w:eastAsia="宋体" w:cs="宋体"/>
                <w:sz w:val="21"/>
                <w:szCs w:val="21"/>
              </w:rPr>
            </w:pPr>
          </w:p>
        </w:tc>
        <w:tc>
          <w:tcPr>
            <w:tcW w:w="1311" w:type="dxa"/>
          </w:tcPr>
          <w:p>
            <w:pPr>
              <w:spacing w:line="360" w:lineRule="auto"/>
              <w:rPr>
                <w:rFonts w:hint="eastAsia" w:ascii="宋体" w:hAnsi="宋体" w:eastAsia="宋体" w:cs="宋体"/>
                <w:sz w:val="21"/>
                <w:szCs w:val="21"/>
              </w:rPr>
            </w:pPr>
          </w:p>
        </w:tc>
        <w:tc>
          <w:tcPr>
            <w:tcW w:w="10455" w:type="dxa"/>
            <w:vAlign w:val="center"/>
          </w:tcPr>
          <w:p>
            <w:pPr>
              <w:snapToGrid w:val="0"/>
              <w:spacing w:line="360" w:lineRule="auto"/>
              <w:ind w:firstLine="420" w:firstLineChars="200"/>
              <w:jc w:val="left"/>
              <w:rPr>
                <w:rFonts w:hint="eastAsia" w:ascii="宋体" w:hAnsi="宋体" w:eastAsia="宋体" w:cs="宋体"/>
                <w:sz w:val="21"/>
                <w:szCs w:val="21"/>
              </w:rPr>
            </w:pPr>
          </w:p>
        </w:tc>
        <w:tc>
          <w:tcPr>
            <w:tcW w:w="1134" w:type="dxa"/>
          </w:tcPr>
          <w:p>
            <w:pPr>
              <w:spacing w:line="360" w:lineRule="auto"/>
              <w:rPr>
                <w:rFonts w:hint="eastAsia" w:ascii="宋体" w:hAnsi="宋体" w:eastAsia="宋体" w:cs="宋体"/>
                <w:sz w:val="21"/>
                <w:szCs w:val="21"/>
              </w:rPr>
            </w:pPr>
          </w:p>
        </w:tc>
      </w:tr>
    </w:tbl>
    <w:p>
      <w:pPr>
        <w:spacing w:line="360" w:lineRule="auto"/>
        <w:rPr>
          <w:rFonts w:ascii="楷体" w:hAnsi="楷体" w:eastAsia="楷体"/>
          <w:sz w:val="24"/>
          <w:szCs w:val="24"/>
        </w:rPr>
      </w:pPr>
      <w:r>
        <w:rPr>
          <w:rFonts w:ascii="楷体" w:hAnsi="楷体" w:eastAsia="楷体"/>
          <w:sz w:val="24"/>
          <w:szCs w:val="24"/>
        </w:rPr>
        <w:ptab w:relativeTo="margin" w:alignment="center" w:leader="none"/>
      </w:r>
    </w:p>
    <w:p>
      <w:pPr>
        <w:spacing w:line="360" w:lineRule="auto"/>
        <w:rPr>
          <w:rFonts w:ascii="楷体" w:hAnsi="楷体" w:eastAsia="楷体"/>
          <w:sz w:val="24"/>
          <w:szCs w:val="24"/>
        </w:rPr>
      </w:pPr>
    </w:p>
    <w:p>
      <w:pPr>
        <w:pStyle w:val="7"/>
        <w:spacing w:line="360" w:lineRule="auto"/>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ISC-B-II-12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6243E"/>
    <w:multiLevelType w:val="singleLevel"/>
    <w:tmpl w:val="8D86243E"/>
    <w:lvl w:ilvl="0" w:tentative="0">
      <w:start w:val="3"/>
      <w:numFmt w:val="decimal"/>
      <w:suff w:val="nothing"/>
      <w:lvlText w:val="%1、"/>
      <w:lvlJc w:val="left"/>
    </w:lvl>
  </w:abstractNum>
  <w:abstractNum w:abstractNumId="1">
    <w:nsid w:val="45BC12F4"/>
    <w:multiLevelType w:val="singleLevel"/>
    <w:tmpl w:val="45BC12F4"/>
    <w:lvl w:ilvl="0" w:tentative="0">
      <w:start w:val="1"/>
      <w:numFmt w:val="decimal"/>
      <w:suff w:val="nothing"/>
      <w:lvlText w:val="%1．"/>
      <w:lvlJc w:val="left"/>
    </w:lvl>
  </w:abstractNum>
  <w:abstractNum w:abstractNumId="2">
    <w:nsid w:val="625B51BE"/>
    <w:multiLevelType w:val="singleLevel"/>
    <w:tmpl w:val="625B51B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992"/>
    <w:rsid w:val="0003138C"/>
    <w:rsid w:val="0003373A"/>
    <w:rsid w:val="00035FB9"/>
    <w:rsid w:val="000412F6"/>
    <w:rsid w:val="0005199E"/>
    <w:rsid w:val="00051B4F"/>
    <w:rsid w:val="00052580"/>
    <w:rsid w:val="0005697E"/>
    <w:rsid w:val="000575B8"/>
    <w:rsid w:val="000579CF"/>
    <w:rsid w:val="00060270"/>
    <w:rsid w:val="00061EE8"/>
    <w:rsid w:val="00061F6E"/>
    <w:rsid w:val="00065350"/>
    <w:rsid w:val="000715B3"/>
    <w:rsid w:val="00082216"/>
    <w:rsid w:val="00082398"/>
    <w:rsid w:val="000849D2"/>
    <w:rsid w:val="00084DAD"/>
    <w:rsid w:val="0008611D"/>
    <w:rsid w:val="000870FB"/>
    <w:rsid w:val="00087ECD"/>
    <w:rsid w:val="00092F91"/>
    <w:rsid w:val="00093A1F"/>
    <w:rsid w:val="00094791"/>
    <w:rsid w:val="00096552"/>
    <w:rsid w:val="000A067A"/>
    <w:rsid w:val="000A30F9"/>
    <w:rsid w:val="000A47CF"/>
    <w:rsid w:val="000A584F"/>
    <w:rsid w:val="000A5E44"/>
    <w:rsid w:val="000B1394"/>
    <w:rsid w:val="000B28B8"/>
    <w:rsid w:val="000B382A"/>
    <w:rsid w:val="000B40BD"/>
    <w:rsid w:val="000B6EAD"/>
    <w:rsid w:val="000C0274"/>
    <w:rsid w:val="000C123B"/>
    <w:rsid w:val="000C2D5B"/>
    <w:rsid w:val="000C2E56"/>
    <w:rsid w:val="000C3856"/>
    <w:rsid w:val="000D4F09"/>
    <w:rsid w:val="000D5401"/>
    <w:rsid w:val="000D697A"/>
    <w:rsid w:val="000E2B69"/>
    <w:rsid w:val="000E355F"/>
    <w:rsid w:val="000E4402"/>
    <w:rsid w:val="000E7A62"/>
    <w:rsid w:val="000E7EF7"/>
    <w:rsid w:val="000F35F1"/>
    <w:rsid w:val="000F38E4"/>
    <w:rsid w:val="000F7D53"/>
    <w:rsid w:val="001022F1"/>
    <w:rsid w:val="0010357A"/>
    <w:rsid w:val="001037D5"/>
    <w:rsid w:val="00105B73"/>
    <w:rsid w:val="00106F20"/>
    <w:rsid w:val="00111807"/>
    <w:rsid w:val="00123A35"/>
    <w:rsid w:val="00124A78"/>
    <w:rsid w:val="00132572"/>
    <w:rsid w:val="00135F92"/>
    <w:rsid w:val="001361E3"/>
    <w:rsid w:val="001400EE"/>
    <w:rsid w:val="00144B19"/>
    <w:rsid w:val="00145688"/>
    <w:rsid w:val="001456CB"/>
    <w:rsid w:val="00147EDB"/>
    <w:rsid w:val="001564F9"/>
    <w:rsid w:val="001677C1"/>
    <w:rsid w:val="00170B6A"/>
    <w:rsid w:val="0017204F"/>
    <w:rsid w:val="001762B4"/>
    <w:rsid w:val="00176B5D"/>
    <w:rsid w:val="001778EA"/>
    <w:rsid w:val="00181F3C"/>
    <w:rsid w:val="00182F6F"/>
    <w:rsid w:val="00183631"/>
    <w:rsid w:val="00183C2D"/>
    <w:rsid w:val="00187C5A"/>
    <w:rsid w:val="001918ED"/>
    <w:rsid w:val="00192A7F"/>
    <w:rsid w:val="00194D96"/>
    <w:rsid w:val="001972C0"/>
    <w:rsid w:val="00197763"/>
    <w:rsid w:val="001A2D7F"/>
    <w:rsid w:val="001A3DF8"/>
    <w:rsid w:val="001A4949"/>
    <w:rsid w:val="001A49EE"/>
    <w:rsid w:val="001A572D"/>
    <w:rsid w:val="001A7999"/>
    <w:rsid w:val="001B1082"/>
    <w:rsid w:val="001B14AC"/>
    <w:rsid w:val="001B249B"/>
    <w:rsid w:val="001B324E"/>
    <w:rsid w:val="001B3529"/>
    <w:rsid w:val="001B4334"/>
    <w:rsid w:val="001B61B5"/>
    <w:rsid w:val="001B6887"/>
    <w:rsid w:val="001B6E5E"/>
    <w:rsid w:val="001B700E"/>
    <w:rsid w:val="001C0776"/>
    <w:rsid w:val="001C08C4"/>
    <w:rsid w:val="001C2BC9"/>
    <w:rsid w:val="001C39CB"/>
    <w:rsid w:val="001D023E"/>
    <w:rsid w:val="001D05E7"/>
    <w:rsid w:val="001D1D7C"/>
    <w:rsid w:val="001D4AD8"/>
    <w:rsid w:val="001D54FF"/>
    <w:rsid w:val="001D5787"/>
    <w:rsid w:val="001E1974"/>
    <w:rsid w:val="001E3268"/>
    <w:rsid w:val="001E72C1"/>
    <w:rsid w:val="001F2407"/>
    <w:rsid w:val="001F257A"/>
    <w:rsid w:val="001F71E8"/>
    <w:rsid w:val="002008EE"/>
    <w:rsid w:val="00202BC2"/>
    <w:rsid w:val="00214113"/>
    <w:rsid w:val="00215081"/>
    <w:rsid w:val="00221CE7"/>
    <w:rsid w:val="00222532"/>
    <w:rsid w:val="002350C3"/>
    <w:rsid w:val="00235ED5"/>
    <w:rsid w:val="00237445"/>
    <w:rsid w:val="002378AB"/>
    <w:rsid w:val="00245047"/>
    <w:rsid w:val="00245CB6"/>
    <w:rsid w:val="002651A6"/>
    <w:rsid w:val="002715B5"/>
    <w:rsid w:val="002760CB"/>
    <w:rsid w:val="0027659A"/>
    <w:rsid w:val="002769EB"/>
    <w:rsid w:val="00280AD3"/>
    <w:rsid w:val="0028195E"/>
    <w:rsid w:val="00291199"/>
    <w:rsid w:val="00291591"/>
    <w:rsid w:val="0029464B"/>
    <w:rsid w:val="002973F0"/>
    <w:rsid w:val="002975C1"/>
    <w:rsid w:val="002A0E6E"/>
    <w:rsid w:val="002A33CC"/>
    <w:rsid w:val="002B1808"/>
    <w:rsid w:val="002B6230"/>
    <w:rsid w:val="002B6D54"/>
    <w:rsid w:val="002C1ACE"/>
    <w:rsid w:val="002C3E0D"/>
    <w:rsid w:val="002D41FB"/>
    <w:rsid w:val="002E0587"/>
    <w:rsid w:val="002E1E1D"/>
    <w:rsid w:val="002F030C"/>
    <w:rsid w:val="002F1DCE"/>
    <w:rsid w:val="002F4A6B"/>
    <w:rsid w:val="003006E2"/>
    <w:rsid w:val="00311B9E"/>
    <w:rsid w:val="00311E29"/>
    <w:rsid w:val="003120F5"/>
    <w:rsid w:val="0031310C"/>
    <w:rsid w:val="00317401"/>
    <w:rsid w:val="00317FAF"/>
    <w:rsid w:val="0032112D"/>
    <w:rsid w:val="00326FC1"/>
    <w:rsid w:val="00330DBC"/>
    <w:rsid w:val="00337922"/>
    <w:rsid w:val="00340867"/>
    <w:rsid w:val="00342857"/>
    <w:rsid w:val="003473C9"/>
    <w:rsid w:val="003514BB"/>
    <w:rsid w:val="00351CD4"/>
    <w:rsid w:val="00357216"/>
    <w:rsid w:val="003608CB"/>
    <w:rsid w:val="003627B6"/>
    <w:rsid w:val="003639CC"/>
    <w:rsid w:val="00364975"/>
    <w:rsid w:val="003675FE"/>
    <w:rsid w:val="003708D5"/>
    <w:rsid w:val="0037587D"/>
    <w:rsid w:val="0038061A"/>
    <w:rsid w:val="0038063B"/>
    <w:rsid w:val="00380837"/>
    <w:rsid w:val="00382EDD"/>
    <w:rsid w:val="003836CA"/>
    <w:rsid w:val="00386A98"/>
    <w:rsid w:val="00392D5A"/>
    <w:rsid w:val="003A14D6"/>
    <w:rsid w:val="003A1E9C"/>
    <w:rsid w:val="003A57BB"/>
    <w:rsid w:val="003A78E5"/>
    <w:rsid w:val="003B63F4"/>
    <w:rsid w:val="003B686D"/>
    <w:rsid w:val="003B6EB8"/>
    <w:rsid w:val="003D1723"/>
    <w:rsid w:val="003D470D"/>
    <w:rsid w:val="003D58E1"/>
    <w:rsid w:val="003D6BE3"/>
    <w:rsid w:val="003E0336"/>
    <w:rsid w:val="003E0E52"/>
    <w:rsid w:val="003E24CC"/>
    <w:rsid w:val="003E2C93"/>
    <w:rsid w:val="003F0D17"/>
    <w:rsid w:val="003F20A5"/>
    <w:rsid w:val="003F23CB"/>
    <w:rsid w:val="00400B96"/>
    <w:rsid w:val="00401C89"/>
    <w:rsid w:val="00405AA6"/>
    <w:rsid w:val="00405D57"/>
    <w:rsid w:val="00405D5F"/>
    <w:rsid w:val="00406114"/>
    <w:rsid w:val="00410914"/>
    <w:rsid w:val="00411CB4"/>
    <w:rsid w:val="00415AA3"/>
    <w:rsid w:val="004166AF"/>
    <w:rsid w:val="00420650"/>
    <w:rsid w:val="00420C60"/>
    <w:rsid w:val="0042153A"/>
    <w:rsid w:val="00422EEF"/>
    <w:rsid w:val="00424EEF"/>
    <w:rsid w:val="00430432"/>
    <w:rsid w:val="00433759"/>
    <w:rsid w:val="00433F0E"/>
    <w:rsid w:val="0043494E"/>
    <w:rsid w:val="00440BBC"/>
    <w:rsid w:val="004414A5"/>
    <w:rsid w:val="00441B50"/>
    <w:rsid w:val="004428CE"/>
    <w:rsid w:val="0044464B"/>
    <w:rsid w:val="00456697"/>
    <w:rsid w:val="00463AD4"/>
    <w:rsid w:val="00463F22"/>
    <w:rsid w:val="00464AA1"/>
    <w:rsid w:val="00465FE1"/>
    <w:rsid w:val="0047462D"/>
    <w:rsid w:val="00475005"/>
    <w:rsid w:val="00475491"/>
    <w:rsid w:val="00485D05"/>
    <w:rsid w:val="004869FB"/>
    <w:rsid w:val="00491735"/>
    <w:rsid w:val="00494A46"/>
    <w:rsid w:val="004A1070"/>
    <w:rsid w:val="004A7106"/>
    <w:rsid w:val="004B0E18"/>
    <w:rsid w:val="004B217F"/>
    <w:rsid w:val="004B3E7F"/>
    <w:rsid w:val="004B5B72"/>
    <w:rsid w:val="004C07FE"/>
    <w:rsid w:val="004C3A73"/>
    <w:rsid w:val="004C5731"/>
    <w:rsid w:val="004C5BFE"/>
    <w:rsid w:val="004C78A9"/>
    <w:rsid w:val="004D30F6"/>
    <w:rsid w:val="004D3E4C"/>
    <w:rsid w:val="004D55E7"/>
    <w:rsid w:val="004D62EF"/>
    <w:rsid w:val="004D6923"/>
    <w:rsid w:val="004D7EDF"/>
    <w:rsid w:val="004E5609"/>
    <w:rsid w:val="004E5BF7"/>
    <w:rsid w:val="004E61BC"/>
    <w:rsid w:val="004F185D"/>
    <w:rsid w:val="00504F8F"/>
    <w:rsid w:val="005052B3"/>
    <w:rsid w:val="005056ED"/>
    <w:rsid w:val="00505819"/>
    <w:rsid w:val="005064D2"/>
    <w:rsid w:val="00514D4D"/>
    <w:rsid w:val="00515C94"/>
    <w:rsid w:val="00517E4C"/>
    <w:rsid w:val="00521BB1"/>
    <w:rsid w:val="00521CF0"/>
    <w:rsid w:val="00521D25"/>
    <w:rsid w:val="00527341"/>
    <w:rsid w:val="0052792D"/>
    <w:rsid w:val="0053208B"/>
    <w:rsid w:val="00534814"/>
    <w:rsid w:val="00536930"/>
    <w:rsid w:val="00541AE2"/>
    <w:rsid w:val="00544CA6"/>
    <w:rsid w:val="00546D5F"/>
    <w:rsid w:val="0054793D"/>
    <w:rsid w:val="005501D0"/>
    <w:rsid w:val="00550C9D"/>
    <w:rsid w:val="00552BDE"/>
    <w:rsid w:val="00553D44"/>
    <w:rsid w:val="00555C2D"/>
    <w:rsid w:val="005571F6"/>
    <w:rsid w:val="00560A2A"/>
    <w:rsid w:val="00564E53"/>
    <w:rsid w:val="00565EE2"/>
    <w:rsid w:val="00571FB2"/>
    <w:rsid w:val="00576C70"/>
    <w:rsid w:val="00583277"/>
    <w:rsid w:val="00585D0B"/>
    <w:rsid w:val="00592C3E"/>
    <w:rsid w:val="005A000F"/>
    <w:rsid w:val="005B173D"/>
    <w:rsid w:val="005B2F41"/>
    <w:rsid w:val="005B6888"/>
    <w:rsid w:val="005D12FF"/>
    <w:rsid w:val="005D151A"/>
    <w:rsid w:val="005D1D88"/>
    <w:rsid w:val="005F0FBA"/>
    <w:rsid w:val="005F17CE"/>
    <w:rsid w:val="005F1BE4"/>
    <w:rsid w:val="005F4B58"/>
    <w:rsid w:val="005F4D1C"/>
    <w:rsid w:val="005F54E9"/>
    <w:rsid w:val="005F6C65"/>
    <w:rsid w:val="00600F02"/>
    <w:rsid w:val="00601460"/>
    <w:rsid w:val="006014D4"/>
    <w:rsid w:val="00603E88"/>
    <w:rsid w:val="0060444D"/>
    <w:rsid w:val="006162C7"/>
    <w:rsid w:val="0062359E"/>
    <w:rsid w:val="00624222"/>
    <w:rsid w:val="00631AD4"/>
    <w:rsid w:val="00642776"/>
    <w:rsid w:val="00644FA4"/>
    <w:rsid w:val="00644FE2"/>
    <w:rsid w:val="00645FB8"/>
    <w:rsid w:val="00651986"/>
    <w:rsid w:val="006545E8"/>
    <w:rsid w:val="00660A41"/>
    <w:rsid w:val="006635AC"/>
    <w:rsid w:val="00664736"/>
    <w:rsid w:val="00665980"/>
    <w:rsid w:val="006665A4"/>
    <w:rsid w:val="00671F15"/>
    <w:rsid w:val="006762FC"/>
    <w:rsid w:val="0067640C"/>
    <w:rsid w:val="006836D9"/>
    <w:rsid w:val="0068548D"/>
    <w:rsid w:val="00691265"/>
    <w:rsid w:val="006946B4"/>
    <w:rsid w:val="00694906"/>
    <w:rsid w:val="00695256"/>
    <w:rsid w:val="00695570"/>
    <w:rsid w:val="00695B04"/>
    <w:rsid w:val="006969F1"/>
    <w:rsid w:val="00696AF1"/>
    <w:rsid w:val="006A3B31"/>
    <w:rsid w:val="006A68F3"/>
    <w:rsid w:val="006A76FE"/>
    <w:rsid w:val="006B39AA"/>
    <w:rsid w:val="006B4127"/>
    <w:rsid w:val="006B4F28"/>
    <w:rsid w:val="006C21BC"/>
    <w:rsid w:val="006C24BF"/>
    <w:rsid w:val="006C40B9"/>
    <w:rsid w:val="006C601E"/>
    <w:rsid w:val="006D1233"/>
    <w:rsid w:val="006D4DF7"/>
    <w:rsid w:val="006E42F2"/>
    <w:rsid w:val="006E678B"/>
    <w:rsid w:val="006F058F"/>
    <w:rsid w:val="006F55E9"/>
    <w:rsid w:val="0070367F"/>
    <w:rsid w:val="00710655"/>
    <w:rsid w:val="007109AA"/>
    <w:rsid w:val="00712F3C"/>
    <w:rsid w:val="00714528"/>
    <w:rsid w:val="007170AA"/>
    <w:rsid w:val="007175F5"/>
    <w:rsid w:val="0072638A"/>
    <w:rsid w:val="00726642"/>
    <w:rsid w:val="00732B66"/>
    <w:rsid w:val="007378E4"/>
    <w:rsid w:val="00737C8F"/>
    <w:rsid w:val="007406DE"/>
    <w:rsid w:val="007439B9"/>
    <w:rsid w:val="00743E79"/>
    <w:rsid w:val="00744BEA"/>
    <w:rsid w:val="00747168"/>
    <w:rsid w:val="00751532"/>
    <w:rsid w:val="00751C37"/>
    <w:rsid w:val="00754C46"/>
    <w:rsid w:val="0075769B"/>
    <w:rsid w:val="007618BC"/>
    <w:rsid w:val="0076586A"/>
    <w:rsid w:val="00765D3B"/>
    <w:rsid w:val="00766E75"/>
    <w:rsid w:val="00772340"/>
    <w:rsid w:val="007757F3"/>
    <w:rsid w:val="007775AE"/>
    <w:rsid w:val="007815DC"/>
    <w:rsid w:val="00782023"/>
    <w:rsid w:val="007839F5"/>
    <w:rsid w:val="00786C1E"/>
    <w:rsid w:val="00787C80"/>
    <w:rsid w:val="00790D5E"/>
    <w:rsid w:val="00790FC6"/>
    <w:rsid w:val="007915AD"/>
    <w:rsid w:val="00795FA6"/>
    <w:rsid w:val="007A47FB"/>
    <w:rsid w:val="007B106B"/>
    <w:rsid w:val="007B275D"/>
    <w:rsid w:val="007C334A"/>
    <w:rsid w:val="007D5BB3"/>
    <w:rsid w:val="007E0F9E"/>
    <w:rsid w:val="007E6AEB"/>
    <w:rsid w:val="007E6B6E"/>
    <w:rsid w:val="007E7C11"/>
    <w:rsid w:val="007F01EC"/>
    <w:rsid w:val="007F4C32"/>
    <w:rsid w:val="007F5B65"/>
    <w:rsid w:val="007F6A62"/>
    <w:rsid w:val="007F7DF2"/>
    <w:rsid w:val="0080142E"/>
    <w:rsid w:val="00803706"/>
    <w:rsid w:val="0080433F"/>
    <w:rsid w:val="00804C17"/>
    <w:rsid w:val="008079FA"/>
    <w:rsid w:val="00810D58"/>
    <w:rsid w:val="00815AF5"/>
    <w:rsid w:val="008160E3"/>
    <w:rsid w:val="008343CB"/>
    <w:rsid w:val="00834F70"/>
    <w:rsid w:val="00835B31"/>
    <w:rsid w:val="00842A3F"/>
    <w:rsid w:val="008479AF"/>
    <w:rsid w:val="0085027E"/>
    <w:rsid w:val="00850591"/>
    <w:rsid w:val="008514E7"/>
    <w:rsid w:val="00861C0D"/>
    <w:rsid w:val="008638DE"/>
    <w:rsid w:val="00863B20"/>
    <w:rsid w:val="008646DE"/>
    <w:rsid w:val="00864902"/>
    <w:rsid w:val="00864BE7"/>
    <w:rsid w:val="00865200"/>
    <w:rsid w:val="00871695"/>
    <w:rsid w:val="00881318"/>
    <w:rsid w:val="008817CE"/>
    <w:rsid w:val="00884151"/>
    <w:rsid w:val="00885631"/>
    <w:rsid w:val="00886006"/>
    <w:rsid w:val="00891C25"/>
    <w:rsid w:val="00894200"/>
    <w:rsid w:val="008964A0"/>
    <w:rsid w:val="008973EE"/>
    <w:rsid w:val="008A224C"/>
    <w:rsid w:val="008A4125"/>
    <w:rsid w:val="008A7C7E"/>
    <w:rsid w:val="008B21BA"/>
    <w:rsid w:val="008B4EE2"/>
    <w:rsid w:val="008B6A70"/>
    <w:rsid w:val="008C199E"/>
    <w:rsid w:val="008C1CA5"/>
    <w:rsid w:val="008C4A89"/>
    <w:rsid w:val="008D089D"/>
    <w:rsid w:val="008D1545"/>
    <w:rsid w:val="008D6ACA"/>
    <w:rsid w:val="008D72D9"/>
    <w:rsid w:val="008D75EA"/>
    <w:rsid w:val="008E792C"/>
    <w:rsid w:val="008F0688"/>
    <w:rsid w:val="008F0B04"/>
    <w:rsid w:val="008F2B5B"/>
    <w:rsid w:val="008F7C55"/>
    <w:rsid w:val="00901BAF"/>
    <w:rsid w:val="00910A39"/>
    <w:rsid w:val="0091272B"/>
    <w:rsid w:val="00926549"/>
    <w:rsid w:val="00930694"/>
    <w:rsid w:val="00932193"/>
    <w:rsid w:val="0093521F"/>
    <w:rsid w:val="0093786C"/>
    <w:rsid w:val="00945677"/>
    <w:rsid w:val="0095571F"/>
    <w:rsid w:val="00955B84"/>
    <w:rsid w:val="0095689B"/>
    <w:rsid w:val="0095734C"/>
    <w:rsid w:val="00962F78"/>
    <w:rsid w:val="00965A0E"/>
    <w:rsid w:val="0096609F"/>
    <w:rsid w:val="00971600"/>
    <w:rsid w:val="00975787"/>
    <w:rsid w:val="00977074"/>
    <w:rsid w:val="00984342"/>
    <w:rsid w:val="009869B9"/>
    <w:rsid w:val="009973B4"/>
    <w:rsid w:val="009A0256"/>
    <w:rsid w:val="009A1279"/>
    <w:rsid w:val="009A4B5C"/>
    <w:rsid w:val="009A5D09"/>
    <w:rsid w:val="009B4D68"/>
    <w:rsid w:val="009B6AB3"/>
    <w:rsid w:val="009B7EB8"/>
    <w:rsid w:val="009C131F"/>
    <w:rsid w:val="009D1075"/>
    <w:rsid w:val="009D1A3F"/>
    <w:rsid w:val="009D2F66"/>
    <w:rsid w:val="009D57CF"/>
    <w:rsid w:val="009E2238"/>
    <w:rsid w:val="009E30DA"/>
    <w:rsid w:val="009E3D68"/>
    <w:rsid w:val="009E6193"/>
    <w:rsid w:val="009E7DD1"/>
    <w:rsid w:val="009F504A"/>
    <w:rsid w:val="009F7BFC"/>
    <w:rsid w:val="009F7EED"/>
    <w:rsid w:val="00A0651D"/>
    <w:rsid w:val="00A0721A"/>
    <w:rsid w:val="00A11101"/>
    <w:rsid w:val="00A138EC"/>
    <w:rsid w:val="00A13A49"/>
    <w:rsid w:val="00A20BE4"/>
    <w:rsid w:val="00A20D62"/>
    <w:rsid w:val="00A3225B"/>
    <w:rsid w:val="00A3538B"/>
    <w:rsid w:val="00A378F6"/>
    <w:rsid w:val="00A41F32"/>
    <w:rsid w:val="00A44464"/>
    <w:rsid w:val="00A4482F"/>
    <w:rsid w:val="00A50B4B"/>
    <w:rsid w:val="00A51191"/>
    <w:rsid w:val="00A60965"/>
    <w:rsid w:val="00A65F9C"/>
    <w:rsid w:val="00A801DE"/>
    <w:rsid w:val="00A81FD7"/>
    <w:rsid w:val="00A90A22"/>
    <w:rsid w:val="00A93155"/>
    <w:rsid w:val="00A969B9"/>
    <w:rsid w:val="00A96FBA"/>
    <w:rsid w:val="00A97734"/>
    <w:rsid w:val="00AA1858"/>
    <w:rsid w:val="00AA7F40"/>
    <w:rsid w:val="00AB015D"/>
    <w:rsid w:val="00AB41FC"/>
    <w:rsid w:val="00AB7D2F"/>
    <w:rsid w:val="00AC24B1"/>
    <w:rsid w:val="00AC260E"/>
    <w:rsid w:val="00AD145D"/>
    <w:rsid w:val="00AD20E6"/>
    <w:rsid w:val="00AD6F34"/>
    <w:rsid w:val="00AE020D"/>
    <w:rsid w:val="00AE6C69"/>
    <w:rsid w:val="00AF0AAB"/>
    <w:rsid w:val="00AF156F"/>
    <w:rsid w:val="00AF616B"/>
    <w:rsid w:val="00B006F3"/>
    <w:rsid w:val="00B034AD"/>
    <w:rsid w:val="00B0685B"/>
    <w:rsid w:val="00B22D22"/>
    <w:rsid w:val="00B23030"/>
    <w:rsid w:val="00B237B9"/>
    <w:rsid w:val="00B23CAA"/>
    <w:rsid w:val="00B2489D"/>
    <w:rsid w:val="00B30D69"/>
    <w:rsid w:val="00B313B3"/>
    <w:rsid w:val="00B410EE"/>
    <w:rsid w:val="00B44602"/>
    <w:rsid w:val="00B72906"/>
    <w:rsid w:val="00B73B0E"/>
    <w:rsid w:val="00B73EA8"/>
    <w:rsid w:val="00B8202D"/>
    <w:rsid w:val="00B91271"/>
    <w:rsid w:val="00B91605"/>
    <w:rsid w:val="00B91895"/>
    <w:rsid w:val="00B929FD"/>
    <w:rsid w:val="00B93FF9"/>
    <w:rsid w:val="00B95B99"/>
    <w:rsid w:val="00B95F69"/>
    <w:rsid w:val="00BA4524"/>
    <w:rsid w:val="00BA46BF"/>
    <w:rsid w:val="00BB6AD3"/>
    <w:rsid w:val="00BC0122"/>
    <w:rsid w:val="00BC2015"/>
    <w:rsid w:val="00BC2169"/>
    <w:rsid w:val="00BC71B0"/>
    <w:rsid w:val="00BD14AB"/>
    <w:rsid w:val="00BD4E08"/>
    <w:rsid w:val="00BD6DBC"/>
    <w:rsid w:val="00BE5D0C"/>
    <w:rsid w:val="00BF1C1A"/>
    <w:rsid w:val="00BF2A08"/>
    <w:rsid w:val="00BF597E"/>
    <w:rsid w:val="00BF6F5E"/>
    <w:rsid w:val="00C005FD"/>
    <w:rsid w:val="00C03098"/>
    <w:rsid w:val="00C03FAF"/>
    <w:rsid w:val="00C058B8"/>
    <w:rsid w:val="00C070F2"/>
    <w:rsid w:val="00C10EF3"/>
    <w:rsid w:val="00C14685"/>
    <w:rsid w:val="00C26ED6"/>
    <w:rsid w:val="00C31C73"/>
    <w:rsid w:val="00C513CB"/>
    <w:rsid w:val="00C51A36"/>
    <w:rsid w:val="00C548BE"/>
    <w:rsid w:val="00C55228"/>
    <w:rsid w:val="00C61DCF"/>
    <w:rsid w:val="00C62031"/>
    <w:rsid w:val="00C66DB8"/>
    <w:rsid w:val="00C67E19"/>
    <w:rsid w:val="00C67E47"/>
    <w:rsid w:val="00C71E85"/>
    <w:rsid w:val="00C745AF"/>
    <w:rsid w:val="00C750BE"/>
    <w:rsid w:val="00C76A3E"/>
    <w:rsid w:val="00C86F9B"/>
    <w:rsid w:val="00C87FEE"/>
    <w:rsid w:val="00C90930"/>
    <w:rsid w:val="00C90FCC"/>
    <w:rsid w:val="00C920A9"/>
    <w:rsid w:val="00C93340"/>
    <w:rsid w:val="00CB0154"/>
    <w:rsid w:val="00CB0D49"/>
    <w:rsid w:val="00CB127F"/>
    <w:rsid w:val="00CB260B"/>
    <w:rsid w:val="00CB3729"/>
    <w:rsid w:val="00CB43FE"/>
    <w:rsid w:val="00CC2A01"/>
    <w:rsid w:val="00CC4177"/>
    <w:rsid w:val="00CC66C9"/>
    <w:rsid w:val="00CC6864"/>
    <w:rsid w:val="00CD394A"/>
    <w:rsid w:val="00CD6C83"/>
    <w:rsid w:val="00CE0AA5"/>
    <w:rsid w:val="00CE2A9E"/>
    <w:rsid w:val="00CE315A"/>
    <w:rsid w:val="00CE4B8A"/>
    <w:rsid w:val="00CE7BE1"/>
    <w:rsid w:val="00CF147A"/>
    <w:rsid w:val="00CF1726"/>
    <w:rsid w:val="00CF5473"/>
    <w:rsid w:val="00CF6C5C"/>
    <w:rsid w:val="00D004F0"/>
    <w:rsid w:val="00D06F59"/>
    <w:rsid w:val="00D23CA1"/>
    <w:rsid w:val="00D265C1"/>
    <w:rsid w:val="00D31C0F"/>
    <w:rsid w:val="00D3392D"/>
    <w:rsid w:val="00D34C3B"/>
    <w:rsid w:val="00D379ED"/>
    <w:rsid w:val="00D37D1B"/>
    <w:rsid w:val="00D37D62"/>
    <w:rsid w:val="00D409E8"/>
    <w:rsid w:val="00D41EC7"/>
    <w:rsid w:val="00D41F5E"/>
    <w:rsid w:val="00D429D7"/>
    <w:rsid w:val="00D42D53"/>
    <w:rsid w:val="00D42FBB"/>
    <w:rsid w:val="00D55227"/>
    <w:rsid w:val="00D55E69"/>
    <w:rsid w:val="00D562F6"/>
    <w:rsid w:val="00D562FA"/>
    <w:rsid w:val="00D63604"/>
    <w:rsid w:val="00D74FBF"/>
    <w:rsid w:val="00D80770"/>
    <w:rsid w:val="00D83050"/>
    <w:rsid w:val="00D8388C"/>
    <w:rsid w:val="00D86058"/>
    <w:rsid w:val="00D90417"/>
    <w:rsid w:val="00D97182"/>
    <w:rsid w:val="00DA0DF0"/>
    <w:rsid w:val="00DA4016"/>
    <w:rsid w:val="00DB366A"/>
    <w:rsid w:val="00DC3E4B"/>
    <w:rsid w:val="00DC62E7"/>
    <w:rsid w:val="00DD10DC"/>
    <w:rsid w:val="00DD1C8E"/>
    <w:rsid w:val="00DD1D21"/>
    <w:rsid w:val="00DE146D"/>
    <w:rsid w:val="00DE2D80"/>
    <w:rsid w:val="00DE6FCE"/>
    <w:rsid w:val="00DF1BF7"/>
    <w:rsid w:val="00DF6570"/>
    <w:rsid w:val="00DF76DB"/>
    <w:rsid w:val="00E038E4"/>
    <w:rsid w:val="00E0521C"/>
    <w:rsid w:val="00E11CD7"/>
    <w:rsid w:val="00E13D9A"/>
    <w:rsid w:val="00E14BA9"/>
    <w:rsid w:val="00E16403"/>
    <w:rsid w:val="00E221C3"/>
    <w:rsid w:val="00E30835"/>
    <w:rsid w:val="00E32D13"/>
    <w:rsid w:val="00E433E5"/>
    <w:rsid w:val="00E43822"/>
    <w:rsid w:val="00E43A35"/>
    <w:rsid w:val="00E45C87"/>
    <w:rsid w:val="00E506F9"/>
    <w:rsid w:val="00E54035"/>
    <w:rsid w:val="00E547BB"/>
    <w:rsid w:val="00E5717A"/>
    <w:rsid w:val="00E62996"/>
    <w:rsid w:val="00E63714"/>
    <w:rsid w:val="00E64A51"/>
    <w:rsid w:val="00E65014"/>
    <w:rsid w:val="00E67329"/>
    <w:rsid w:val="00E676F9"/>
    <w:rsid w:val="00E910C0"/>
    <w:rsid w:val="00E95637"/>
    <w:rsid w:val="00E97424"/>
    <w:rsid w:val="00EA55F7"/>
    <w:rsid w:val="00EA7E7C"/>
    <w:rsid w:val="00EB0164"/>
    <w:rsid w:val="00EB30BC"/>
    <w:rsid w:val="00EB37D4"/>
    <w:rsid w:val="00EB5DF5"/>
    <w:rsid w:val="00EB65F7"/>
    <w:rsid w:val="00EC14F8"/>
    <w:rsid w:val="00EC18DB"/>
    <w:rsid w:val="00EC42F5"/>
    <w:rsid w:val="00ED0F62"/>
    <w:rsid w:val="00ED18C4"/>
    <w:rsid w:val="00EE21C3"/>
    <w:rsid w:val="00EE5CD9"/>
    <w:rsid w:val="00EE6713"/>
    <w:rsid w:val="00EE6F50"/>
    <w:rsid w:val="00EF0B02"/>
    <w:rsid w:val="00EF29B6"/>
    <w:rsid w:val="00EF3569"/>
    <w:rsid w:val="00EF36E7"/>
    <w:rsid w:val="00EF5088"/>
    <w:rsid w:val="00F06B25"/>
    <w:rsid w:val="00F06D09"/>
    <w:rsid w:val="00F079BB"/>
    <w:rsid w:val="00F10435"/>
    <w:rsid w:val="00F10991"/>
    <w:rsid w:val="00F11201"/>
    <w:rsid w:val="00F115BF"/>
    <w:rsid w:val="00F14D99"/>
    <w:rsid w:val="00F2038C"/>
    <w:rsid w:val="00F24EBF"/>
    <w:rsid w:val="00F25AFF"/>
    <w:rsid w:val="00F3026C"/>
    <w:rsid w:val="00F31E8A"/>
    <w:rsid w:val="00F32651"/>
    <w:rsid w:val="00F32926"/>
    <w:rsid w:val="00F32CB9"/>
    <w:rsid w:val="00F33729"/>
    <w:rsid w:val="00F3372A"/>
    <w:rsid w:val="00F35CD7"/>
    <w:rsid w:val="00F3666E"/>
    <w:rsid w:val="00F415DA"/>
    <w:rsid w:val="00F44D4E"/>
    <w:rsid w:val="00F47878"/>
    <w:rsid w:val="00F55DB9"/>
    <w:rsid w:val="00F606E1"/>
    <w:rsid w:val="00F6739D"/>
    <w:rsid w:val="00F71229"/>
    <w:rsid w:val="00F75C20"/>
    <w:rsid w:val="00F83567"/>
    <w:rsid w:val="00F83639"/>
    <w:rsid w:val="00F840C3"/>
    <w:rsid w:val="00F856F5"/>
    <w:rsid w:val="00F8598C"/>
    <w:rsid w:val="00F86035"/>
    <w:rsid w:val="00F870FE"/>
    <w:rsid w:val="00F91D01"/>
    <w:rsid w:val="00F956F5"/>
    <w:rsid w:val="00FA0833"/>
    <w:rsid w:val="00FA14A3"/>
    <w:rsid w:val="00FA26CC"/>
    <w:rsid w:val="00FA2988"/>
    <w:rsid w:val="00FA350D"/>
    <w:rsid w:val="00FA62F8"/>
    <w:rsid w:val="00FB03C3"/>
    <w:rsid w:val="00FB1D9F"/>
    <w:rsid w:val="00FB5038"/>
    <w:rsid w:val="00FB5A65"/>
    <w:rsid w:val="00FB6C45"/>
    <w:rsid w:val="00FC01AB"/>
    <w:rsid w:val="00FD2869"/>
    <w:rsid w:val="00FD5EE5"/>
    <w:rsid w:val="00FD72A6"/>
    <w:rsid w:val="00FE09C9"/>
    <w:rsid w:val="00FE3DB1"/>
    <w:rsid w:val="00FE40CD"/>
    <w:rsid w:val="00FE62BD"/>
    <w:rsid w:val="108219C2"/>
    <w:rsid w:val="2D9F231E"/>
    <w:rsid w:val="5EA12B9A"/>
    <w:rsid w:val="7AF25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19"/>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link w:val="21"/>
    <w:qFormat/>
    <w:uiPriority w:val="0"/>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link w:val="22"/>
    <w:qFormat/>
    <w:uiPriority w:val="0"/>
    <w:pPr>
      <w:widowControl/>
      <w:jc w:val="center"/>
    </w:pPr>
    <w:rPr>
      <w:rFonts w:ascii="Book Antiqua" w:hAnsi="Book Antiqua"/>
      <w:b/>
      <w:kern w:val="0"/>
      <w:sz w:val="31"/>
      <w:szCs w:val="31"/>
      <w:u w:val="single"/>
      <w:lang w:eastAsia="en-US"/>
    </w:rPr>
  </w:style>
  <w:style w:type="character" w:customStyle="1" w:styleId="12">
    <w:name w:val="页眉 Char"/>
    <w:basedOn w:val="11"/>
    <w:link w:val="8"/>
    <w:qFormat/>
    <w:uiPriority w:val="0"/>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fontstyle01"/>
    <w:basedOn w:val="11"/>
    <w:qFormat/>
    <w:uiPriority w:val="0"/>
    <w:rPr>
      <w:rFonts w:hint="eastAsia" w:ascii="宋体" w:hAnsi="宋体" w:eastAsia="宋体"/>
      <w:color w:val="000000"/>
      <w:sz w:val="24"/>
      <w:szCs w:val="24"/>
    </w:rPr>
  </w:style>
  <w:style w:type="character" w:customStyle="1" w:styleId="17">
    <w:name w:val="fontstyle21"/>
    <w:basedOn w:val="11"/>
    <w:qFormat/>
    <w:uiPriority w:val="0"/>
    <w:rPr>
      <w:rFonts w:hint="default" w:ascii="Times New Roman" w:hAnsi="Times New Roman" w:cs="Times New Roman"/>
      <w:color w:val="000000"/>
      <w:sz w:val="24"/>
      <w:szCs w:val="24"/>
    </w:rPr>
  </w:style>
  <w:style w:type="character" w:customStyle="1" w:styleId="18">
    <w:name w:val="标题 2 Char"/>
    <w:basedOn w:val="11"/>
    <w:link w:val="3"/>
    <w:qFormat/>
    <w:uiPriority w:val="9"/>
    <w:rPr>
      <w:rFonts w:asciiTheme="majorHAnsi" w:hAnsiTheme="majorHAnsi" w:eastAsiaTheme="majorEastAsia" w:cstheme="majorBidi"/>
      <w:b/>
      <w:bCs/>
      <w:kern w:val="2"/>
      <w:sz w:val="32"/>
      <w:szCs w:val="32"/>
    </w:rPr>
  </w:style>
  <w:style w:type="character" w:customStyle="1" w:styleId="19">
    <w:name w:val="正文文本 Char"/>
    <w:basedOn w:val="11"/>
    <w:link w:val="2"/>
    <w:qFormat/>
    <w:uiPriority w:val="99"/>
    <w:rPr>
      <w:rFonts w:ascii="Times New Roman" w:hAnsi="Times New Roman" w:eastAsia="宋体" w:cs="Times New Roman"/>
      <w:kern w:val="2"/>
      <w:sz w:val="24"/>
    </w:rPr>
  </w:style>
  <w:style w:type="paragraph" w:customStyle="1" w:styleId="20">
    <w:name w:val="表格文字"/>
    <w:basedOn w:val="1"/>
    <w:qFormat/>
    <w:uiPriority w:val="0"/>
    <w:pPr>
      <w:spacing w:before="25" w:after="25"/>
    </w:pPr>
    <w:rPr>
      <w:bCs/>
      <w:spacing w:val="10"/>
    </w:rPr>
  </w:style>
  <w:style w:type="character" w:customStyle="1" w:styleId="21">
    <w:name w:val="纯文本 Char"/>
    <w:basedOn w:val="11"/>
    <w:link w:val="5"/>
    <w:qFormat/>
    <w:uiPriority w:val="0"/>
    <w:rPr>
      <w:rFonts w:ascii="宋体" w:hAnsi="Courier New" w:eastAsia="宋体" w:cs="Times New Roman"/>
      <w:kern w:val="2"/>
      <w:sz w:val="21"/>
    </w:rPr>
  </w:style>
  <w:style w:type="character" w:customStyle="1" w:styleId="22">
    <w:name w:val="标题 Char"/>
    <w:basedOn w:val="11"/>
    <w:link w:val="9"/>
    <w:uiPriority w:val="0"/>
    <w:rPr>
      <w:rFonts w:ascii="Book Antiqua" w:hAnsi="Book Antiqua" w:eastAsia="宋体" w:cs="Times New Roman"/>
      <w:b/>
      <w:sz w:val="31"/>
      <w:szCs w:val="31"/>
      <w:u w:val="single"/>
      <w:lang w:eastAsia="en-US"/>
    </w:rPr>
  </w:style>
  <w:style w:type="paragraph" w:styleId="23">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1368</Words>
  <Characters>7804</Characters>
  <Lines>65</Lines>
  <Paragraphs>18</Paragraphs>
  <TotalTime>2</TotalTime>
  <ScaleCrop>false</ScaleCrop>
  <LinksUpToDate>false</LinksUpToDate>
  <CharactersWithSpaces>9154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2021-07-08T06:24:51Z</dcterms:modified>
  <cp:revision>930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9DEBE7A9748945CFA88C2FD5D786E8AA</vt:lpwstr>
  </property>
</Properties>
</file>