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3"/>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893" w:type="dxa"/>
            <w:vAlign w:val="center"/>
          </w:tcPr>
          <w:p>
            <w:pPr>
              <w:rPr>
                <w:rFonts w:hint="eastAsia" w:eastAsia="宋体"/>
                <w:sz w:val="21"/>
                <w:szCs w:val="21"/>
                <w:lang w:val="en-US" w:eastAsia="zh-CN"/>
              </w:rPr>
            </w:pPr>
            <w:r>
              <w:rPr>
                <w:rFonts w:hint="eastAsia"/>
                <w:sz w:val="21"/>
                <w:szCs w:val="21"/>
              </w:rPr>
              <w:t>受审核部门：</w:t>
            </w:r>
            <w:r>
              <w:rPr>
                <w:rFonts w:hint="eastAsia" w:cs="Times New Roman"/>
                <w:sz w:val="21"/>
                <w:szCs w:val="21"/>
                <w:lang w:val="en-US" w:eastAsia="zh-CN"/>
              </w:rPr>
              <w:t>工程</w:t>
            </w:r>
            <w:r>
              <w:rPr>
                <w:rFonts w:hint="eastAsia" w:ascii="Times New Roman" w:hAnsi="Times New Roman" w:cs="Times New Roman"/>
                <w:sz w:val="21"/>
                <w:szCs w:val="21"/>
              </w:rPr>
              <w:t>部</w:t>
            </w:r>
            <w:r>
              <w:rPr>
                <w:rFonts w:hint="eastAsia" w:ascii="Times New Roman" w:hAnsi="Times New Roman" w:cs="Times New Roman"/>
                <w:sz w:val="21"/>
                <w:szCs w:val="21"/>
                <w:lang w:val="en-US" w:eastAsia="zh-CN"/>
              </w:rPr>
              <w:t>在建项目：</w:t>
            </w:r>
            <w:r>
              <w:rPr>
                <w:rFonts w:hint="eastAsia"/>
                <w:sz w:val="21"/>
                <w:szCs w:val="21"/>
              </w:rPr>
              <w:t>丰禾化工</w:t>
            </w:r>
            <w:r>
              <w:rPr>
                <w:rFonts w:hint="eastAsia"/>
                <w:sz w:val="21"/>
                <w:szCs w:val="21"/>
                <w:lang w:val="en-US" w:eastAsia="zh-CN"/>
              </w:rPr>
              <w:t>办公楼</w:t>
            </w:r>
            <w:r>
              <w:rPr>
                <w:rFonts w:hint="eastAsia" w:ascii="Times New Roman" w:hAnsi="Times New Roman" w:cs="Times New Roman"/>
                <w:sz w:val="21"/>
                <w:szCs w:val="21"/>
              </w:rPr>
              <w:t>项目      主管领导：</w:t>
            </w:r>
            <w:r>
              <w:rPr>
                <w:rFonts w:hint="eastAsia" w:ascii="Times New Roman" w:hAnsi="Times New Roman" w:cs="Times New Roman"/>
                <w:sz w:val="21"/>
                <w:szCs w:val="21"/>
                <w:lang w:val="en-US" w:eastAsia="zh-CN"/>
              </w:rPr>
              <w:t>徐行</w:t>
            </w:r>
            <w:r>
              <w:rPr>
                <w:rFonts w:hint="eastAsia" w:ascii="Times New Roman" w:hAnsi="Times New Roman" w:cs="Times New Roman"/>
                <w:sz w:val="21"/>
                <w:szCs w:val="21"/>
              </w:rPr>
              <w:t xml:space="preserve">     陪同人员：</w:t>
            </w:r>
            <w:r>
              <w:rPr>
                <w:rFonts w:hint="eastAsia" w:cs="Times New Roman"/>
                <w:sz w:val="21"/>
                <w:szCs w:val="21"/>
                <w:lang w:val="en-US" w:eastAsia="zh-CN"/>
              </w:rPr>
              <w:t>周涛</w:t>
            </w:r>
          </w:p>
        </w:tc>
        <w:tc>
          <w:tcPr>
            <w:tcW w:w="696"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893" w:type="dxa"/>
            <w:vAlign w:val="center"/>
          </w:tcPr>
          <w:p>
            <w:pPr>
              <w:spacing w:before="120"/>
              <w:rPr>
                <w:rFonts w:hint="default" w:eastAsia="宋体"/>
                <w:sz w:val="21"/>
                <w:szCs w:val="21"/>
                <w:lang w:val="en-US" w:eastAsia="zh-CN"/>
              </w:rPr>
            </w:pPr>
            <w:r>
              <w:rPr>
                <w:rFonts w:hint="eastAsia"/>
                <w:sz w:val="21"/>
                <w:szCs w:val="21"/>
              </w:rPr>
              <w:t>审核员：</w:t>
            </w:r>
            <w:bookmarkStart w:id="0" w:name="审核组成员不含组长"/>
            <w:r>
              <w:rPr>
                <w:rFonts w:hint="eastAsia"/>
                <w:sz w:val="21"/>
                <w:szCs w:val="21"/>
              </w:rPr>
              <w:t>周文</w:t>
            </w:r>
            <w:bookmarkEnd w:id="0"/>
            <w:r>
              <w:rPr>
                <w:rFonts w:hint="eastAsia"/>
                <w:sz w:val="21"/>
                <w:szCs w:val="21"/>
              </w:rPr>
              <w:t xml:space="preserve"> </w:t>
            </w:r>
            <w:r>
              <w:rPr>
                <w:sz w:val="21"/>
                <w:szCs w:val="21"/>
              </w:rPr>
              <w:t xml:space="preserve">                 </w:t>
            </w:r>
            <w:r>
              <w:rPr>
                <w:rFonts w:hint="eastAsia"/>
                <w:sz w:val="21"/>
                <w:szCs w:val="21"/>
              </w:rPr>
              <w:t>审核时间：</w:t>
            </w:r>
            <w:bookmarkStart w:id="1" w:name="审核日期"/>
            <w:r>
              <w:rPr>
                <w:sz w:val="21"/>
                <w:szCs w:val="21"/>
              </w:rPr>
              <w:t>2021年10月2</w:t>
            </w:r>
            <w:bookmarkEnd w:id="1"/>
            <w:r>
              <w:rPr>
                <w:rFonts w:hint="eastAsia"/>
                <w:sz w:val="21"/>
                <w:szCs w:val="21"/>
                <w:lang w:val="en-US" w:eastAsia="zh-CN"/>
              </w:rPr>
              <w:t>6-27日</w:t>
            </w:r>
          </w:p>
        </w:tc>
        <w:tc>
          <w:tcPr>
            <w:tcW w:w="696"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1"/>
                <w:szCs w:val="21"/>
              </w:rPr>
            </w:pPr>
          </w:p>
        </w:tc>
        <w:tc>
          <w:tcPr>
            <w:tcW w:w="960" w:type="dxa"/>
            <w:vMerge w:val="continue"/>
            <w:vAlign w:val="center"/>
          </w:tcPr>
          <w:p>
            <w:pPr>
              <w:rPr>
                <w:sz w:val="21"/>
                <w:szCs w:val="21"/>
              </w:rPr>
            </w:pPr>
          </w:p>
        </w:tc>
        <w:tc>
          <w:tcPr>
            <w:tcW w:w="10893" w:type="dxa"/>
            <w:vAlign w:val="center"/>
          </w:tcPr>
          <w:p>
            <w:pPr>
              <w:spacing w:line="300" w:lineRule="exact"/>
              <w:rPr>
                <w:rFonts w:hint="default" w:ascii="宋体" w:hAnsi="宋体" w:eastAsia="宋体" w:cs="宋体"/>
                <w:b w:val="0"/>
                <w:bCs w:val="0"/>
                <w:sz w:val="21"/>
                <w:szCs w:val="21"/>
                <w:u w:val="single"/>
                <w:lang w:val="en-US" w:eastAsia="zh-CN"/>
              </w:rPr>
            </w:pPr>
            <w:r>
              <w:rPr>
                <w:rFonts w:hint="eastAsia"/>
                <w:sz w:val="21"/>
                <w:szCs w:val="21"/>
              </w:rPr>
              <w:t>审核条款：</w:t>
            </w:r>
            <w:r>
              <w:rPr>
                <w:rFonts w:hint="eastAsia" w:ascii="宋体" w:hAnsi="宋体" w:eastAsia="宋体" w:cs="宋体"/>
                <w:b w:val="0"/>
                <w:bCs w:val="0"/>
                <w:sz w:val="21"/>
                <w:szCs w:val="21"/>
                <w:u w:val="single"/>
              </w:rPr>
              <w:t>Q/J: 5.3(4.3)/6.2（3.2）/7.1.3(7)</w:t>
            </w:r>
            <w:r>
              <w:rPr>
                <w:rFonts w:hint="eastAsia" w:ascii="宋体" w:hAnsi="宋体" w:cs="宋体"/>
                <w:b w:val="0"/>
                <w:bCs w:val="0"/>
                <w:sz w:val="21"/>
                <w:szCs w:val="21"/>
                <w:u w:val="single"/>
                <w:lang w:val="en-US" w:eastAsia="zh-CN"/>
              </w:rPr>
              <w:t>/7.1.5（11.4）</w:t>
            </w:r>
          </w:p>
          <w:p>
            <w:pPr>
              <w:spacing w:line="300" w:lineRule="exact"/>
              <w:jc w:val="left"/>
              <w:rPr>
                <w:rFonts w:hint="eastAsia" w:ascii="宋体" w:hAnsi="宋体" w:eastAsia="宋体" w:cs="宋体"/>
                <w:b w:val="0"/>
                <w:bCs w:val="0"/>
                <w:sz w:val="21"/>
                <w:szCs w:val="21"/>
                <w:u w:val="single"/>
              </w:rPr>
            </w:pPr>
            <w:r>
              <w:rPr>
                <w:rFonts w:hint="eastAsia" w:ascii="宋体" w:hAnsi="宋体" w:eastAsia="宋体" w:cs="宋体"/>
                <w:b w:val="0"/>
                <w:bCs w:val="0"/>
                <w:sz w:val="21"/>
                <w:szCs w:val="21"/>
                <w:u w:val="single"/>
              </w:rPr>
              <w:t>/8.4（9.1-9.3、8.1-8.4）8.7（8.3、8.5、9.4、11.5）10.2(12.3)</w:t>
            </w:r>
          </w:p>
          <w:p>
            <w:pPr>
              <w:spacing w:line="300" w:lineRule="exact"/>
              <w:jc w:val="left"/>
              <w:rPr>
                <w:sz w:val="21"/>
                <w:szCs w:val="21"/>
              </w:rPr>
            </w:pPr>
            <w:r>
              <w:rPr>
                <w:rFonts w:hint="eastAsia" w:ascii="宋体" w:hAnsi="宋体" w:eastAsia="宋体" w:cs="宋体"/>
                <w:b w:val="0"/>
                <w:bCs w:val="0"/>
                <w:sz w:val="21"/>
                <w:szCs w:val="21"/>
                <w:u w:val="single"/>
              </w:rPr>
              <w:t>E</w:t>
            </w:r>
            <w:r>
              <w:rPr>
                <w:rFonts w:hint="eastAsia" w:ascii="宋体" w:hAnsi="宋体" w:eastAsia="宋体" w:cs="宋体"/>
                <w:b w:val="0"/>
                <w:bCs w:val="0"/>
                <w:sz w:val="21"/>
                <w:szCs w:val="21"/>
                <w:u w:val="single"/>
                <w:lang w:val="en-US" w:eastAsia="zh-CN"/>
              </w:rPr>
              <w:t>O</w:t>
            </w:r>
            <w:r>
              <w:rPr>
                <w:rFonts w:hint="eastAsia" w:ascii="宋体" w:hAnsi="宋体" w:eastAsia="宋体" w:cs="宋体"/>
                <w:b w:val="0"/>
                <w:bCs w:val="0"/>
                <w:sz w:val="21"/>
                <w:szCs w:val="21"/>
                <w:u w:val="single"/>
              </w:rPr>
              <w:t>:5.3/6.2/</w:t>
            </w:r>
          </w:p>
        </w:tc>
        <w:tc>
          <w:tcPr>
            <w:tcW w:w="696"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sz w:val="21"/>
                <w:szCs w:val="21"/>
                <w:u w:val="none"/>
              </w:rPr>
            </w:pPr>
            <w:r>
              <w:rPr>
                <w:rFonts w:hint="eastAsia"/>
                <w:sz w:val="21"/>
                <w:szCs w:val="21"/>
                <w:u w:val="none"/>
                <w:lang w:val="en-US" w:eastAsia="zh-CN"/>
              </w:rPr>
              <w:t>职责分配</w:t>
            </w:r>
          </w:p>
        </w:tc>
        <w:tc>
          <w:tcPr>
            <w:tcW w:w="960" w:type="dxa"/>
          </w:tcPr>
          <w:p>
            <w:pPr>
              <w:rPr>
                <w:sz w:val="21"/>
                <w:szCs w:val="21"/>
                <w:u w:val="none"/>
              </w:rPr>
            </w:pPr>
            <w:r>
              <w:rPr>
                <w:rFonts w:hint="eastAsia" w:ascii="宋体" w:hAnsi="宋体" w:eastAsia="宋体" w:cs="宋体"/>
                <w:b w:val="0"/>
                <w:bCs w:val="0"/>
                <w:sz w:val="21"/>
                <w:szCs w:val="21"/>
                <w:u w:val="none"/>
              </w:rPr>
              <w:t>Q/J</w:t>
            </w:r>
            <w:r>
              <w:rPr>
                <w:rFonts w:hint="eastAsia" w:ascii="宋体" w:hAnsi="宋体" w:cs="宋体"/>
                <w:b w:val="0"/>
                <w:bCs w:val="0"/>
                <w:sz w:val="21"/>
                <w:szCs w:val="21"/>
                <w:u w:val="none"/>
                <w:lang w:val="en-US" w:eastAsia="zh-CN"/>
              </w:rPr>
              <w:t>EO</w:t>
            </w:r>
            <w:r>
              <w:rPr>
                <w:rFonts w:hint="eastAsia" w:ascii="宋体" w:hAnsi="宋体" w:eastAsia="宋体" w:cs="宋体"/>
                <w:b w:val="0"/>
                <w:bCs w:val="0"/>
                <w:sz w:val="21"/>
                <w:szCs w:val="21"/>
                <w:u w:val="none"/>
              </w:rPr>
              <w:t>: 5.3(4.3)</w:t>
            </w:r>
          </w:p>
        </w:tc>
        <w:tc>
          <w:tcPr>
            <w:tcW w:w="10893" w:type="dxa"/>
          </w:tcPr>
          <w:p>
            <w:pPr>
              <w:pStyle w:val="14"/>
              <w:ind w:firstLine="420" w:firstLineChars="200"/>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通过</w:t>
            </w:r>
            <w:r>
              <w:rPr>
                <w:rFonts w:hint="eastAsia" w:cs="Times New Roman"/>
                <w:kern w:val="2"/>
                <w:sz w:val="21"/>
                <w:szCs w:val="21"/>
                <w:lang w:val="en-US" w:eastAsia="zh-CN" w:bidi="ar-SA"/>
              </w:rPr>
              <w:t>与项目</w:t>
            </w:r>
            <w:r>
              <w:rPr>
                <w:rFonts w:hint="eastAsia" w:ascii="Calibri" w:hAnsi="Calibri" w:eastAsia="宋体" w:cs="Times New Roman"/>
                <w:kern w:val="2"/>
                <w:sz w:val="21"/>
                <w:szCs w:val="21"/>
                <w:lang w:val="en-US" w:eastAsia="zh-CN" w:bidi="ar-SA"/>
              </w:rPr>
              <w:t>负责人徐行交谈及查看《管理手册》，4.4组织机构图内规定；其部门的岗位职能及权限内容为：</w:t>
            </w:r>
          </w:p>
          <w:p>
            <w:pPr>
              <w:pStyle w:val="14"/>
              <w:ind w:firstLine="420" w:firstLineChars="200"/>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1、负责组织公司危险源及环境因素的调查、识别、评价、更新，确定重大危险源和重大环境因素，编制公司重大危险源与环境因素清单。</w:t>
            </w:r>
          </w:p>
          <w:p>
            <w:pPr>
              <w:pStyle w:val="14"/>
              <w:ind w:firstLine="420" w:firstLineChars="200"/>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2、组织公司文明施工活动检查。</w:t>
            </w:r>
          </w:p>
          <w:p>
            <w:pPr>
              <w:pStyle w:val="14"/>
              <w:ind w:firstLine="420" w:firstLineChars="200"/>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3、每季度组织体系考核，对项目体系运行控制情况及两大体系目标指标及管理方案完成情况进行监督检查和监控。等等。</w:t>
            </w:r>
          </w:p>
          <w:p>
            <w:pPr>
              <w:pStyle w:val="14"/>
              <w:ind w:firstLine="420" w:firstLineChars="200"/>
              <w:rPr>
                <w:rFonts w:hint="default"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负责人口述职责，内容与文件规定基本一致。</w:t>
            </w:r>
          </w:p>
          <w:p>
            <w:pPr>
              <w:pStyle w:val="14"/>
              <w:ind w:firstLine="420" w:firstLineChars="200"/>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 xml:space="preserve">—— 职责分配明确。 </w:t>
            </w:r>
          </w:p>
          <w:p>
            <w:pPr>
              <w:rPr>
                <w:rFonts w:hint="eastAsia" w:eastAsia="宋体"/>
                <w:sz w:val="21"/>
                <w:szCs w:val="21"/>
                <w:lang w:val="en-US" w:eastAsia="zh-CN"/>
              </w:rPr>
            </w:pPr>
          </w:p>
        </w:tc>
        <w:tc>
          <w:tcPr>
            <w:tcW w:w="696"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default" w:eastAsia="宋体"/>
                <w:sz w:val="21"/>
                <w:szCs w:val="21"/>
                <w:u w:val="none"/>
                <w:lang w:val="en-US" w:eastAsia="zh-CN"/>
              </w:rPr>
            </w:pPr>
            <w:r>
              <w:rPr>
                <w:rFonts w:hint="eastAsia"/>
                <w:sz w:val="21"/>
                <w:szCs w:val="21"/>
                <w:u w:val="none"/>
                <w:lang w:val="en-US" w:eastAsia="zh-CN"/>
              </w:rPr>
              <w:t>目标策划及实现的控制</w:t>
            </w:r>
          </w:p>
        </w:tc>
        <w:tc>
          <w:tcPr>
            <w:tcW w:w="960" w:type="dxa"/>
          </w:tcPr>
          <w:p>
            <w:pPr>
              <w:rPr>
                <w:sz w:val="21"/>
                <w:szCs w:val="21"/>
                <w:u w:val="none"/>
              </w:rPr>
            </w:pPr>
            <w:r>
              <w:rPr>
                <w:rFonts w:hint="eastAsia" w:ascii="宋体" w:hAnsi="宋体" w:eastAsia="宋体" w:cs="宋体"/>
                <w:b w:val="0"/>
                <w:bCs w:val="0"/>
                <w:sz w:val="21"/>
                <w:szCs w:val="21"/>
                <w:u w:val="none"/>
              </w:rPr>
              <w:t>Q/J</w:t>
            </w:r>
            <w:r>
              <w:rPr>
                <w:rFonts w:hint="eastAsia" w:ascii="宋体" w:hAnsi="宋体" w:cs="宋体"/>
                <w:b w:val="0"/>
                <w:bCs w:val="0"/>
                <w:sz w:val="21"/>
                <w:szCs w:val="21"/>
                <w:u w:val="none"/>
                <w:lang w:val="en-US" w:eastAsia="zh-CN"/>
              </w:rPr>
              <w:t>EO</w:t>
            </w:r>
            <w:r>
              <w:rPr>
                <w:rFonts w:hint="eastAsia" w:ascii="宋体" w:hAnsi="宋体" w:eastAsia="宋体" w:cs="宋体"/>
                <w:b w:val="0"/>
                <w:bCs w:val="0"/>
                <w:sz w:val="21"/>
                <w:szCs w:val="21"/>
                <w:u w:val="none"/>
              </w:rPr>
              <w:t>: 6.2（3.2）</w:t>
            </w:r>
          </w:p>
        </w:tc>
        <w:tc>
          <w:tcPr>
            <w:tcW w:w="10893" w:type="dxa"/>
          </w:tcPr>
          <w:p>
            <w:pPr>
              <w:pStyle w:val="14"/>
              <w:rPr>
                <w:rFonts w:hint="default"/>
                <w:sz w:val="21"/>
                <w:szCs w:val="21"/>
                <w:lang w:val="en-US" w:eastAsia="zh-CN"/>
              </w:rPr>
            </w:pPr>
            <w:r>
              <w:rPr>
                <w:rFonts w:hint="eastAsia"/>
                <w:sz w:val="21"/>
                <w:szCs w:val="21"/>
                <w:lang w:val="en-US" w:eastAsia="zh-CN"/>
              </w:rPr>
              <w:t>——查“荆门市</w:t>
            </w:r>
            <w:r>
              <w:rPr>
                <w:rFonts w:hint="eastAsia"/>
                <w:sz w:val="21"/>
                <w:szCs w:val="21"/>
              </w:rPr>
              <w:t>丰禾化工</w:t>
            </w:r>
            <w:r>
              <w:rPr>
                <w:rFonts w:hint="eastAsia"/>
                <w:sz w:val="21"/>
                <w:szCs w:val="21"/>
                <w:lang w:val="en-US" w:eastAsia="zh-CN"/>
              </w:rPr>
              <w:t>办公楼项目”施工组织设计书；</w:t>
            </w:r>
          </w:p>
          <w:p>
            <w:pPr>
              <w:pStyle w:val="14"/>
              <w:rPr>
                <w:rFonts w:hint="eastAsia"/>
                <w:sz w:val="21"/>
                <w:szCs w:val="21"/>
                <w:lang w:val="en-US" w:eastAsia="zh-CN"/>
              </w:rPr>
            </w:pPr>
            <w:r>
              <w:rPr>
                <w:rFonts w:hint="eastAsia"/>
                <w:sz w:val="21"/>
                <w:szCs w:val="21"/>
                <w:lang w:val="en-US" w:eastAsia="zh-CN"/>
              </w:rPr>
              <w:t>1、质量目标.</w:t>
            </w:r>
          </w:p>
          <w:p>
            <w:pPr>
              <w:pStyle w:val="14"/>
              <w:rPr>
                <w:rFonts w:hint="eastAsia"/>
                <w:sz w:val="21"/>
                <w:szCs w:val="21"/>
                <w:lang w:val="en-US" w:eastAsia="zh-CN"/>
              </w:rPr>
            </w:pPr>
            <w:r>
              <w:rPr>
                <w:rFonts w:hint="eastAsia"/>
                <w:sz w:val="21"/>
                <w:szCs w:val="21"/>
                <w:lang w:val="en-US" w:eastAsia="zh-CN"/>
              </w:rPr>
              <w:t>按建筑工程施工质量验收统-标准( GB50300-2001) 评定为合格</w:t>
            </w:r>
          </w:p>
          <w:p>
            <w:pPr>
              <w:pStyle w:val="14"/>
              <w:rPr>
                <w:rFonts w:hint="eastAsia"/>
                <w:sz w:val="21"/>
                <w:szCs w:val="21"/>
                <w:lang w:val="en-US" w:eastAsia="zh-CN"/>
              </w:rPr>
            </w:pPr>
            <w:r>
              <w:rPr>
                <w:rFonts w:hint="eastAsia"/>
                <w:sz w:val="21"/>
                <w:szCs w:val="21"/>
                <w:lang w:val="en-US" w:eastAsia="zh-CN"/>
              </w:rPr>
              <w:t>2、工期目标.</w:t>
            </w:r>
          </w:p>
          <w:p>
            <w:pPr>
              <w:pStyle w:val="14"/>
              <w:rPr>
                <w:rFonts w:hint="eastAsia"/>
                <w:sz w:val="21"/>
                <w:szCs w:val="21"/>
                <w:lang w:val="en-US" w:eastAsia="zh-CN"/>
              </w:rPr>
            </w:pPr>
            <w:r>
              <w:rPr>
                <w:rFonts w:hint="eastAsia"/>
                <w:sz w:val="21"/>
                <w:szCs w:val="21"/>
                <w:lang w:val="en-US" w:eastAsia="zh-CN"/>
              </w:rPr>
              <w:t>本工程打算工期为2021年 6月28日开工至2021年 9月25日竣工，共计90个日历天。</w:t>
            </w:r>
          </w:p>
          <w:p>
            <w:pPr>
              <w:pStyle w:val="14"/>
              <w:rPr>
                <w:rFonts w:hint="eastAsia"/>
                <w:sz w:val="21"/>
                <w:szCs w:val="21"/>
                <w:lang w:val="en-US" w:eastAsia="zh-CN"/>
              </w:rPr>
            </w:pPr>
            <w:r>
              <w:rPr>
                <w:rFonts w:hint="eastAsia"/>
                <w:sz w:val="21"/>
                <w:szCs w:val="21"/>
                <w:lang w:val="en-US" w:eastAsia="zh-CN"/>
              </w:rPr>
              <w:t>3、安全目标</w:t>
            </w:r>
          </w:p>
          <w:p>
            <w:pPr>
              <w:pStyle w:val="14"/>
              <w:rPr>
                <w:rFonts w:hint="eastAsia"/>
                <w:sz w:val="21"/>
                <w:szCs w:val="21"/>
                <w:lang w:val="en-US" w:eastAsia="zh-CN"/>
              </w:rPr>
            </w:pPr>
            <w:r>
              <w:rPr>
                <w:rFonts w:hint="eastAsia"/>
                <w:sz w:val="21"/>
                <w:szCs w:val="21"/>
                <w:lang w:val="en-US" w:eastAsia="zh-CN"/>
              </w:rPr>
              <w:t>杜绝重大伤亡事故、火灾事故和人员中毒事件的发生，轻伤频率操纵在1.5‰以内。</w:t>
            </w:r>
          </w:p>
          <w:p>
            <w:pPr>
              <w:pStyle w:val="14"/>
              <w:rPr>
                <w:rFonts w:hint="eastAsia"/>
                <w:sz w:val="21"/>
                <w:szCs w:val="21"/>
                <w:lang w:val="en-US" w:eastAsia="zh-CN"/>
              </w:rPr>
            </w:pPr>
            <w:r>
              <w:rPr>
                <w:rFonts w:hint="eastAsia"/>
                <w:sz w:val="21"/>
                <w:szCs w:val="21"/>
                <w:lang w:val="en-US" w:eastAsia="zh-CN"/>
              </w:rPr>
              <w:t>4、环境爱护和文明施工目标</w:t>
            </w:r>
          </w:p>
          <w:p>
            <w:pPr>
              <w:pStyle w:val="14"/>
              <w:rPr>
                <w:rFonts w:hint="eastAsia"/>
                <w:sz w:val="21"/>
                <w:szCs w:val="21"/>
                <w:lang w:val="en-US" w:eastAsia="zh-CN"/>
              </w:rPr>
            </w:pPr>
            <w:r>
              <w:rPr>
                <w:rFonts w:hint="eastAsia"/>
                <w:sz w:val="21"/>
                <w:szCs w:val="21"/>
                <w:lang w:val="en-US" w:eastAsia="zh-CN"/>
              </w:rPr>
              <w:t>施工现场环保及文明施工执行松原市文明工地标准要求。</w:t>
            </w:r>
          </w:p>
          <w:p>
            <w:pPr>
              <w:pStyle w:val="14"/>
              <w:rPr>
                <w:rFonts w:hint="eastAsia"/>
                <w:sz w:val="21"/>
                <w:szCs w:val="21"/>
                <w:lang w:val="en-US" w:eastAsia="zh-CN"/>
              </w:rPr>
            </w:pPr>
          </w:p>
          <w:p>
            <w:pPr>
              <w:pStyle w:val="14"/>
              <w:rPr>
                <w:rFonts w:hint="default"/>
                <w:sz w:val="21"/>
                <w:szCs w:val="21"/>
                <w:lang w:val="en-US" w:eastAsia="zh-CN"/>
              </w:rPr>
            </w:pPr>
            <w:r>
              <w:rPr>
                <w:rFonts w:hint="eastAsia"/>
                <w:sz w:val="21"/>
                <w:szCs w:val="21"/>
                <w:lang w:val="en-US" w:eastAsia="zh-CN"/>
              </w:rPr>
              <w:t>——查目标、指标、绩效完成情况统计表，2021年1-9月，本部门质量、环境、职业健康安全目标考核目标均已达成。（由于7-8月荆门新冠疫情影响，停工1个多月，项目未按期完工）考核时间：2021.9.30.；考核人：陈诚。</w:t>
            </w:r>
          </w:p>
          <w:p>
            <w:pPr>
              <w:rPr>
                <w:sz w:val="21"/>
                <w:szCs w:val="21"/>
              </w:rPr>
            </w:pPr>
            <w:r>
              <w:rPr>
                <w:rFonts w:hint="eastAsia"/>
                <w:sz w:val="21"/>
                <w:szCs w:val="21"/>
                <w:lang w:val="en-US" w:eastAsia="zh-CN"/>
              </w:rPr>
              <w:t>——查职业健康安全目标和管理方案； 编制：陈诚；审批：陈璐；2021.3.20；目标、指标、方法措施、负责部门、检查部门、完成时间、所需经费、等明确。 具体的管理目标主要有：</w:t>
            </w:r>
            <w:r>
              <w:rPr>
                <w:rFonts w:hint="eastAsia"/>
                <w:sz w:val="21"/>
                <w:szCs w:val="21"/>
              </w:rPr>
              <w:t>杜绝高空坠落事故</w:t>
            </w:r>
            <w:r>
              <w:rPr>
                <w:rFonts w:hint="eastAsia"/>
                <w:sz w:val="21"/>
                <w:szCs w:val="21"/>
                <w:lang w:eastAsia="zh-CN"/>
              </w:rPr>
              <w:t>、</w:t>
            </w:r>
            <w:r>
              <w:rPr>
                <w:rFonts w:hint="eastAsia"/>
                <w:sz w:val="21"/>
                <w:szCs w:val="21"/>
              </w:rPr>
              <w:t>杜绝触电事故</w:t>
            </w:r>
            <w:r>
              <w:rPr>
                <w:rFonts w:hint="eastAsia"/>
                <w:sz w:val="21"/>
                <w:szCs w:val="21"/>
                <w:lang w:eastAsia="zh-CN"/>
              </w:rPr>
              <w:t>、</w:t>
            </w:r>
            <w:r>
              <w:rPr>
                <w:rFonts w:hint="eastAsia"/>
                <w:sz w:val="21"/>
                <w:szCs w:val="21"/>
              </w:rPr>
              <w:t>杜绝火灾爆炸事故</w:t>
            </w:r>
            <w:r>
              <w:rPr>
                <w:rFonts w:hint="eastAsia"/>
                <w:sz w:val="21"/>
                <w:szCs w:val="21"/>
                <w:lang w:eastAsia="zh-CN"/>
              </w:rPr>
              <w:t>、</w:t>
            </w:r>
            <w:r>
              <w:rPr>
                <w:rFonts w:hint="eastAsia"/>
                <w:sz w:val="21"/>
                <w:szCs w:val="21"/>
              </w:rPr>
              <w:t>杜绝机械伤害事故</w:t>
            </w:r>
            <w:r>
              <w:rPr>
                <w:rFonts w:hint="eastAsia"/>
                <w:sz w:val="21"/>
                <w:szCs w:val="21"/>
                <w:lang w:eastAsia="zh-CN"/>
              </w:rPr>
              <w:t>、</w:t>
            </w:r>
            <w:r>
              <w:rPr>
                <w:rFonts w:hint="eastAsia"/>
                <w:sz w:val="21"/>
                <w:szCs w:val="21"/>
              </w:rPr>
              <w:t>杜绝中署事故</w:t>
            </w:r>
            <w:r>
              <w:rPr>
                <w:rFonts w:hint="eastAsia"/>
                <w:sz w:val="21"/>
                <w:szCs w:val="21"/>
                <w:lang w:eastAsia="zh-CN"/>
              </w:rPr>
              <w:t>、</w:t>
            </w:r>
            <w:r>
              <w:rPr>
                <w:rFonts w:hint="eastAsia"/>
                <w:sz w:val="21"/>
                <w:szCs w:val="21"/>
                <w:lang w:val="en-US" w:eastAsia="zh-CN"/>
              </w:rPr>
              <w:t>控制疫情传播。</w:t>
            </w:r>
          </w:p>
        </w:tc>
        <w:tc>
          <w:tcPr>
            <w:tcW w:w="696"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eastAsia="宋体"/>
                <w:sz w:val="21"/>
                <w:szCs w:val="21"/>
                <w:u w:val="none"/>
                <w:lang w:val="en-US" w:eastAsia="zh-CN"/>
              </w:rPr>
            </w:pPr>
            <w:r>
              <w:rPr>
                <w:rFonts w:hint="eastAsia"/>
                <w:sz w:val="21"/>
                <w:szCs w:val="21"/>
                <w:u w:val="none"/>
                <w:lang w:val="en-US" w:eastAsia="zh-CN"/>
              </w:rPr>
              <w:t>基础设施设备的充分适宜性</w:t>
            </w:r>
          </w:p>
        </w:tc>
        <w:tc>
          <w:tcPr>
            <w:tcW w:w="960" w:type="dxa"/>
          </w:tcPr>
          <w:p>
            <w:pPr>
              <w:rPr>
                <w:sz w:val="21"/>
                <w:szCs w:val="21"/>
                <w:u w:val="none"/>
              </w:rPr>
            </w:pPr>
            <w:r>
              <w:rPr>
                <w:rFonts w:hint="eastAsia" w:ascii="宋体" w:hAnsi="宋体" w:eastAsia="宋体" w:cs="宋体"/>
                <w:b w:val="0"/>
                <w:bCs w:val="0"/>
                <w:sz w:val="21"/>
                <w:szCs w:val="21"/>
                <w:u w:val="none"/>
              </w:rPr>
              <w:t>Q/J7.1.3(7)</w:t>
            </w:r>
          </w:p>
        </w:tc>
        <w:tc>
          <w:tcPr>
            <w:tcW w:w="10893" w:type="dxa"/>
          </w:tcPr>
          <w:p>
            <w:pPr>
              <w:ind w:firstLine="420" w:firstLineChars="200"/>
              <w:rPr>
                <w:sz w:val="21"/>
                <w:szCs w:val="21"/>
              </w:rPr>
            </w:pPr>
            <w:r>
              <w:rPr>
                <w:rFonts w:hint="eastAsia" w:cs="Times New Roman"/>
                <w:sz w:val="21"/>
                <w:szCs w:val="21"/>
                <w:lang w:val="en-US" w:eastAsia="zh-CN"/>
              </w:rPr>
              <w:t>设备主要有吊车、龙门架、</w:t>
            </w:r>
            <w:r>
              <w:rPr>
                <w:rFonts w:hint="eastAsia"/>
                <w:sz w:val="21"/>
                <w:szCs w:val="21"/>
              </w:rPr>
              <w:t>天泵</w:t>
            </w:r>
            <w:r>
              <w:rPr>
                <w:rFonts w:hint="eastAsia" w:cs="Times New Roman"/>
                <w:sz w:val="21"/>
                <w:szCs w:val="21"/>
                <w:lang w:val="en-US" w:eastAsia="zh-CN"/>
              </w:rPr>
              <w:t>等，经专业审核员确认，设备适宜。提供维修保养计划及记录，满足要求。环保设施包括：垃圾桶、消防管线；安全设施配置主要有：围栏、标识牌、灭火器、消防器材等，项目部定期维护与保养。公司根据质量管理和工程施工的需要，配备了办公用房及设施、施工机具设备、通讯、运输和信息系统等基础设施。公司编制了《材料、构配件和设备现场管理制度》等对施工机具的配备、验收、安装调试、使用维护等进行了规定，明确了各部门及项目部及有关岗位的职责。</w:t>
            </w:r>
          </w:p>
        </w:tc>
        <w:tc>
          <w:tcPr>
            <w:tcW w:w="696"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2160" w:type="dxa"/>
          </w:tcPr>
          <w:p>
            <w:pPr>
              <w:rPr>
                <w:rFonts w:hint="eastAsia" w:eastAsia="宋体"/>
                <w:sz w:val="21"/>
                <w:szCs w:val="21"/>
                <w:u w:val="none"/>
                <w:lang w:val="en-US" w:eastAsia="zh-CN"/>
              </w:rPr>
            </w:pPr>
            <w:r>
              <w:rPr>
                <w:rFonts w:hint="eastAsia"/>
                <w:sz w:val="21"/>
                <w:szCs w:val="21"/>
                <w:u w:val="none"/>
                <w:lang w:val="en-US" w:eastAsia="zh-CN"/>
              </w:rPr>
              <w:t>监视和测量资源的有效性</w:t>
            </w:r>
          </w:p>
        </w:tc>
        <w:tc>
          <w:tcPr>
            <w:tcW w:w="960" w:type="dxa"/>
          </w:tcPr>
          <w:p>
            <w:pPr>
              <w:rPr>
                <w:sz w:val="21"/>
                <w:szCs w:val="21"/>
                <w:u w:val="none"/>
              </w:rPr>
            </w:pPr>
            <w:r>
              <w:rPr>
                <w:rFonts w:hint="eastAsia" w:ascii="宋体" w:hAnsi="宋体" w:eastAsia="宋体" w:cs="宋体"/>
                <w:b w:val="0"/>
                <w:bCs w:val="0"/>
                <w:sz w:val="21"/>
                <w:szCs w:val="21"/>
                <w:u w:val="none"/>
              </w:rPr>
              <w:t>Q/J</w:t>
            </w:r>
            <w:r>
              <w:rPr>
                <w:rFonts w:hint="eastAsia" w:ascii="宋体" w:hAnsi="宋体" w:cs="宋体"/>
                <w:b w:val="0"/>
                <w:bCs w:val="0"/>
                <w:sz w:val="21"/>
                <w:szCs w:val="21"/>
                <w:u w:val="none"/>
                <w:lang w:val="en-US" w:eastAsia="zh-CN"/>
              </w:rPr>
              <w:t>7.1.5（11.4）</w:t>
            </w:r>
          </w:p>
        </w:tc>
        <w:tc>
          <w:tcPr>
            <w:tcW w:w="10893" w:type="dxa"/>
          </w:tcPr>
          <w:p>
            <w:pPr>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制订了《</w:t>
            </w:r>
            <w:r>
              <w:rPr>
                <w:rFonts w:hint="eastAsia" w:ascii="Times New Roman" w:hAnsi="Times New Roman" w:eastAsia="宋体" w:cs="Times New Roman"/>
                <w:sz w:val="21"/>
                <w:szCs w:val="21"/>
              </w:rPr>
              <w:t>监视和测量设备控制程序</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对用于保证质量、环境、职业健康安全符合规定要求的监视和测量设备进行控制，确保监视和测量设备的有效性</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工程部为主控部门</w:t>
            </w:r>
            <w:r>
              <w:rPr>
                <w:rFonts w:hint="eastAsia" w:ascii="Times New Roman" w:hAnsi="Times New Roman" w:eastAsia="宋体" w:cs="Times New Roman"/>
                <w:sz w:val="21"/>
                <w:szCs w:val="21"/>
              </w:rPr>
              <w:t>。</w:t>
            </w:r>
          </w:p>
          <w:p>
            <w:pPr>
              <w:rPr>
                <w:rFonts w:hint="default" w:ascii="宋体" w:hAnsi="宋体"/>
                <w:sz w:val="21"/>
                <w:szCs w:val="21"/>
                <w:lang w:val="en-US"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查“</w:t>
            </w:r>
            <w:r>
              <w:rPr>
                <w:rFonts w:hint="eastAsia" w:ascii="Times New Roman" w:hAnsi="Times New Roman" w:eastAsia="宋体" w:cs="Times New Roman"/>
                <w:sz w:val="21"/>
                <w:szCs w:val="21"/>
              </w:rPr>
              <w:t>配备本工程的试验和检测仪器设备表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主要的</w:t>
            </w:r>
            <w:r>
              <w:rPr>
                <w:rFonts w:hint="eastAsia" w:ascii="Times New Roman" w:hAnsi="Times New Roman" w:eastAsia="宋体" w:cs="Times New Roman"/>
                <w:sz w:val="21"/>
                <w:szCs w:val="21"/>
              </w:rPr>
              <w:t>仪器设备</w:t>
            </w:r>
            <w:r>
              <w:rPr>
                <w:rFonts w:hint="eastAsia" w:ascii="Times New Roman" w:hAnsi="Times New Roman" w:eastAsia="宋体" w:cs="Times New Roman"/>
                <w:sz w:val="21"/>
                <w:szCs w:val="21"/>
                <w:lang w:val="en-US" w:eastAsia="zh-CN"/>
              </w:rPr>
              <w:t>有经纬仪、水准仪、钢卷尺、游标卡尺、水准尺，并均在有效状态。计量器具的年检报告，详见扫描件。</w:t>
            </w:r>
          </w:p>
        </w:tc>
        <w:tc>
          <w:tcPr>
            <w:tcW w:w="696"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60" w:type="dxa"/>
          </w:tcPr>
          <w:p>
            <w:pPr>
              <w:rPr>
                <w:rFonts w:hint="default" w:eastAsia="宋体"/>
                <w:sz w:val="21"/>
                <w:szCs w:val="21"/>
                <w:u w:val="none"/>
                <w:lang w:val="en-US" w:eastAsia="zh-CN"/>
              </w:rPr>
            </w:pPr>
            <w:r>
              <w:rPr>
                <w:rFonts w:hint="eastAsia"/>
                <w:sz w:val="21"/>
                <w:szCs w:val="21"/>
                <w:u w:val="none"/>
                <w:lang w:val="en-US" w:eastAsia="zh-CN"/>
              </w:rPr>
              <w:t>不合格品输出的控制</w:t>
            </w:r>
          </w:p>
        </w:tc>
        <w:tc>
          <w:tcPr>
            <w:tcW w:w="960" w:type="dxa"/>
          </w:tcPr>
          <w:p>
            <w:pPr>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rPr>
              <w:t>Q/J8.7（8.3、8.5、9.4、11.5）10.2(12.3)</w:t>
            </w:r>
          </w:p>
        </w:tc>
        <w:tc>
          <w:tcPr>
            <w:tcW w:w="10893" w:type="dxa"/>
          </w:tcPr>
          <w:p>
            <w:pPr>
              <w:pStyle w:val="14"/>
              <w:ind w:firstLine="420" w:firstLineChars="200"/>
              <w:rPr>
                <w:rFonts w:hint="eastAsia" w:cs="Times New Roman"/>
                <w:sz w:val="21"/>
                <w:szCs w:val="21"/>
                <w:lang w:val="en-US" w:eastAsia="zh-CN"/>
              </w:rPr>
            </w:pPr>
            <w:r>
              <w:rPr>
                <w:rFonts w:hint="eastAsia" w:cs="Times New Roman"/>
                <w:sz w:val="21"/>
                <w:szCs w:val="21"/>
                <w:lang w:val="en-US" w:eastAsia="zh-CN"/>
              </w:rPr>
              <w:t>公司制定了《不合格品控制程序》和《纠正预防措施控制程序》，对不合格品和不符合的识别和控制有明确的规定。</w:t>
            </w:r>
          </w:p>
          <w:p>
            <w:pPr>
              <w:pStyle w:val="14"/>
              <w:ind w:firstLine="420" w:firstLineChars="200"/>
              <w:rPr>
                <w:rFonts w:hint="eastAsia" w:cs="Times New Roman"/>
                <w:sz w:val="21"/>
                <w:szCs w:val="21"/>
                <w:lang w:val="en-US" w:eastAsia="zh-CN"/>
              </w:rPr>
            </w:pPr>
            <w:r>
              <w:rPr>
                <w:rFonts w:hint="eastAsia" w:cs="Times New Roman"/>
                <w:sz w:val="21"/>
                <w:szCs w:val="21"/>
                <w:lang w:val="en-US" w:eastAsia="zh-CN"/>
              </w:rPr>
              <w:t>工程部对重大不合格工程产品的评审和处置，总经理负责对质量事故的奖罚和事故责任追究。对不合格处置方法：返工、返修等。</w:t>
            </w:r>
          </w:p>
          <w:p>
            <w:pPr>
              <w:pStyle w:val="14"/>
              <w:rPr>
                <w:rFonts w:hint="eastAsia" w:cs="Times New Roman"/>
                <w:sz w:val="21"/>
                <w:szCs w:val="21"/>
                <w:lang w:val="en-US" w:eastAsia="zh-CN"/>
              </w:rPr>
            </w:pPr>
            <w:r>
              <w:rPr>
                <w:rFonts w:hint="eastAsia" w:cs="Times New Roman"/>
                <w:sz w:val="21"/>
                <w:szCs w:val="21"/>
                <w:lang w:val="en-US" w:eastAsia="zh-CN"/>
              </w:rPr>
              <w:t>——查“专项施工方案报审表”（质量通病防控方案）；</w:t>
            </w:r>
          </w:p>
          <w:p>
            <w:pPr>
              <w:pStyle w:val="14"/>
              <w:rPr>
                <w:rFonts w:hint="default" w:cs="Times New Roman"/>
                <w:sz w:val="21"/>
                <w:szCs w:val="21"/>
                <w:lang w:val="en-US" w:eastAsia="zh-CN"/>
              </w:rPr>
            </w:pPr>
            <w:r>
              <w:rPr>
                <w:rFonts w:hint="eastAsia" w:cs="Times New Roman"/>
                <w:sz w:val="21"/>
                <w:szCs w:val="21"/>
                <w:lang w:val="en-US" w:eastAsia="zh-CN"/>
              </w:rPr>
              <w:t>方案提供；项目部经理：徐行；2021.9.2.；</w:t>
            </w:r>
          </w:p>
          <w:p>
            <w:pPr>
              <w:pStyle w:val="14"/>
              <w:rPr>
                <w:rFonts w:hint="eastAsia" w:cs="Times New Roman"/>
                <w:sz w:val="21"/>
                <w:szCs w:val="21"/>
                <w:lang w:val="en-US" w:eastAsia="zh-CN"/>
              </w:rPr>
            </w:pPr>
            <w:r>
              <w:rPr>
                <w:rFonts w:hint="eastAsia" w:cs="Times New Roman"/>
                <w:sz w:val="21"/>
                <w:szCs w:val="21"/>
                <w:lang w:val="en-US" w:eastAsia="zh-CN"/>
              </w:rPr>
              <w:t>审查意见：符合要求；专业监理工程师：杨光泉；2021.9.2.；</w:t>
            </w:r>
          </w:p>
          <w:p>
            <w:pPr>
              <w:pStyle w:val="14"/>
              <w:rPr>
                <w:rFonts w:hint="eastAsia" w:cs="Times New Roman"/>
                <w:sz w:val="21"/>
                <w:szCs w:val="21"/>
                <w:lang w:val="en-US" w:eastAsia="zh-CN"/>
              </w:rPr>
            </w:pPr>
            <w:r>
              <w:rPr>
                <w:rFonts w:hint="eastAsia" w:cs="Times New Roman"/>
                <w:sz w:val="21"/>
                <w:szCs w:val="21"/>
                <w:lang w:val="en-US" w:eastAsia="zh-CN"/>
              </w:rPr>
              <w:t>审核意见：同意以上质量通病防控方案；总监理工程师：范某某；2021.9.2.；</w:t>
            </w:r>
          </w:p>
          <w:p>
            <w:pPr>
              <w:pStyle w:val="14"/>
              <w:rPr>
                <w:rFonts w:hint="default" w:cs="Times New Roman"/>
                <w:sz w:val="21"/>
                <w:szCs w:val="21"/>
                <w:lang w:val="en-US" w:eastAsia="zh-CN"/>
              </w:rPr>
            </w:pPr>
            <w:r>
              <w:rPr>
                <w:rFonts w:hint="eastAsia" w:cs="Times New Roman"/>
                <w:sz w:val="21"/>
                <w:szCs w:val="21"/>
                <w:lang w:val="en-US" w:eastAsia="zh-CN"/>
              </w:rPr>
              <w:t>建设公司和监理公司签章齐全。</w:t>
            </w:r>
          </w:p>
          <w:p>
            <w:pPr>
              <w:pStyle w:val="14"/>
              <w:ind w:firstLine="420" w:firstLineChars="200"/>
              <w:rPr>
                <w:rFonts w:hint="eastAsia" w:cs="Times New Roman"/>
                <w:sz w:val="21"/>
                <w:szCs w:val="21"/>
                <w:lang w:val="en-US" w:eastAsia="zh-CN"/>
              </w:rPr>
            </w:pPr>
            <w:r>
              <w:rPr>
                <w:rFonts w:hint="eastAsia" w:cs="Times New Roman"/>
                <w:sz w:val="21"/>
                <w:szCs w:val="21"/>
                <w:lang w:val="en-US" w:eastAsia="zh-CN"/>
              </w:rPr>
              <w:t>跟踪核查“质量通病防控方案”，编制：尹本国；审核人：陈珞；批准：徐行；2021.9.1.；</w:t>
            </w:r>
          </w:p>
          <w:p>
            <w:pPr>
              <w:pStyle w:val="14"/>
              <w:rPr>
                <w:rFonts w:hint="default" w:cs="Times New Roman"/>
                <w:sz w:val="21"/>
                <w:szCs w:val="21"/>
                <w:lang w:val="en-US" w:eastAsia="zh-CN"/>
              </w:rPr>
            </w:pPr>
            <w:r>
              <w:rPr>
                <w:rFonts w:hint="eastAsia" w:cs="Times New Roman"/>
                <w:sz w:val="21"/>
                <w:szCs w:val="21"/>
                <w:lang w:val="en-US" w:eastAsia="zh-CN"/>
              </w:rPr>
              <w:t>主要内容有：工程概况、编制依据、施工质量控制流程、施工质量保证措施、质量通病防治组织措施、质量通病防治管理措施、质量通病防治经济措施、质量通病防治技术措施。</w:t>
            </w:r>
          </w:p>
          <w:p>
            <w:pPr>
              <w:pStyle w:val="13"/>
              <w:rPr>
                <w:rFonts w:hint="default" w:ascii="宋体" w:hAnsi="宋体"/>
                <w:sz w:val="21"/>
                <w:szCs w:val="21"/>
                <w:lang w:val="en-US" w:eastAsia="zh-CN"/>
              </w:rPr>
            </w:pPr>
            <w:r>
              <w:rPr>
                <w:rFonts w:hint="eastAsia" w:cs="Times New Roman"/>
                <w:sz w:val="21"/>
                <w:szCs w:val="21"/>
                <w:lang w:val="en-US" w:eastAsia="zh-CN"/>
              </w:rPr>
              <w:t xml:space="preserve">    负责人介绍，公司对施工过程发生的不合格品，一般轻微不合格现场指出，及时整改。目前为止该项目部未发生比较大的质量不合格品，一般的轻微不符合都在现场及时解决了，未发现有需要上报公司解决的不合格品。项目部每天召开碰头会，对当天质量情况进行通报。如果有整改通知单对不符合将进行评审，进行原因分析，制定纠正措施，提出实施时间、部门和验证的要求。从施工到现在未提供书面的整改通知单。对施工中出现的轻微不合格品进行处理，不符合所采取的处理方法、纠正或预防措施等均有效，未有重复发生的现象。</w:t>
            </w:r>
          </w:p>
        </w:tc>
        <w:tc>
          <w:tcPr>
            <w:tcW w:w="696"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sz w:val="21"/>
                <w:szCs w:val="21"/>
                <w:u w:val="none"/>
                <w:lang w:val="en-US" w:eastAsia="zh-CN"/>
              </w:rPr>
            </w:pPr>
            <w:r>
              <w:rPr>
                <w:rFonts w:hint="eastAsia"/>
                <w:sz w:val="21"/>
                <w:szCs w:val="21"/>
                <w:u w:val="none"/>
                <w:lang w:val="en-US" w:eastAsia="zh-CN"/>
              </w:rPr>
              <w:t>项目部对外部提供的产品及过程控制的有效性</w:t>
            </w:r>
          </w:p>
        </w:tc>
        <w:tc>
          <w:tcPr>
            <w:tcW w:w="960" w:type="dxa"/>
          </w:tcPr>
          <w:p>
            <w:pPr>
              <w:rPr>
                <w:rFonts w:hint="default" w:ascii="宋体" w:hAnsi="宋体" w:eastAsia="宋体" w:cs="宋体"/>
                <w:b w:val="0"/>
                <w:bCs w:val="0"/>
                <w:sz w:val="21"/>
                <w:szCs w:val="21"/>
                <w:u w:val="none"/>
                <w:lang w:val="en-US" w:eastAsia="zh-CN"/>
              </w:rPr>
            </w:pPr>
            <w:r>
              <w:rPr>
                <w:rFonts w:hint="eastAsia" w:ascii="宋体" w:hAnsi="宋体" w:cs="宋体"/>
                <w:b w:val="0"/>
                <w:bCs w:val="0"/>
                <w:sz w:val="21"/>
                <w:szCs w:val="21"/>
                <w:u w:val="none"/>
                <w:lang w:val="en-US" w:eastAsia="zh-CN"/>
              </w:rPr>
              <w:t>Q8.4</w:t>
            </w:r>
          </w:p>
        </w:tc>
        <w:tc>
          <w:tcPr>
            <w:tcW w:w="10893" w:type="dxa"/>
          </w:tcPr>
          <w:p>
            <w:pPr>
              <w:pStyle w:val="13"/>
              <w:ind w:firstLine="460" w:firstLineChars="200"/>
              <w:rPr>
                <w:rFonts w:hint="eastAsia" w:cs="Times New Roman"/>
                <w:sz w:val="21"/>
                <w:szCs w:val="21"/>
                <w:lang w:val="en-US" w:eastAsia="zh-CN"/>
              </w:rPr>
            </w:pPr>
            <w:r>
              <w:rPr>
                <w:rFonts w:hint="eastAsia" w:cs="Times New Roman"/>
                <w:sz w:val="21"/>
                <w:szCs w:val="21"/>
                <w:lang w:val="en-US" w:eastAsia="zh-CN"/>
              </w:rPr>
              <w:t>负责人介绍，项目部按“采购控制程序”对外部供方进行控制。</w:t>
            </w:r>
          </w:p>
          <w:p>
            <w:pPr>
              <w:pStyle w:val="13"/>
              <w:ind w:firstLine="460" w:firstLineChars="200"/>
              <w:rPr>
                <w:rFonts w:hint="default" w:cs="Times New Roman"/>
                <w:sz w:val="21"/>
                <w:szCs w:val="21"/>
                <w:lang w:val="en-US" w:eastAsia="zh-CN"/>
              </w:rPr>
            </w:pPr>
            <w:r>
              <w:rPr>
                <w:rFonts w:hint="eastAsia" w:cs="Times New Roman"/>
                <w:sz w:val="21"/>
                <w:szCs w:val="21"/>
                <w:lang w:val="en-US" w:eastAsia="zh-CN"/>
              </w:rPr>
              <w:t>主要的原材料有：钢筋、混凝土、水泥、沙、石、煤灰、添加剂等。</w:t>
            </w:r>
          </w:p>
          <w:p>
            <w:pPr>
              <w:pStyle w:val="13"/>
              <w:rPr>
                <w:rFonts w:hint="eastAsia" w:cs="Times New Roman"/>
                <w:sz w:val="21"/>
                <w:szCs w:val="21"/>
                <w:lang w:val="en-US" w:eastAsia="zh-CN"/>
              </w:rPr>
            </w:pPr>
            <w:r>
              <w:rPr>
                <w:rFonts w:hint="eastAsia" w:cs="Times New Roman"/>
                <w:sz w:val="21"/>
                <w:szCs w:val="21"/>
                <w:lang w:val="en-US" w:eastAsia="zh-CN"/>
              </w:rPr>
              <w:t>——提供有原料进场的</w:t>
            </w:r>
            <w:r>
              <w:rPr>
                <w:rFonts w:hint="eastAsia" w:ascii="Times New Roman" w:hAnsi="Times New Roman" w:eastAsia="宋体" w:cs="Times New Roman"/>
                <w:bCs/>
                <w:spacing w:val="10"/>
                <w:kern w:val="2"/>
                <w:sz w:val="21"/>
                <w:szCs w:val="21"/>
                <w:lang w:val="en-US" w:eastAsia="zh-CN" w:bidi="ar-SA"/>
              </w:rPr>
              <w:t>出厂合格证、试验报告</w:t>
            </w:r>
            <w:r>
              <w:rPr>
                <w:rFonts w:hint="eastAsia" w:cs="Times New Roman"/>
                <w:bCs/>
                <w:spacing w:val="10"/>
                <w:kern w:val="2"/>
                <w:sz w:val="21"/>
                <w:szCs w:val="21"/>
                <w:lang w:val="en-US" w:eastAsia="zh-CN" w:bidi="ar-SA"/>
              </w:rPr>
              <w:t>及</w:t>
            </w:r>
            <w:r>
              <w:rPr>
                <w:rFonts w:hint="eastAsia" w:cs="Times New Roman"/>
                <w:sz w:val="21"/>
                <w:szCs w:val="21"/>
                <w:lang w:val="en-US" w:eastAsia="zh-CN"/>
              </w:rPr>
              <w:t>“主材料、构配件、设备报审表”。</w:t>
            </w:r>
          </w:p>
          <w:p>
            <w:pPr>
              <w:pStyle w:val="13"/>
              <w:ind w:firstLine="460" w:firstLineChars="200"/>
              <w:rPr>
                <w:rFonts w:hint="default"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抽</w:t>
            </w:r>
            <w:r>
              <w:rPr>
                <w:rFonts w:hint="eastAsia" w:cs="Times New Roman"/>
                <w:bCs/>
                <w:spacing w:val="10"/>
                <w:kern w:val="2"/>
                <w:sz w:val="21"/>
                <w:szCs w:val="21"/>
                <w:lang w:val="en-US" w:eastAsia="zh-CN" w:bidi="ar-SA"/>
              </w:rPr>
              <w:t>1</w:t>
            </w:r>
            <w:r>
              <w:rPr>
                <w:rFonts w:hint="eastAsia" w:ascii="Times New Roman" w:hAnsi="Times New Roman" w:eastAsia="宋体" w:cs="Times New Roman"/>
                <w:bCs/>
                <w:spacing w:val="10"/>
                <w:kern w:val="2"/>
                <w:sz w:val="21"/>
                <w:szCs w:val="21"/>
                <w:lang w:val="en-US" w:eastAsia="zh-CN" w:bidi="ar-SA"/>
              </w:rPr>
              <w:t>：钢材出厂合格证、试验报告核查要录；工程名称：丰禾办公楼；</w:t>
            </w:r>
          </w:p>
          <w:p>
            <w:pPr>
              <w:pStyle w:val="13"/>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内容包括：工程名称、序号、合格证、试验报告、使用部位。</w:t>
            </w:r>
          </w:p>
          <w:p>
            <w:pPr>
              <w:pStyle w:val="13"/>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其中合格证里包含：炉批号、生产厂名、品种及规格；</w:t>
            </w:r>
          </w:p>
          <w:p>
            <w:pPr>
              <w:pStyle w:val="13"/>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试验报告包含：报告编号、试验单位、试验日期、试验结果、代表批量和使用部位。</w:t>
            </w:r>
          </w:p>
          <w:p>
            <w:pPr>
              <w:pStyle w:val="13"/>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共计：合格证9份；试验报告9份。</w:t>
            </w:r>
          </w:p>
          <w:p>
            <w:pPr>
              <w:pStyle w:val="13"/>
              <w:rPr>
                <w:rFonts w:hint="default"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附件包含：主材料、构配件、设备报审表；钢材性能检验委托单；建筑钢筋检验报告；产品质量证明书。</w:t>
            </w:r>
          </w:p>
          <w:p>
            <w:pPr>
              <w:pStyle w:val="13"/>
              <w:ind w:firstLine="460" w:firstLineChars="200"/>
              <w:rPr>
                <w:rFonts w:hint="eastAsia" w:ascii="Times New Roman" w:hAnsi="Times New Roman" w:eastAsia="宋体" w:cs="Times New Roman"/>
                <w:bCs/>
                <w:spacing w:val="10"/>
                <w:kern w:val="2"/>
                <w:sz w:val="21"/>
                <w:szCs w:val="21"/>
                <w:lang w:val="en-US" w:eastAsia="zh-CN" w:bidi="ar-SA"/>
              </w:rPr>
            </w:pPr>
            <w:r>
              <w:rPr>
                <w:rFonts w:hint="eastAsia" w:ascii="Times New Roman" w:hAnsi="Times New Roman" w:eastAsia="宋体" w:cs="Times New Roman"/>
                <w:bCs/>
                <w:spacing w:val="10"/>
                <w:kern w:val="2"/>
                <w:sz w:val="21"/>
                <w:szCs w:val="21"/>
                <w:lang w:val="en-US" w:eastAsia="zh-CN" w:bidi="ar-SA"/>
              </w:rPr>
              <w:t>跟踪核查相对应的主材料、构配件、设备报审表；工程名称：丰禾办公楼；审查结论为：验收合格；项目部经理：徐行；2021.9.7.；专业监理工程师：杨光泉；2021.9.7.；项目施工方与项目监理机构签章、时间记录齐全；</w:t>
            </w:r>
          </w:p>
          <w:p>
            <w:pPr>
              <w:pStyle w:val="13"/>
              <w:ind w:firstLine="460" w:firstLineChars="200"/>
              <w:rPr>
                <w:rFonts w:hint="default" w:cs="Times New Roman"/>
                <w:bCs/>
                <w:spacing w:val="10"/>
                <w:kern w:val="2"/>
                <w:sz w:val="21"/>
                <w:szCs w:val="21"/>
                <w:lang w:val="en-US" w:eastAsia="zh-CN" w:bidi="ar-SA"/>
              </w:rPr>
            </w:pPr>
            <w:r>
              <w:rPr>
                <w:rFonts w:hint="eastAsia" w:cs="Times New Roman"/>
                <w:bCs/>
                <w:spacing w:val="10"/>
                <w:kern w:val="2"/>
                <w:sz w:val="21"/>
                <w:szCs w:val="21"/>
                <w:lang w:val="en-US" w:eastAsia="zh-CN" w:bidi="ar-SA"/>
              </w:rPr>
              <w:t>抽2，减水剂出厂检验报告、试验报告；</w:t>
            </w:r>
          </w:p>
          <w:p>
            <w:pPr>
              <w:pStyle w:val="13"/>
            </w:pPr>
            <w:bookmarkStart w:id="2" w:name="_GoBack"/>
            <w:r>
              <w:drawing>
                <wp:inline distT="0" distB="0" distL="114300" distR="114300">
                  <wp:extent cx="3238500" cy="2225040"/>
                  <wp:effectExtent l="0" t="0" r="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3238500" cy="2225040"/>
                          </a:xfrm>
                          <a:prstGeom prst="rect">
                            <a:avLst/>
                          </a:prstGeom>
                          <a:noFill/>
                          <a:ln>
                            <a:noFill/>
                          </a:ln>
                        </pic:spPr>
                      </pic:pic>
                    </a:graphicData>
                  </a:graphic>
                </wp:inline>
              </w:drawing>
            </w:r>
            <w:bookmarkEnd w:id="2"/>
          </w:p>
          <w:p>
            <w:pPr>
              <w:pStyle w:val="13"/>
            </w:pPr>
            <w:r>
              <w:drawing>
                <wp:inline distT="0" distB="0" distL="114300" distR="114300">
                  <wp:extent cx="2842260" cy="3065780"/>
                  <wp:effectExtent l="0" t="0" r="7620" b="1270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2842260" cy="3065780"/>
                          </a:xfrm>
                          <a:prstGeom prst="rect">
                            <a:avLst/>
                          </a:prstGeom>
                          <a:noFill/>
                          <a:ln>
                            <a:noFill/>
                          </a:ln>
                        </pic:spPr>
                      </pic:pic>
                    </a:graphicData>
                  </a:graphic>
                </wp:inline>
              </w:drawing>
            </w:r>
          </w:p>
          <w:p>
            <w:pPr>
              <w:pStyle w:val="13"/>
            </w:pPr>
          </w:p>
          <w:p>
            <w:pPr>
              <w:pStyle w:val="13"/>
              <w:ind w:firstLine="460" w:firstLineChars="200"/>
              <w:rPr>
                <w:rFonts w:hint="default" w:eastAsia="宋体"/>
                <w:lang w:val="en-US" w:eastAsia="zh-CN"/>
              </w:rPr>
            </w:pPr>
            <w:r>
              <w:rPr>
                <w:rFonts w:hint="eastAsia"/>
                <w:lang w:val="en-US" w:eastAsia="zh-CN"/>
              </w:rPr>
              <w:t>抽3，水泥</w:t>
            </w:r>
            <w:r>
              <w:rPr>
                <w:rFonts w:hint="eastAsia" w:cs="Times New Roman"/>
                <w:bCs/>
                <w:spacing w:val="10"/>
                <w:kern w:val="2"/>
                <w:sz w:val="21"/>
                <w:szCs w:val="21"/>
                <w:lang w:val="en-US" w:eastAsia="zh-CN" w:bidi="ar-SA"/>
              </w:rPr>
              <w:t>出厂检验报告、试验报告；</w:t>
            </w:r>
          </w:p>
          <w:p>
            <w:pPr>
              <w:pStyle w:val="13"/>
            </w:pPr>
            <w:r>
              <w:drawing>
                <wp:inline distT="0" distB="0" distL="114300" distR="114300">
                  <wp:extent cx="2466340" cy="3453130"/>
                  <wp:effectExtent l="0" t="0" r="10160" b="139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2466340" cy="3453130"/>
                          </a:xfrm>
                          <a:prstGeom prst="rect">
                            <a:avLst/>
                          </a:prstGeom>
                          <a:noFill/>
                          <a:ln>
                            <a:noFill/>
                          </a:ln>
                        </pic:spPr>
                      </pic:pic>
                    </a:graphicData>
                  </a:graphic>
                </wp:inline>
              </w:drawing>
            </w:r>
          </w:p>
          <w:p>
            <w:pPr>
              <w:pStyle w:val="13"/>
            </w:pPr>
          </w:p>
          <w:p>
            <w:pPr>
              <w:pStyle w:val="13"/>
              <w:rPr>
                <w:rFonts w:hint="default" w:cs="Times New Roman"/>
                <w:sz w:val="21"/>
                <w:szCs w:val="21"/>
                <w:lang w:val="en-US" w:eastAsia="zh-CN"/>
              </w:rPr>
            </w:pPr>
            <w:r>
              <w:drawing>
                <wp:inline distT="0" distB="0" distL="114300" distR="114300">
                  <wp:extent cx="2425065" cy="3338195"/>
                  <wp:effectExtent l="0" t="0" r="13335" b="1460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tretch>
                            <a:fillRect/>
                          </a:stretch>
                        </pic:blipFill>
                        <pic:spPr>
                          <a:xfrm>
                            <a:off x="0" y="0"/>
                            <a:ext cx="2425065" cy="3338195"/>
                          </a:xfrm>
                          <a:prstGeom prst="rect">
                            <a:avLst/>
                          </a:prstGeom>
                          <a:noFill/>
                          <a:ln>
                            <a:noFill/>
                          </a:ln>
                        </pic:spPr>
                      </pic:pic>
                    </a:graphicData>
                  </a:graphic>
                </wp:inline>
              </w:drawing>
            </w:r>
          </w:p>
        </w:tc>
        <w:tc>
          <w:tcPr>
            <w:tcW w:w="696" w:type="dxa"/>
          </w:tcPr>
          <w:p>
            <w:pPr>
              <w:rPr>
                <w:sz w:val="21"/>
                <w:szCs w:val="21"/>
              </w:rPr>
            </w:pPr>
          </w:p>
        </w:tc>
      </w:tr>
    </w:tbl>
    <w:p/>
    <w:p>
      <w:pPr>
        <w:pStyle w:val="5"/>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pict>
        <v:shape id="_x0000_s4097" o:spid="_x0000_s4097" o:spt="202" type="#_x0000_t202" style="position:absolute;left:0pt;margin-left:620.4pt;margin-top:12.55pt;height:20.2pt;width:102.7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ISC-B-II-12(05版）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2A418BF"/>
    <w:rsid w:val="02E4103B"/>
    <w:rsid w:val="0550010F"/>
    <w:rsid w:val="059142FC"/>
    <w:rsid w:val="072B4535"/>
    <w:rsid w:val="07523505"/>
    <w:rsid w:val="08851391"/>
    <w:rsid w:val="096F3A3D"/>
    <w:rsid w:val="09D863EF"/>
    <w:rsid w:val="0A61149B"/>
    <w:rsid w:val="0AD26A16"/>
    <w:rsid w:val="0B55694A"/>
    <w:rsid w:val="0BAC3FF1"/>
    <w:rsid w:val="0C320C05"/>
    <w:rsid w:val="0D1C1A7C"/>
    <w:rsid w:val="0D741E33"/>
    <w:rsid w:val="0DDC25C5"/>
    <w:rsid w:val="0E6457EA"/>
    <w:rsid w:val="0EC664E7"/>
    <w:rsid w:val="0ED142E0"/>
    <w:rsid w:val="104F4429"/>
    <w:rsid w:val="10500A9F"/>
    <w:rsid w:val="119A4CBE"/>
    <w:rsid w:val="119A5151"/>
    <w:rsid w:val="11B973C6"/>
    <w:rsid w:val="11D24657"/>
    <w:rsid w:val="125A5133"/>
    <w:rsid w:val="128C15CB"/>
    <w:rsid w:val="13053309"/>
    <w:rsid w:val="131461D5"/>
    <w:rsid w:val="141B4648"/>
    <w:rsid w:val="14503CD3"/>
    <w:rsid w:val="14AE15A0"/>
    <w:rsid w:val="14ED2606"/>
    <w:rsid w:val="15014144"/>
    <w:rsid w:val="160F0A9D"/>
    <w:rsid w:val="1619086B"/>
    <w:rsid w:val="16AF5384"/>
    <w:rsid w:val="18AF3BB2"/>
    <w:rsid w:val="196F789F"/>
    <w:rsid w:val="1B295E10"/>
    <w:rsid w:val="1C161684"/>
    <w:rsid w:val="1CC03317"/>
    <w:rsid w:val="1CE03825"/>
    <w:rsid w:val="1D0D0792"/>
    <w:rsid w:val="1E7133F0"/>
    <w:rsid w:val="1E765313"/>
    <w:rsid w:val="202C500B"/>
    <w:rsid w:val="207B6271"/>
    <w:rsid w:val="2166056F"/>
    <w:rsid w:val="218D6E65"/>
    <w:rsid w:val="22636A70"/>
    <w:rsid w:val="226A3311"/>
    <w:rsid w:val="23224B86"/>
    <w:rsid w:val="23704575"/>
    <w:rsid w:val="237D3023"/>
    <w:rsid w:val="23A156CC"/>
    <w:rsid w:val="23F20B6F"/>
    <w:rsid w:val="247A6136"/>
    <w:rsid w:val="262C77C4"/>
    <w:rsid w:val="267F6E02"/>
    <w:rsid w:val="26B91104"/>
    <w:rsid w:val="26E2586B"/>
    <w:rsid w:val="26F53653"/>
    <w:rsid w:val="273A3567"/>
    <w:rsid w:val="27486EB1"/>
    <w:rsid w:val="2B774E42"/>
    <w:rsid w:val="2BD57DA3"/>
    <w:rsid w:val="2D7A7012"/>
    <w:rsid w:val="2D873EDE"/>
    <w:rsid w:val="2E8B1851"/>
    <w:rsid w:val="2EFF7D62"/>
    <w:rsid w:val="2F570B99"/>
    <w:rsid w:val="2F686959"/>
    <w:rsid w:val="2F822554"/>
    <w:rsid w:val="30917C73"/>
    <w:rsid w:val="30B647CF"/>
    <w:rsid w:val="32A80920"/>
    <w:rsid w:val="32B938A3"/>
    <w:rsid w:val="33617125"/>
    <w:rsid w:val="33D51A50"/>
    <w:rsid w:val="340E6D87"/>
    <w:rsid w:val="34830345"/>
    <w:rsid w:val="35483D4C"/>
    <w:rsid w:val="36385C6B"/>
    <w:rsid w:val="375A18D6"/>
    <w:rsid w:val="377A68A6"/>
    <w:rsid w:val="37A75614"/>
    <w:rsid w:val="38BF0399"/>
    <w:rsid w:val="38CC3444"/>
    <w:rsid w:val="3A6F046C"/>
    <w:rsid w:val="3A8C487F"/>
    <w:rsid w:val="3BBA08A2"/>
    <w:rsid w:val="3C71748F"/>
    <w:rsid w:val="3CF13E64"/>
    <w:rsid w:val="3DD463D2"/>
    <w:rsid w:val="3DE06344"/>
    <w:rsid w:val="406A4C97"/>
    <w:rsid w:val="40A1360F"/>
    <w:rsid w:val="40DA00BE"/>
    <w:rsid w:val="4154652E"/>
    <w:rsid w:val="418F7148"/>
    <w:rsid w:val="42284821"/>
    <w:rsid w:val="457000F7"/>
    <w:rsid w:val="46FA5CAE"/>
    <w:rsid w:val="46FF0364"/>
    <w:rsid w:val="47042CD7"/>
    <w:rsid w:val="477200FE"/>
    <w:rsid w:val="47781250"/>
    <w:rsid w:val="49773219"/>
    <w:rsid w:val="49AC4F2E"/>
    <w:rsid w:val="49D118D6"/>
    <w:rsid w:val="4AC173A8"/>
    <w:rsid w:val="4B567AE3"/>
    <w:rsid w:val="4BF2013E"/>
    <w:rsid w:val="4D5A3A1D"/>
    <w:rsid w:val="4F977E52"/>
    <w:rsid w:val="50E83C35"/>
    <w:rsid w:val="52083A7D"/>
    <w:rsid w:val="5244277F"/>
    <w:rsid w:val="52B14BC6"/>
    <w:rsid w:val="52EB135E"/>
    <w:rsid w:val="52F87562"/>
    <w:rsid w:val="53137B43"/>
    <w:rsid w:val="53B97A1C"/>
    <w:rsid w:val="54584C90"/>
    <w:rsid w:val="54EB5B52"/>
    <w:rsid w:val="55B46D59"/>
    <w:rsid w:val="55D0422E"/>
    <w:rsid w:val="55FD5E8B"/>
    <w:rsid w:val="56F87877"/>
    <w:rsid w:val="57030A89"/>
    <w:rsid w:val="576E01B6"/>
    <w:rsid w:val="577B48F4"/>
    <w:rsid w:val="57A72421"/>
    <w:rsid w:val="59AD4B64"/>
    <w:rsid w:val="5A2F40CA"/>
    <w:rsid w:val="5A383DF9"/>
    <w:rsid w:val="5B433B98"/>
    <w:rsid w:val="5BE83C51"/>
    <w:rsid w:val="5BF954AA"/>
    <w:rsid w:val="5C0D7368"/>
    <w:rsid w:val="5CA4754C"/>
    <w:rsid w:val="5D1C25C8"/>
    <w:rsid w:val="5E003056"/>
    <w:rsid w:val="5E0D5B44"/>
    <w:rsid w:val="5EF05D64"/>
    <w:rsid w:val="5F583FF0"/>
    <w:rsid w:val="5F5F0772"/>
    <w:rsid w:val="61F21485"/>
    <w:rsid w:val="6213562D"/>
    <w:rsid w:val="625464D6"/>
    <w:rsid w:val="62711FBF"/>
    <w:rsid w:val="627250C4"/>
    <w:rsid w:val="629333A3"/>
    <w:rsid w:val="64E2553D"/>
    <w:rsid w:val="64F97BFB"/>
    <w:rsid w:val="650442C8"/>
    <w:rsid w:val="65187947"/>
    <w:rsid w:val="660C2DFA"/>
    <w:rsid w:val="66267380"/>
    <w:rsid w:val="66A82401"/>
    <w:rsid w:val="67256B05"/>
    <w:rsid w:val="677C64AD"/>
    <w:rsid w:val="68026C59"/>
    <w:rsid w:val="6815566F"/>
    <w:rsid w:val="684D1F03"/>
    <w:rsid w:val="694647A7"/>
    <w:rsid w:val="69A920C7"/>
    <w:rsid w:val="6A6F7DFE"/>
    <w:rsid w:val="6B0A0AC7"/>
    <w:rsid w:val="6B6C6707"/>
    <w:rsid w:val="6D907687"/>
    <w:rsid w:val="6E994B28"/>
    <w:rsid w:val="6F45318D"/>
    <w:rsid w:val="6FD700D5"/>
    <w:rsid w:val="716108E6"/>
    <w:rsid w:val="71802E68"/>
    <w:rsid w:val="719C0906"/>
    <w:rsid w:val="71E411EB"/>
    <w:rsid w:val="7334081D"/>
    <w:rsid w:val="73DE5BE8"/>
    <w:rsid w:val="73FB3641"/>
    <w:rsid w:val="74652708"/>
    <w:rsid w:val="7483556A"/>
    <w:rsid w:val="756B13DE"/>
    <w:rsid w:val="7589672C"/>
    <w:rsid w:val="76454730"/>
    <w:rsid w:val="764B5E1A"/>
    <w:rsid w:val="77393CFE"/>
    <w:rsid w:val="7961352F"/>
    <w:rsid w:val="79814C5C"/>
    <w:rsid w:val="7A9056D5"/>
    <w:rsid w:val="7B4A5B68"/>
    <w:rsid w:val="7B7241E2"/>
    <w:rsid w:val="7B9F285F"/>
    <w:rsid w:val="7CD806DD"/>
    <w:rsid w:val="7F7245C8"/>
    <w:rsid w:val="7F8E7795"/>
    <w:rsid w:val="7FB710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spacing w:line="400" w:lineRule="atLeast"/>
      <w:jc w:val="center"/>
      <w:outlineLvl w:val="1"/>
    </w:pPr>
    <w:rPr>
      <w:spacing w:val="8"/>
      <w:sz w:val="36"/>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szCs w:val="24"/>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李凤仪</cp:lastModifiedBy>
  <dcterms:modified xsi:type="dcterms:W3CDTF">2021-11-28T07:20:28Z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2052-11.1.0.11115</vt:lpwstr>
  </property>
</Properties>
</file>