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附</w:t>
      </w:r>
      <w:r>
        <w:rPr>
          <w:rFonts w:hint="eastAsia"/>
          <w:b/>
          <w:bCs/>
          <w:sz w:val="28"/>
          <w:szCs w:val="28"/>
          <w14:shadow w14:blurRad="50800" w14:dist="38100" w14:dir="2700000" w14:sx="100000" w14:sy="100000" w14:kx="0" w14:ky="0" w14:algn="tl">
            <w14:srgbClr w14:val="000000">
              <w14:alpha w14:val="60000"/>
            </w14:srgbClr>
          </w14:shadow>
        </w:rPr>
        <w:t>1:</w:t>
      </w:r>
    </w:p>
    <w:p>
      <w:pPr>
        <w:pStyle w:val="2"/>
        <w:spacing w:line="240" w:lineRule="auto"/>
        <w:jc w:val="center"/>
        <w:rPr>
          <w:b/>
          <w:bCs/>
          <w:sz w:val="32"/>
          <w:szCs w:val="32"/>
        </w:rPr>
      </w:pPr>
      <w:bookmarkStart w:id="0" w:name="_GoBack"/>
      <w:r>
        <w:rPr>
          <w:rFonts w:hint="eastAsia"/>
          <w:b/>
          <w:bCs/>
          <w:color w:val="auto"/>
          <w:sz w:val="32"/>
          <w:szCs w:val="32"/>
        </w:rPr>
        <w:t>12kVFS6环网</w:t>
      </w:r>
      <w:bookmarkEnd w:id="0"/>
      <w:r>
        <w:rPr>
          <w:rFonts w:hint="eastAsia"/>
          <w:b/>
          <w:bCs/>
          <w:sz w:val="32"/>
          <w:szCs w:val="32"/>
        </w:rPr>
        <w:t>柜导向套孔径尺寸测量</w:t>
      </w:r>
    </w:p>
    <w:p>
      <w:pPr>
        <w:pStyle w:val="2"/>
        <w:spacing w:line="240" w:lineRule="auto"/>
        <w:jc w:val="center"/>
        <w:rPr>
          <w:rFonts w:ascii="宋体" w:hAnsi="宋体" w:cs="宋体"/>
          <w:b/>
          <w:bCs/>
          <w:snapToGrid w:val="0"/>
          <w:kern w:val="0"/>
          <w:sz w:val="32"/>
          <w:szCs w:val="32"/>
        </w:rPr>
      </w:pPr>
      <w:r>
        <w:rPr>
          <w:rFonts w:hint="eastAsia" w:ascii="宋体" w:hAnsi="宋体" w:cs="宋体"/>
          <w:b/>
          <w:bCs/>
          <w:snapToGrid w:val="0"/>
          <w:kern w:val="0"/>
          <w:sz w:val="32"/>
          <w:szCs w:val="32"/>
        </w:rPr>
        <w:t>不确定度评定报告</w:t>
      </w:r>
    </w:p>
    <w:p>
      <w:pPr>
        <w:spacing w:line="360" w:lineRule="auto"/>
        <w:rPr>
          <w:rFonts w:ascii="宋体" w:hAnsi="宋体" w:cs="宋体"/>
          <w:bCs/>
          <w:sz w:val="24"/>
        </w:rPr>
      </w:pPr>
      <w:r>
        <w:rPr>
          <w:bCs/>
          <w:sz w:val="24"/>
        </w:rPr>
        <w:t>1、</w:t>
      </w:r>
      <w:r>
        <w:rPr>
          <w:rFonts w:hint="eastAsia" w:ascii="宋体" w:hAnsi="宋体" w:cs="宋体"/>
          <w:bCs/>
          <w:sz w:val="24"/>
        </w:rPr>
        <w:t>测量过程</w:t>
      </w:r>
      <w:r>
        <w:rPr>
          <w:rFonts w:hint="eastAsia" w:ascii="宋体" w:hAnsi="宋体" w:cs="宋体"/>
          <w:sz w:val="24"/>
        </w:rPr>
        <w:br w:type="textWrapping"/>
      </w:r>
      <w:r>
        <w:rPr>
          <w:rFonts w:hint="eastAsia" w:ascii="宋体" w:hAnsi="宋体" w:cs="宋体"/>
          <w:bCs/>
          <w:sz w:val="24"/>
        </w:rPr>
        <w:t>1.1</w:t>
      </w:r>
      <w:r>
        <w:rPr>
          <w:rFonts w:hint="eastAsia" w:ascii="宋体" w:hAnsi="宋体" w:cs="宋体"/>
          <w:sz w:val="24"/>
        </w:rPr>
        <w:t>、测量方法：SOJO</w:t>
      </w:r>
      <w:r>
        <w:rPr>
          <w:rFonts w:hint="eastAsia" w:ascii="宋体" w:hAnsi="宋体" w:cs="宋体"/>
          <w:snapToGrid w:val="0"/>
          <w:kern w:val="0"/>
          <w:sz w:val="24"/>
        </w:rPr>
        <w:t>-ZD-202102《内测千分尺测量作业指导书》</w:t>
      </w:r>
      <w:r>
        <w:rPr>
          <w:rFonts w:hint="eastAsia" w:ascii="宋体" w:hAnsi="宋体" w:cs="宋体"/>
          <w:bCs/>
          <w:sz w:val="24"/>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1.2、环境条件：温度</w:t>
      </w:r>
    </w:p>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1.3、检测设备：</w:t>
      </w:r>
      <w:r>
        <w:rPr>
          <w:rFonts w:hint="eastAsia" w:ascii="宋体" w:hAnsi="宋体" w:cs="宋体"/>
          <w:color w:val="000000"/>
          <w:sz w:val="24"/>
        </w:rPr>
        <w:t>内测千分尺</w:t>
      </w:r>
      <w:r>
        <w:rPr>
          <w:rFonts w:hint="eastAsia" w:ascii="宋体" w:hAnsi="宋体" w:cs="宋体"/>
          <w:color w:val="0D0D0D"/>
          <w:sz w:val="24"/>
        </w:rPr>
        <w:t>，测量范围为（5-30）mm，</w:t>
      </w:r>
      <w:r>
        <w:rPr>
          <w:rFonts w:hint="eastAsia" w:ascii="宋体" w:hAnsi="宋体" w:cs="宋体"/>
          <w:color w:val="000000"/>
          <w:sz w:val="24"/>
        </w:rPr>
        <w:t>最大允许误差为±0.007mm，不确定度为</w:t>
      </w:r>
      <w:r>
        <w:rPr>
          <w:rFonts w:hint="eastAsia" w:ascii="宋体" w:hAnsi="宋体" w:cs="宋体"/>
          <w:sz w:val="24"/>
        </w:rPr>
        <w:t>U=0.002mm、（k=2</w:t>
      </w:r>
      <w:r>
        <w:rPr>
          <w:rFonts w:hint="eastAsia" w:ascii="宋体" w:hAnsi="宋体" w:cs="宋体"/>
          <w:color w:val="000000"/>
          <w:kern w:val="0"/>
          <w:sz w:val="24"/>
          <w:lang w:bidi="ar"/>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1.4、被测对象：</w:t>
      </w:r>
      <w:r>
        <w:rPr>
          <w:rFonts w:hint="eastAsia"/>
          <w:szCs w:val="21"/>
        </w:rPr>
        <w:t>12kVFS6环网柜导向套孔径尺寸（7.02-7.06）mm</w:t>
      </w:r>
      <w:r>
        <w:rPr>
          <w:rFonts w:hint="eastAsia" w:ascii="宋体" w:hAnsi="宋体" w:cs="宋体"/>
          <w:color w:val="000000" w:themeColor="text1"/>
          <w:kern w:val="0"/>
          <w:sz w:val="24"/>
          <w14:textFill>
            <w14:solidFill>
              <w14:schemeClr w14:val="tx1"/>
            </w14:solidFill>
          </w14:textFill>
        </w:rPr>
        <w:t>。</w:t>
      </w:r>
    </w:p>
    <w:p>
      <w:pPr>
        <w:spacing w:line="360" w:lineRule="auto"/>
        <w:ind w:left="720" w:hanging="720" w:hangingChars="3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1.5、测量过程：按照</w:t>
      </w:r>
      <w:r>
        <w:rPr>
          <w:rFonts w:hint="eastAsia" w:ascii="宋体" w:hAnsi="宋体" w:cs="宋体"/>
          <w:snapToGrid w:val="0"/>
          <w:kern w:val="0"/>
          <w:sz w:val="24"/>
        </w:rPr>
        <w:t>《内测千分尺测量作业指导书》的要求，用</w:t>
      </w:r>
      <w:r>
        <w:rPr>
          <w:rFonts w:hint="eastAsia" w:ascii="宋体" w:hAnsi="宋体" w:cs="宋体"/>
          <w:color w:val="000000"/>
          <w:sz w:val="24"/>
        </w:rPr>
        <w:t>内测千分尺直</w:t>
      </w:r>
    </w:p>
    <w:p>
      <w:pPr>
        <w:spacing w:line="360" w:lineRule="auto"/>
        <w:ind w:left="720" w:hanging="720" w:hangingChars="300"/>
        <w:rPr>
          <w:b/>
          <w:bCs/>
          <w:color w:val="FF0000"/>
          <w:sz w:val="24"/>
        </w:rPr>
      </w:pPr>
      <w:r>
        <w:rPr>
          <w:rFonts w:hint="eastAsia" w:ascii="宋体" w:hAnsi="宋体" w:cs="宋体"/>
          <w:color w:val="000000"/>
          <w:sz w:val="24"/>
        </w:rPr>
        <w:t>接</w:t>
      </w:r>
      <w:r>
        <w:rPr>
          <w:rFonts w:hint="eastAsia" w:ascii="宋体" w:hAnsi="宋体" w:cs="宋体"/>
          <w:snapToGrid w:val="0"/>
          <w:kern w:val="0"/>
          <w:sz w:val="24"/>
        </w:rPr>
        <w:t>在工件上进行测量并读取数据</w:t>
      </w:r>
      <w:r>
        <w:rPr>
          <w:sz w:val="24"/>
        </w:rPr>
        <w:t>。</w:t>
      </w:r>
    </w:p>
    <w:p>
      <w:pPr>
        <w:pStyle w:val="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adjustRightInd w:val="0"/>
        <w:spacing w:line="360" w:lineRule="auto"/>
        <w:ind w:firstLine="1200" w:firstLineChars="500"/>
        <w:jc w:val="left"/>
        <w:rPr>
          <w:kern w:val="0"/>
          <w:sz w:val="24"/>
        </w:rPr>
      </w:pPr>
      <w:r>
        <w:rPr>
          <w:sz w:val="24"/>
        </w:rPr>
        <w:t xml:space="preserve"> </w:t>
      </w:r>
      <w:r>
        <w:rPr>
          <w:kern w:val="0"/>
          <w:sz w:val="24"/>
        </w:rPr>
        <w:t xml:space="preserve">f=m       </w:t>
      </w:r>
    </w:p>
    <w:p>
      <w:pPr>
        <w:autoSpaceDE w:val="0"/>
        <w:autoSpaceDN w:val="0"/>
        <w:adjustRightInd w:val="0"/>
        <w:spacing w:line="360" w:lineRule="auto"/>
        <w:ind w:firstLine="480" w:firstLineChars="200"/>
        <w:jc w:val="left"/>
        <w:rPr>
          <w:kern w:val="0"/>
          <w:sz w:val="24"/>
        </w:rPr>
      </w:pPr>
      <w:r>
        <w:rPr>
          <w:kern w:val="0"/>
          <w:sz w:val="24"/>
        </w:rPr>
        <w:t>式中：f－为被测尺寸；</w:t>
      </w:r>
    </w:p>
    <w:p>
      <w:pPr>
        <w:autoSpaceDE w:val="0"/>
        <w:autoSpaceDN w:val="0"/>
        <w:adjustRightInd w:val="0"/>
        <w:spacing w:line="360" w:lineRule="auto"/>
        <w:ind w:firstLine="1200" w:firstLineChars="500"/>
        <w:jc w:val="left"/>
        <w:rPr>
          <w:sz w:val="24"/>
        </w:rPr>
      </w:pPr>
      <w:r>
        <w:rPr>
          <w:kern w:val="0"/>
          <w:sz w:val="24"/>
        </w:rPr>
        <w:t>m－为</w:t>
      </w:r>
      <w:r>
        <w:rPr>
          <w:rFonts w:hint="eastAsia"/>
          <w:kern w:val="0"/>
          <w:sz w:val="24"/>
        </w:rPr>
        <w:t>内测千分尺</w:t>
      </w:r>
      <w:r>
        <w:rPr>
          <w:kern w:val="0"/>
          <w:sz w:val="24"/>
        </w:rPr>
        <w:t>的读数值。</w:t>
      </w:r>
    </w:p>
    <w:p>
      <w:pPr>
        <w:spacing w:line="360" w:lineRule="auto"/>
        <w:rPr>
          <w:sz w:val="24"/>
        </w:rPr>
      </w:pPr>
      <w:r>
        <w:rPr>
          <w:rFonts w:hint="eastAsia"/>
          <w:b/>
          <w:sz w:val="24"/>
        </w:rPr>
        <w:t>3、</w:t>
      </w:r>
      <w:r>
        <w:rPr>
          <w:b/>
          <w:sz w:val="24"/>
        </w:rPr>
        <w:t>输入量的标准不确定度评定</w:t>
      </w:r>
    </w:p>
    <w:p>
      <w:pPr>
        <w:spacing w:line="360" w:lineRule="auto"/>
        <w:ind w:firstLine="480" w:firstLineChars="200"/>
        <w:rPr>
          <w:bCs/>
          <w:sz w:val="24"/>
        </w:rPr>
      </w:pPr>
      <w:r>
        <w:rPr>
          <w:sz w:val="24"/>
        </w:rPr>
        <w:t>输入量的不确定度来源主要是：测量重复性引起的不确定度</w:t>
      </w:r>
      <w:r>
        <w:rPr>
          <w:i/>
          <w:iCs/>
          <w:sz w:val="24"/>
        </w:rPr>
        <w:t>u</w:t>
      </w:r>
      <w:r>
        <w:rPr>
          <w:sz w:val="24"/>
          <w:vertAlign w:val="subscript"/>
        </w:rPr>
        <w:t>1</w:t>
      </w:r>
      <w:r>
        <w:rPr>
          <w:b/>
          <w:bCs/>
          <w:sz w:val="24"/>
        </w:rPr>
        <w:t>；</w:t>
      </w:r>
      <w:r>
        <w:rPr>
          <w:bCs/>
          <w:sz w:val="24"/>
        </w:rPr>
        <w:t>测量设备</w:t>
      </w:r>
      <w:r>
        <w:rPr>
          <w:sz w:val="24"/>
        </w:rPr>
        <w:t>引入的标准不确定度</w:t>
      </w:r>
      <w:r>
        <w:rPr>
          <w:i/>
          <w:iCs/>
          <w:sz w:val="24"/>
        </w:rPr>
        <w:t>u</w:t>
      </w:r>
      <w:r>
        <w:rPr>
          <w:sz w:val="24"/>
          <w:vertAlign w:val="subscript"/>
        </w:rPr>
        <w:t>2</w:t>
      </w:r>
      <w:r>
        <w:rPr>
          <w:bCs/>
          <w:sz w:val="24"/>
        </w:rPr>
        <w:t>。</w:t>
      </w:r>
    </w:p>
    <w:p>
      <w:pPr>
        <w:spacing w:line="360" w:lineRule="auto"/>
        <w:rPr>
          <w:sz w:val="24"/>
        </w:rPr>
      </w:pPr>
      <w:r>
        <w:rPr>
          <w:sz w:val="24"/>
        </w:rPr>
        <w:t>3.1测量重复性引起的标准不确定度</w:t>
      </w:r>
      <w:r>
        <w:rPr>
          <w:i/>
          <w:iCs/>
          <w:sz w:val="24"/>
        </w:rPr>
        <w:t>u</w:t>
      </w:r>
      <w:r>
        <w:rPr>
          <w:sz w:val="24"/>
          <w:vertAlign w:val="subscript"/>
        </w:rPr>
        <w:t>1</w: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rPr>
        <w:t>内测千分尺</w:t>
      </w:r>
      <w:r>
        <w:rPr>
          <w:sz w:val="24"/>
        </w:rPr>
        <w:t>正常工作状态下，同一组人，用同一台设备，在相临近的时间内，对被测</w:t>
      </w:r>
      <w:r>
        <w:rPr>
          <w:rFonts w:hint="eastAsia"/>
          <w:sz w:val="24"/>
        </w:rPr>
        <w:t>工件</w:t>
      </w:r>
      <w:r>
        <w:rPr>
          <w:sz w:val="24"/>
        </w:rPr>
        <w:t>连续测量10次，得到10个数据汇于表1：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margin" w:tblpXSpec="center" w:tblpY="244"/>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10"/>
        <w:gridCol w:w="830"/>
        <w:gridCol w:w="790"/>
        <w:gridCol w:w="850"/>
        <w:gridCol w:w="870"/>
        <w:gridCol w:w="780"/>
        <w:gridCol w:w="880"/>
        <w:gridCol w:w="860"/>
        <w:gridCol w:w="84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36" w:type="dxa"/>
            <w:vAlign w:val="center"/>
          </w:tcPr>
          <w:p>
            <w:pPr>
              <w:widowControl/>
              <w:adjustRightInd w:val="0"/>
              <w:spacing w:line="360" w:lineRule="auto"/>
              <w:ind w:firstLine="120" w:firstLineChars="50"/>
              <w:jc w:val="center"/>
              <w:rPr>
                <w:sz w:val="24"/>
              </w:rPr>
            </w:pPr>
            <w:r>
              <w:rPr>
                <w:sz w:val="24"/>
              </w:rPr>
              <w:t>序号</w:t>
            </w:r>
          </w:p>
        </w:tc>
        <w:tc>
          <w:tcPr>
            <w:tcW w:w="810" w:type="dxa"/>
            <w:vAlign w:val="center"/>
          </w:tcPr>
          <w:p>
            <w:pPr>
              <w:widowControl/>
              <w:adjustRightInd w:val="0"/>
              <w:spacing w:line="360" w:lineRule="auto"/>
              <w:ind w:left="237" w:leftChars="113"/>
              <w:jc w:val="center"/>
              <w:rPr>
                <w:sz w:val="24"/>
              </w:rPr>
            </w:pPr>
            <w:r>
              <w:rPr>
                <w:sz w:val="24"/>
              </w:rPr>
              <w:t>1</w:t>
            </w:r>
          </w:p>
        </w:tc>
        <w:tc>
          <w:tcPr>
            <w:tcW w:w="830" w:type="dxa"/>
            <w:vAlign w:val="center"/>
          </w:tcPr>
          <w:p>
            <w:pPr>
              <w:widowControl/>
              <w:adjustRightInd w:val="0"/>
              <w:spacing w:line="360" w:lineRule="auto"/>
              <w:ind w:left="237"/>
              <w:jc w:val="center"/>
              <w:rPr>
                <w:sz w:val="24"/>
              </w:rPr>
            </w:pPr>
            <w:r>
              <w:rPr>
                <w:sz w:val="24"/>
              </w:rPr>
              <w:t>2</w:t>
            </w:r>
          </w:p>
        </w:tc>
        <w:tc>
          <w:tcPr>
            <w:tcW w:w="790" w:type="dxa"/>
            <w:vAlign w:val="center"/>
          </w:tcPr>
          <w:p>
            <w:pPr>
              <w:widowControl/>
              <w:adjustRightInd w:val="0"/>
              <w:spacing w:line="360" w:lineRule="auto"/>
              <w:ind w:left="252"/>
              <w:jc w:val="center"/>
              <w:rPr>
                <w:sz w:val="24"/>
              </w:rPr>
            </w:pPr>
            <w:r>
              <w:rPr>
                <w:sz w:val="24"/>
              </w:rPr>
              <w:t>3</w:t>
            </w:r>
          </w:p>
        </w:tc>
        <w:tc>
          <w:tcPr>
            <w:tcW w:w="850" w:type="dxa"/>
            <w:vAlign w:val="center"/>
          </w:tcPr>
          <w:p>
            <w:pPr>
              <w:widowControl/>
              <w:adjustRightInd w:val="0"/>
              <w:spacing w:line="360" w:lineRule="auto"/>
              <w:ind w:firstLine="120" w:firstLineChars="50"/>
              <w:jc w:val="center"/>
              <w:rPr>
                <w:sz w:val="24"/>
              </w:rPr>
            </w:pPr>
            <w:r>
              <w:rPr>
                <w:sz w:val="24"/>
              </w:rPr>
              <w:t>4</w:t>
            </w:r>
          </w:p>
        </w:tc>
        <w:tc>
          <w:tcPr>
            <w:tcW w:w="870" w:type="dxa"/>
            <w:vAlign w:val="center"/>
          </w:tcPr>
          <w:p>
            <w:pPr>
              <w:widowControl/>
              <w:adjustRightInd w:val="0"/>
              <w:spacing w:line="360" w:lineRule="auto"/>
              <w:ind w:left="103" w:leftChars="49" w:firstLine="120" w:firstLineChars="50"/>
              <w:jc w:val="center"/>
              <w:rPr>
                <w:sz w:val="24"/>
              </w:rPr>
            </w:pPr>
            <w:r>
              <w:rPr>
                <w:sz w:val="24"/>
              </w:rPr>
              <w:t>5</w:t>
            </w:r>
          </w:p>
        </w:tc>
        <w:tc>
          <w:tcPr>
            <w:tcW w:w="780" w:type="dxa"/>
            <w:vAlign w:val="center"/>
          </w:tcPr>
          <w:p>
            <w:pPr>
              <w:widowControl/>
              <w:adjustRightInd w:val="0"/>
              <w:spacing w:line="360" w:lineRule="auto"/>
              <w:ind w:left="237" w:leftChars="113"/>
              <w:jc w:val="center"/>
              <w:rPr>
                <w:sz w:val="24"/>
              </w:rPr>
            </w:pPr>
            <w:r>
              <w:rPr>
                <w:sz w:val="24"/>
              </w:rPr>
              <w:t>6</w:t>
            </w:r>
          </w:p>
        </w:tc>
        <w:tc>
          <w:tcPr>
            <w:tcW w:w="880" w:type="dxa"/>
            <w:vAlign w:val="center"/>
          </w:tcPr>
          <w:p>
            <w:pPr>
              <w:widowControl/>
              <w:adjustRightInd w:val="0"/>
              <w:spacing w:line="360" w:lineRule="auto"/>
              <w:ind w:left="237"/>
              <w:jc w:val="center"/>
              <w:rPr>
                <w:sz w:val="24"/>
              </w:rPr>
            </w:pPr>
            <w:r>
              <w:rPr>
                <w:sz w:val="24"/>
              </w:rPr>
              <w:t>7</w:t>
            </w:r>
          </w:p>
        </w:tc>
        <w:tc>
          <w:tcPr>
            <w:tcW w:w="860" w:type="dxa"/>
            <w:vAlign w:val="center"/>
          </w:tcPr>
          <w:p>
            <w:pPr>
              <w:widowControl/>
              <w:adjustRightInd w:val="0"/>
              <w:spacing w:line="360" w:lineRule="auto"/>
              <w:ind w:left="252"/>
              <w:jc w:val="center"/>
              <w:rPr>
                <w:sz w:val="24"/>
              </w:rPr>
            </w:pPr>
            <w:r>
              <w:rPr>
                <w:sz w:val="24"/>
              </w:rPr>
              <w:t>8</w:t>
            </w:r>
          </w:p>
        </w:tc>
        <w:tc>
          <w:tcPr>
            <w:tcW w:w="840" w:type="dxa"/>
            <w:vAlign w:val="center"/>
          </w:tcPr>
          <w:p>
            <w:pPr>
              <w:widowControl/>
              <w:adjustRightInd w:val="0"/>
              <w:spacing w:line="360" w:lineRule="auto"/>
              <w:ind w:firstLine="120" w:firstLineChars="50"/>
              <w:jc w:val="center"/>
              <w:rPr>
                <w:sz w:val="24"/>
              </w:rPr>
            </w:pPr>
            <w:r>
              <w:rPr>
                <w:sz w:val="24"/>
              </w:rPr>
              <w:t>9</w:t>
            </w:r>
          </w:p>
        </w:tc>
        <w:tc>
          <w:tcPr>
            <w:tcW w:w="830"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36" w:type="dxa"/>
            <w:vAlign w:val="center"/>
          </w:tcPr>
          <w:p>
            <w:pPr>
              <w:widowControl/>
              <w:adjustRightInd w:val="0"/>
              <w:spacing w:line="360" w:lineRule="auto"/>
              <w:jc w:val="center"/>
              <w:rPr>
                <w:sz w:val="24"/>
              </w:rPr>
            </w:pPr>
            <w:r>
              <w:rPr>
                <w:sz w:val="24"/>
              </w:rPr>
              <w:t>m读数</w:t>
            </w:r>
          </w:p>
          <w:p>
            <w:pPr>
              <w:widowControl/>
              <w:adjustRightInd w:val="0"/>
              <w:spacing w:line="360" w:lineRule="auto"/>
              <w:jc w:val="center"/>
              <w:rPr>
                <w:sz w:val="24"/>
              </w:rPr>
            </w:pPr>
            <w:r>
              <w:rPr>
                <w:sz w:val="24"/>
              </w:rPr>
              <w:t>值(mm)</w:t>
            </w:r>
          </w:p>
        </w:tc>
        <w:tc>
          <w:tcPr>
            <w:tcW w:w="810" w:type="dxa"/>
            <w:vAlign w:val="center"/>
          </w:tcPr>
          <w:p>
            <w:pPr>
              <w:widowControl/>
              <w:jc w:val="center"/>
              <w:rPr>
                <w:color w:val="0D0D0D"/>
                <w:kern w:val="0"/>
                <w:sz w:val="24"/>
              </w:rPr>
            </w:pPr>
            <w:r>
              <w:rPr>
                <w:color w:val="0D0D0D"/>
                <w:kern w:val="0"/>
                <w:sz w:val="24"/>
              </w:rPr>
              <w:t>7.033</w:t>
            </w:r>
          </w:p>
        </w:tc>
        <w:tc>
          <w:tcPr>
            <w:tcW w:w="830" w:type="dxa"/>
            <w:vAlign w:val="center"/>
          </w:tcPr>
          <w:p>
            <w:pPr>
              <w:widowControl/>
              <w:jc w:val="center"/>
              <w:rPr>
                <w:color w:val="0D0D0D"/>
                <w:kern w:val="0"/>
                <w:sz w:val="24"/>
              </w:rPr>
            </w:pPr>
            <w:r>
              <w:rPr>
                <w:color w:val="0D0D0D"/>
                <w:kern w:val="0"/>
                <w:sz w:val="24"/>
              </w:rPr>
              <w:t>7.025</w:t>
            </w:r>
          </w:p>
        </w:tc>
        <w:tc>
          <w:tcPr>
            <w:tcW w:w="790" w:type="dxa"/>
            <w:vAlign w:val="center"/>
          </w:tcPr>
          <w:p>
            <w:pPr>
              <w:widowControl/>
              <w:jc w:val="center"/>
              <w:rPr>
                <w:color w:val="0D0D0D"/>
                <w:kern w:val="0"/>
                <w:sz w:val="24"/>
              </w:rPr>
            </w:pPr>
            <w:r>
              <w:rPr>
                <w:color w:val="0D0D0D"/>
                <w:kern w:val="0"/>
                <w:sz w:val="24"/>
              </w:rPr>
              <w:t>7.044</w:t>
            </w:r>
          </w:p>
        </w:tc>
        <w:tc>
          <w:tcPr>
            <w:tcW w:w="850" w:type="dxa"/>
            <w:vAlign w:val="center"/>
          </w:tcPr>
          <w:p>
            <w:pPr>
              <w:widowControl/>
              <w:jc w:val="center"/>
              <w:rPr>
                <w:color w:val="0D0D0D"/>
                <w:kern w:val="0"/>
                <w:sz w:val="24"/>
              </w:rPr>
            </w:pPr>
            <w:r>
              <w:rPr>
                <w:color w:val="0D0D0D"/>
                <w:kern w:val="0"/>
                <w:sz w:val="24"/>
              </w:rPr>
              <w:t>7.032</w:t>
            </w:r>
          </w:p>
        </w:tc>
        <w:tc>
          <w:tcPr>
            <w:tcW w:w="870" w:type="dxa"/>
            <w:vAlign w:val="center"/>
          </w:tcPr>
          <w:p>
            <w:pPr>
              <w:widowControl/>
              <w:jc w:val="center"/>
              <w:rPr>
                <w:color w:val="0D0D0D"/>
                <w:kern w:val="0"/>
                <w:sz w:val="24"/>
              </w:rPr>
            </w:pPr>
            <w:r>
              <w:rPr>
                <w:color w:val="0D0D0D"/>
                <w:kern w:val="0"/>
                <w:sz w:val="24"/>
              </w:rPr>
              <w:t>7.056</w:t>
            </w:r>
          </w:p>
        </w:tc>
        <w:tc>
          <w:tcPr>
            <w:tcW w:w="780" w:type="dxa"/>
            <w:vAlign w:val="center"/>
          </w:tcPr>
          <w:p>
            <w:pPr>
              <w:widowControl/>
              <w:jc w:val="center"/>
              <w:rPr>
                <w:color w:val="0D0D0D"/>
                <w:kern w:val="0"/>
                <w:sz w:val="24"/>
              </w:rPr>
            </w:pPr>
            <w:r>
              <w:rPr>
                <w:color w:val="0D0D0D"/>
                <w:kern w:val="0"/>
                <w:sz w:val="24"/>
              </w:rPr>
              <w:t>7.041</w:t>
            </w:r>
          </w:p>
        </w:tc>
        <w:tc>
          <w:tcPr>
            <w:tcW w:w="880" w:type="dxa"/>
            <w:vAlign w:val="center"/>
          </w:tcPr>
          <w:p>
            <w:pPr>
              <w:widowControl/>
              <w:jc w:val="center"/>
              <w:rPr>
                <w:color w:val="0D0D0D"/>
                <w:kern w:val="0"/>
                <w:sz w:val="24"/>
              </w:rPr>
            </w:pPr>
            <w:r>
              <w:rPr>
                <w:color w:val="0D0D0D"/>
                <w:kern w:val="0"/>
                <w:sz w:val="24"/>
              </w:rPr>
              <w:t>7.052</w:t>
            </w:r>
          </w:p>
        </w:tc>
        <w:tc>
          <w:tcPr>
            <w:tcW w:w="860" w:type="dxa"/>
            <w:vAlign w:val="center"/>
          </w:tcPr>
          <w:p>
            <w:pPr>
              <w:widowControl/>
              <w:jc w:val="center"/>
              <w:rPr>
                <w:color w:val="0D0D0D"/>
                <w:kern w:val="0"/>
                <w:sz w:val="24"/>
              </w:rPr>
            </w:pPr>
            <w:r>
              <w:rPr>
                <w:color w:val="0D0D0D"/>
                <w:kern w:val="0"/>
                <w:sz w:val="24"/>
              </w:rPr>
              <w:t>7.043</w:t>
            </w:r>
          </w:p>
        </w:tc>
        <w:tc>
          <w:tcPr>
            <w:tcW w:w="840" w:type="dxa"/>
            <w:vAlign w:val="center"/>
          </w:tcPr>
          <w:p>
            <w:pPr>
              <w:widowControl/>
              <w:jc w:val="center"/>
              <w:rPr>
                <w:color w:val="0D0D0D"/>
                <w:kern w:val="0"/>
                <w:sz w:val="24"/>
              </w:rPr>
            </w:pPr>
            <w:r>
              <w:rPr>
                <w:color w:val="0D0D0D"/>
                <w:kern w:val="0"/>
                <w:sz w:val="24"/>
              </w:rPr>
              <w:t>7.044</w:t>
            </w:r>
          </w:p>
        </w:tc>
        <w:tc>
          <w:tcPr>
            <w:tcW w:w="830" w:type="dxa"/>
            <w:vAlign w:val="center"/>
          </w:tcPr>
          <w:p>
            <w:pPr>
              <w:widowControl/>
              <w:jc w:val="center"/>
              <w:rPr>
                <w:color w:val="0D0D0D"/>
                <w:kern w:val="0"/>
                <w:sz w:val="24"/>
              </w:rPr>
            </w:pPr>
            <w:r>
              <w:rPr>
                <w:color w:val="0D0D0D"/>
                <w:kern w:val="0"/>
                <w:sz w:val="24"/>
              </w:rPr>
              <w:t>7.020</w:t>
            </w:r>
          </w:p>
        </w:tc>
      </w:tr>
    </w:tbl>
    <w:p>
      <w:pPr>
        <w:spacing w:line="360" w:lineRule="auto"/>
        <w:ind w:firstLine="720" w:firstLineChars="300"/>
        <w:rPr>
          <w:i/>
          <w:sz w:val="24"/>
        </w:rPr>
      </w:pPr>
    </w:p>
    <w:p>
      <w:pPr>
        <w:spacing w:line="360" w:lineRule="auto"/>
        <w:rPr>
          <w:color w:val="0D0D0D"/>
          <w:sz w:val="24"/>
        </w:rPr>
      </w:pPr>
    </w:p>
    <w:p>
      <w:pPr>
        <w:widowControl/>
        <w:tabs>
          <w:tab w:val="center" w:pos="4360"/>
          <w:tab w:val="right" w:pos="8300"/>
        </w:tabs>
        <w:spacing w:line="360" w:lineRule="auto"/>
        <w:ind w:firstLine="720" w:firstLineChars="300"/>
        <w:rPr>
          <w:i/>
          <w:sz w:val="24"/>
        </w:rPr>
      </w:pPr>
      <w:r>
        <w:rPr>
          <w:sz w:val="24"/>
        </w:rPr>
        <w:t>测量值的平均值：</w:t>
      </w:r>
      <w:r>
        <w:rPr>
          <w:i/>
          <w:position w:val="-20"/>
          <w:sz w:val="24"/>
        </w:rPr>
        <w:object>
          <v:shape id="_x0000_i1025" o:spt="75" type="#_x0000_t75" style="height:34pt;width:1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widowControl/>
        <w:tabs>
          <w:tab w:val="center" w:pos="4360"/>
          <w:tab w:val="right" w:pos="8300"/>
        </w:tabs>
        <w:spacing w:line="360" w:lineRule="auto"/>
        <w:ind w:firstLine="720" w:firstLineChars="300"/>
        <w:rPr>
          <w:kern w:val="0"/>
          <w:position w:val="-26"/>
          <w:sz w:val="24"/>
        </w:rPr>
      </w:pPr>
      <w:r>
        <w:rPr>
          <w:kern w:val="0"/>
          <w:sz w:val="24"/>
        </w:rPr>
        <w:t>实验标准差：</w:t>
      </w:r>
      <w:r>
        <w:rPr>
          <w:kern w:val="0"/>
          <w:position w:val="-26"/>
          <w:sz w:val="24"/>
        </w:rPr>
        <w:object>
          <v:shape id="_x0000_i1026" o:spt="75" type="#_x0000_t75" style="height:40pt;width:157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widowControl/>
        <w:tabs>
          <w:tab w:val="center" w:pos="4360"/>
          <w:tab w:val="right" w:pos="8300"/>
        </w:tabs>
        <w:spacing w:line="360" w:lineRule="auto"/>
        <w:ind w:firstLine="480" w:firstLineChars="200"/>
        <w:rPr>
          <w:kern w:val="0"/>
          <w:position w:val="-26"/>
          <w:sz w:val="24"/>
        </w:rPr>
      </w:pPr>
      <w:r>
        <w:rPr>
          <w:kern w:val="0"/>
          <w:position w:val="-26"/>
          <w:sz w:val="24"/>
        </w:rPr>
        <w:t xml:space="preserve">  </w:t>
      </w:r>
      <w:r>
        <w:rPr>
          <w:color w:val="000000"/>
          <w:kern w:val="0"/>
          <w:sz w:val="24"/>
        </w:rPr>
        <w:t>被测量估计值（</w:t>
      </w:r>
      <w:r>
        <w:rPr>
          <w:color w:val="000000"/>
          <w:kern w:val="0"/>
          <w:position w:val="-4"/>
          <w:sz w:val="24"/>
        </w:rPr>
        <w:object>
          <v:shape id="_x0000_i1027" o:spt="75" type="#_x0000_t75" style="height:16pt;width:13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color w:val="000000"/>
          <w:kern w:val="0"/>
          <w:sz w:val="24"/>
        </w:rPr>
        <w:t>）标准不确定度分量u</w:t>
      </w:r>
      <w:r>
        <w:rPr>
          <w:color w:val="000000"/>
          <w:sz w:val="24"/>
          <w:vertAlign w:val="subscript"/>
        </w:rPr>
        <w:t>1</w:t>
      </w:r>
      <w:r>
        <w:rPr>
          <w:color w:val="000000"/>
          <w:kern w:val="0"/>
          <w:sz w:val="24"/>
        </w:rPr>
        <w:t>（</w:t>
      </w:r>
      <w:r>
        <w:rPr>
          <w:color w:val="000000"/>
          <w:kern w:val="0"/>
          <w:position w:val="-4"/>
          <w:sz w:val="24"/>
        </w:rPr>
        <w:object>
          <v:shape id="_x0000_i1028" o:spt="75" type="#_x0000_t75" style="height:16pt;width:13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color w:val="000000"/>
          <w:kern w:val="0"/>
          <w:sz w:val="24"/>
        </w:rPr>
        <w:t>为1组数据的平均值，取n=1）</w:t>
      </w:r>
    </w:p>
    <w:p>
      <w:pPr>
        <w:widowControl/>
        <w:tabs>
          <w:tab w:val="center" w:pos="4360"/>
          <w:tab w:val="right" w:pos="8300"/>
        </w:tabs>
        <w:spacing w:line="360" w:lineRule="auto"/>
        <w:ind w:firstLine="720" w:firstLineChars="300"/>
        <w:rPr>
          <w:sz w:val="24"/>
        </w:rPr>
      </w:pPr>
      <w:r>
        <w:rPr>
          <w:kern w:val="0"/>
          <w:sz w:val="24"/>
        </w:rPr>
        <w:t>则标准不确定度分量：</w:t>
      </w:r>
      <w:r>
        <w:rPr>
          <w:i/>
          <w:iCs/>
          <w:color w:val="0D0D0D"/>
          <w:kern w:val="0"/>
          <w:sz w:val="24"/>
        </w:rPr>
        <w:t>u</w:t>
      </w:r>
      <w:r>
        <w:rPr>
          <w:color w:val="0D0D0D"/>
          <w:kern w:val="0"/>
          <w:sz w:val="24"/>
          <w:vertAlign w:val="subscript"/>
        </w:rPr>
        <w:t>1</w:t>
      </w:r>
      <w:r>
        <w:rPr>
          <w:color w:val="0D0D0D"/>
          <w:kern w:val="0"/>
          <w:sz w:val="24"/>
        </w:rPr>
        <w:t>=s=0.025mm</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i/>
          <w:iCs/>
          <w:kern w:val="0"/>
          <w:sz w:val="24"/>
        </w:rPr>
        <w:t>u</w:t>
      </w:r>
      <w:r>
        <w:rPr>
          <w:kern w:val="0"/>
          <w:sz w:val="24"/>
          <w:vertAlign w:val="subscript"/>
        </w:rPr>
        <w:t>2</w:t>
      </w:r>
    </w:p>
    <w:p>
      <w:pPr>
        <w:spacing w:line="360" w:lineRule="auto"/>
        <w:ind w:firstLine="480" w:firstLineChars="200"/>
        <w:rPr>
          <w:sz w:val="24"/>
        </w:rPr>
      </w:pPr>
      <w:r>
        <w:rPr>
          <w:sz w:val="24"/>
        </w:rPr>
        <w:t>查</w:t>
      </w:r>
      <w:r>
        <w:rPr>
          <w:rFonts w:hint="eastAsia"/>
          <w:sz w:val="24"/>
        </w:rPr>
        <w:t>内测千分尺</w:t>
      </w:r>
      <w:r>
        <w:rPr>
          <w:sz w:val="24"/>
        </w:rPr>
        <w:t>的校准证书，出具的最大允许误差±0.00</w:t>
      </w:r>
      <w:r>
        <w:rPr>
          <w:rFonts w:hint="eastAsia"/>
          <w:sz w:val="24"/>
        </w:rPr>
        <w:t>7</w:t>
      </w:r>
      <w:r>
        <w:rPr>
          <w:sz w:val="24"/>
        </w:rPr>
        <w:t>mm</w:t>
      </w:r>
      <w:r>
        <w:rPr>
          <w:color w:val="000000"/>
          <w:sz w:val="24"/>
        </w:rPr>
        <w:t>，</w:t>
      </w:r>
      <w:r>
        <w:rPr>
          <w:rFonts w:hint="eastAsia"/>
          <w:color w:val="000000"/>
          <w:sz w:val="24"/>
        </w:rPr>
        <w:t>按</w:t>
      </w:r>
      <w:r>
        <w:rPr>
          <w:color w:val="000000"/>
          <w:sz w:val="24"/>
        </w:rPr>
        <w:t>均匀分布，</w:t>
      </w:r>
      <w:r>
        <w:rPr>
          <w:rFonts w:hint="eastAsia"/>
          <w:color w:val="000000"/>
          <w:sz w:val="24"/>
        </w:rPr>
        <w:t>半宽a=0.007mm,</w:t>
      </w:r>
      <w:r>
        <w:rPr>
          <w:color w:val="000000"/>
          <w:sz w:val="24"/>
        </w:rPr>
        <w:t>取</w:t>
      </w:r>
      <w:r>
        <w:rPr>
          <w:i/>
          <w:iCs/>
          <w:color w:val="000000"/>
          <w:sz w:val="24"/>
        </w:rPr>
        <w:t>k</w:t>
      </w:r>
      <w:r>
        <w:rPr>
          <w:color w:val="000000"/>
          <w:sz w:val="24"/>
        </w:rPr>
        <w:t>=</w:t>
      </w:r>
      <w:r>
        <w:rPr>
          <w:color w:val="000000"/>
          <w:position w:val="-8"/>
          <w:sz w:val="24"/>
        </w:rPr>
        <w:object>
          <v:shape id="_x0000_i1029" o:spt="75" type="#_x0000_t75" style="height:18pt;width:18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4"/>
        </w:rPr>
        <w:t>则由设备示值误差引入的不确定分量为</w:t>
      </w:r>
    </w:p>
    <w:p>
      <w:pPr>
        <w:spacing w:line="360" w:lineRule="auto"/>
        <w:ind w:firstLine="2880" w:firstLineChars="1200"/>
        <w:rPr>
          <w:i/>
          <w:position w:val="-24"/>
          <w:sz w:val="24"/>
        </w:rPr>
      </w:pPr>
      <w:r>
        <w:rPr>
          <w:i/>
          <w:position w:val="-26"/>
          <w:sz w:val="24"/>
        </w:rPr>
        <w:object>
          <v:shape id="_x0000_i1030" o:spt="75" type="#_x0000_t75" style="height:30pt;width:131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position w:val="-24"/>
          <w:sz w:val="24"/>
        </w:rPr>
        <w:fldChar w:fldCharType="begin"/>
      </w:r>
      <w:r>
        <w:rPr>
          <w:position w:val="-24"/>
          <w:sz w:val="24"/>
        </w:rPr>
        <w:instrText xml:space="preserve"> QUOTE </w:instrText>
      </w:r>
      <w:r>
        <w:rPr>
          <w:position w:val="-24"/>
        </w:rPr>
        <w:pict>
          <v:shape id="_x0000_i1031" o:spt="75" type="#_x0000_t75" style="height:31.5pt;width:10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mirrorMargins/&gt;&lt;w:bordersDontSurroundHeader/&gt;&lt;w:bordersDontSurroundFooter/&gt;&lt;w:hideGrammaticalErrors/&gt;&lt;w:stylePaneFormatFilter w:val=&quot;3F01&quot;/&gt;&lt;w:defaultTabStop w:val=&quot;420&quot;/&gt;&lt;w:defaultTableStyle w:sti=&quot;0&quot; w:val=&quot;正文&quot;/&gt;&lt;w:dra00wi&quot;/ngGridHorizontalSpacing w:val=&quot;105&quot;/&gt;&lt;w:drawingGridVerticalSpacing w:val=&quot;156&quot;/&gt;&lt;w:displayHorizontalDrawingGridEvery w:val=&quot;0&quot;/&gt;&lt;w:punctuationKerning/&gt;&lt;w:characterSpacingControl w:val=&quot;CompressPunctuation&quot;/&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useFELayout/&gt;&lt;/w:compat&gt;&lt;wsp:rsids&gt;&lt;wsp:rsidRoot wsp:val=&quot;00E54BDC&quot;/&gt;&lt;wsp:rsid wsp:val=&quot;00000C49&quot;/&gt;&lt;wsp:rsid wsp:val=&quot;0001410C&quot;/&gt;&lt;wsp:rsid wsp:val=&quot;000216FF&quot;/&gt;&lt;wsp:rsid wsp:val=&quot;000220B3&quot;/&gt;&lt;wsp:rsid wsp:val=&quot;00025E4A&quot;/&gt;&lt;wsp:rsid wsp:val=&quot;00044C6B&quot;/&gt;&lt;wsp:rsid wsp:val=&quot;000552F4&quot;/&gt;&lt;wsp:rsid wsp:val=&quot;0009352C&quot;/&gt;&lt;wsp:rsid wsp:val=&quot;000A0050&quot;/&gt;&lt;wsp:rsid wsp:val=&quot;000A3271&quot;/&gt;&lt;wsp:rsid wsp:val=&quot;000B3BC9&quot;/&gt;&lt;wsp:rsid wsp:val=&quot;000B4F65&quot;/&gt;&lt;wsp:rsid wsp:val=&quot;00102092&quot;/&gt;&lt;wsp:rsid wsp:val=&quot;0012559A&quot;/&gt;&lt;wsp:rsid wsp:val=&quot;001355A0&quot;/&gt;&lt;wsp:rsid wsp:val=&quot;001646C2&quot;/&gt;&lt;wsp:rsid wsp:val=&quot;001A635A&quot;/&gt;&lt;wsp:rsid wsp:val=&quot;001B65ED&quot;/&gt;&lt;wsp:rsid wsp:val=&quot;001C0C1E&quot;/&gt;&lt;wsp:rsid wsp:val=&quot;001C0F10&quot;/&gt;&lt;wsp:rsid wsp:val=&quot;001C790B&quot;/&gt;&lt;wsp:rsid wsp:val=&quot;0020436E&quot;/&gt;&lt;wsp:rsid wsp:val=&quot;00211059&quot;/&gt;&lt;wsp:rsid wsp:val=&quot;0021590A&quot;/&gt;&lt;wsp:rsid wsp:val=&quot;002271CE&quot;/&gt;&lt;wsp:rsid wsp:val=&quot;00246640&quot;/&gt;&lt;wsp:rsid wsp:val=&quot;00254F5E&quot;/&gt;&lt;wsp:rsid wsp:val=&quot;00257DCF&quot;/&gt;&lt;wsp:rsid wsp:val=&quot;00275E12&quot;/&gt;&lt;wsp:rsid wsp:val=&quot;002839E3&quot;/&gt;&lt;wsp:rsid wsp:val=&quot;002E0560&quot;/&gt;&lt;wsp:rsid wsp:val=&quot;002E485B&quot;/&gt;&lt;wsp:rsid wsp:val=&quot;002F0818&quot;/&gt;&lt;wsp:rsid wsp:val=&quot;002F3EA6&quot;/&gt;&lt;wsp:rsid wsp:val=&quot;0030186D&quot;/&gt;&lt;wsp:rsid wsp:val=&quot;00302919&quot;/&gt;&lt;wsp:rsid wsp:val=&quot;00325E2D&quot;/&gt;&lt;wsp:rsid wsp:val=&quot;00326993&quot;/&gt;&lt;wsp:rsid wsp:val=&quot;0034276B&quot;/&gt;&lt;wsp:rsid wsp:val=&quot;003658D9&quot;/&gt;&lt;wsp:rsid wsp:val=&quot;003A1243&quot;/&gt;&lt;wsp:rsid wsp:val=&quot;003B43F1&quot;/&gt;&lt;wsp:rsid wsp:val=&quot;003C6C00&quot;/&gt;&lt;wsp:rsid wsp:val=&quot;003D2F99&quot;/&gt;&lt;wsp:rsid wsp:val=&quot;003D4821&quot;/&gt;&lt;wsp:rsid wsp:val=&quot;00413117&quot;/&gt;&lt;wsp:rsid wsp:val=&quot;004139FE&quot;/&gt;&lt;wsp:rsid wsp:val=&quot;00432992&quot;/&gt;&lt;wsp:rsid wsp:val=&quot;00445F4F&quot;/&gt;&lt;wsp:rsid wsp:val=&quot;00466922&quot;/&gt;&lt;wsp:rsid wsp:val=&quot;00475400&quot;/&gt;&lt;wsp:rsid wsp:val=&quot;004818B2&quot;/&gt;&lt;wsp:rsid wsp:val=&quot;004D60CE&quot;/&gt;&lt;wsp:rsid wsp:val=&quot;004D7B03&quot;/&gt;&lt;wsp:rsid wsp:val=&quot;004F45A1&quot;/&gt;&lt;wsp:rsid wsp:val=&quot;005001AB&quot;/&gt;&lt;wsp:rsid wsp:val=&quot;005055FB&quot;/&gt;&lt;wsp:rsid wsp:val=&quot;005212D6&quot;/&gt;&lt;wsp:rsid wsp:val=&quot;0052507D&quot;/&gt;&lt;wsp:rsid wsp:val=&quot;00530966&quot;/&gt;&lt;wsp:rsid wsp:val=&quot;00577F4B&quot;/&gt;&lt;wsp:rsid wsp:val=&quot;005A5548&quot;/&gt;&lt;wsp:rsid wsp:val=&quot;005B3458&quot;/&gt;&lt;wsp:rsid wsp:val=&quot;005E181A&quot;/&gt;&lt;wsp:rsid wsp:val=&quot;005E2471&quot;/&gt;&lt;wsp:rsid wsp:val=&quot;005E364A&quot;/&gt;&lt;wsp:rsid wsp:val=&quot;005F2F16&quot;/&gt;&lt;wsp:rsid wsp:val=&quot;006004AE&quot;/&gt;&lt;wsp:rsid wsp:val=&quot;00611AED&quot;/&gt;&lt;wsp:rsid wsp:val=&quot;006143EF&quot;/&gt;&lt;wsp:rsid wsp:val=&quot;006664BD&quot;/&gt;&lt;wsp:rsid wsp:val=&quot;00677F9E&quot;/&gt;&lt;wsp:rsid wsp:val=&quot;0068498E&quot;/&gt;&lt;wsp:rsid wsp:val=&quot;006B4119&quot;/&gt;&lt;wsp:rsid wsp:val=&quot;006C4F0C&quot;/&gt;&lt;wsp:rsid wsp:val=&quot;00714C85&quot;/&gt;&lt;wsp:rsid wsp:val=&quot;007375A8&quot;/&gt;&lt;wsp:rsid wsp:val=&quot;00746E20&quot;/&gt;&lt;wsp:rsid wsp:val=&quot;00752FED&quot;/&gt;&lt;wsp:rsid wsp:val=&quot;00754E92&quot;/&gt;&lt;wsp:rsid wsp:val=&quot;00764AF1&quot;/&gt;&lt;wsp:rsid wsp:val=&quot;00783C40&quot;/&gt;&lt;wsp:rsid wsp:val=&quot;007A379D&quot;/&gt;&lt;wsp:rsid wsp:val=&quot;007C42E1&quot;/&gt;&lt;wsp:rsid wsp:val=&quot;007D150B&quot;/&gt;&lt;wsp:rsid wsp:val=&quot;00814918&quot;/&gt;&lt;wsp:rsid wsp:val=&quot;008173D1&quot;/&gt;&lt;wsp:rsid wsp:val=&quot;00834E37&quot;/&gt;&lt;wsp:rsid wsp:val=&quot;00836BA1&quot;/&gt;&lt;wsp:rsid wsp:val=&quot;0085035A&quot;/&gt;&lt;wsp:rsid wsp:val=&quot;00851C5C&quot;/&gt;&lt;wsp:rsid wsp:val=&quot;00852D7D&quot;/&gt;&lt;wsp:rsid wsp:val=&quot;008825BE&quot;/&gt;&lt;wsp:rsid wsp:val=&quot;0089059E&quot;/&gt;&lt;wsp:rsid wsp:val=&quot;008A0CBF&quot;/&gt;&lt;wsp:rsid wsp:val=&quot;008E5495&quot;/&gt;&lt;wsp:rsid wsp:val=&quot;00900E0D&quot;/&gt;&lt;wsp:rsid wsp:val=&quot;00903627&quot;/&gt;&lt;wsp:rsid wsp:val=&quot;009052F7&quot;/&gt;&lt;wsp:rsid wsp:val=&quot;009079B8&quot;/&gt;&lt;wsp:rsid wsp:val=&quot;009223D0&quot;/&gt;&lt;wsp:rsid wsp:val=&quot;009269DF&quot;/&gt;&lt;wsp:rsid wsp:val=&quot;00933F99&quot;/&gt;&lt;wsp:rsid wsp:val=&quot;00957EB2&quot;/&gt;&lt;wsp:rsid wsp:val=&quot;00963E60&quot;/&gt;&lt;wsp:rsid wsp:val=&quot;00967FC3&quot;/&gt;&lt;wsp:rsid wsp:val=&quot;00976D49&quot;/&gt;&lt;wsp:rsid wsp:val=&quot;009F24D0&quot;/&gt;&lt;wsp:rsid wsp:val=&quot;00A01DA4&quot;/&gt;&lt;wsp:rsid wsp:val=&quot;00A133E8&quot;/&gt;&lt;wsp:rsid wsp:val=&quot;00A3278C&quot;/&gt;&lt;wsp:rsid wsp:val=&quot;00A66A79&quot;/&gt;&lt;wsp:rsid wsp:val=&quot;00A66DCE&quot;/&gt;&lt;wsp:rsid wsp:val=&quot;00A9465C&quot;/&gt;&lt;wsp:rsid wsp:val=&quot;00AA00FA&quot;/&gt;&lt;wsp:rsid wsp:val=&quot;00AA5855&quot;/&gt;&lt;wsp:rsid wsp:val=&quot;00AD28CA&quot;/&gt;&lt;wsp:rsid wsp:val=&quot;00AF30EF&quot;/&gt;&lt;wsp:rsid wsp:val=&quot;00B1238E&quot;/&gt;&lt;wsp:rsid wsp:val=&quot;00B23A8A&quot;/&gt;&lt;wsp:rsid wsp:val=&quot;00B25D6B&quot;/&gt;&lt;wsp:rsid wsp:val=&quot;00B26783&quot;/&gt;&lt;wsp:rsid wsp:val=&quot;00B32B9D&quot;/&gt;&lt;wsp:rsid wsp:val=&quot;00B9282F&quot;/&gt;&lt;wsp:rsid wsp:val=&quot;00B96161&quot;/&gt;&lt;wsp:rsid wsp:val=&quot;00BA7419&quot;/&gt;&lt;wsp:rsid wsp:val=&quot;00BB148E&quot;/&gt;&lt;wsp:rsid wsp:val=&quot;00BC32D2&quot;/&gt;&lt;wsp:rsid wsp:val=&quot;00BD70D6&quot;/&gt;&lt;wsp:rsid wsp:val=&quot;00BE7840&quot;/&gt;&lt;wsp:rsid wsp:val=&quot;00BF1130&quot;/&gt;&lt;wsp:rsid wsp:val=&quot;00C1499A&quot;/&gt;&lt;wsp:rsid wsp:val=&quot;00C22D9F&quot;/&gt;&lt;wsp:rsid wsp:val=&quot;00C31206&quot;/&gt;&lt;wsp:rsid wsp:val=&quot;00C3236C&quot;/&gt;&lt;wsp:rsid wsp:val=&quot;00C32B86&quot;/&gt;&lt;wsp:rsid wsp:val=&quot;00C33033&quot;/&gt;&lt;wsp:rsid wsp:val=&quot;00C35473&quot;/&gt;&lt;wsp:rsid wsp:val=&quot;00C61E0C&quot;/&gt;&lt;wsp:rsid wsp:val=&quot;00CA2E8A&quot;/&gt;&lt;wsp:rsid wsp:val=&quot;00CC1523&quot;/&gt;&lt;wsp:rsid wsp:val=&quot;00CE379F&quot;/&gt;&lt;wsp:rsid wsp:val=&quot;00D223FF&quot;/&gt;&lt;wsp:rsid wsp:val=&quot;00D2453A&quot;/&gt;&lt;wsp:rsid wsp:val=&quot;00D263F3&quot;/&gt;&lt;wsp:rsid wsp:val=&quot;00D303EA&quot;/&gt;&lt;wsp:rsid wsp:val=&quot;00D33A7D&quot;/&gt;&lt;wsp:rsid wsp:val=&quot;00D40A91&quot;/&gt;&lt;wsp:rsid wsp:val=&quot;00D54B18&quot;/&gt;&lt;wsp:rsid wsp:val=&quot;00D66D04&quot;/&gt;&lt;wsp:rsid wsp:val=&quot;00D7445A&quot;/&gt;&lt;wsp:rsid wsp:val=&quot;00D7741B&quot;/&gt;&lt;wsp:rsid wsp:val=&quot;00DC4075&quot;/&gt;&lt;wsp:rsid wsp:val=&quot;00DD125F&quot;/&gt;&lt;wsp:rsid wsp:val=&quot;00DD79C6&quot;/&gt;&lt;wsp:rsid wsp:val=&quot;00E1072B&quot;/&gt;&lt;wsp:rsid wsp:val=&quot;00E121A5&quot;/&gt;&lt;wsp:rsid wsp:val=&quot;00E54BDC&quot;/&gt;&lt;wsp:rsid wsp:val=&quot;00E56A7B&quot;/&gt;&lt;wsp:rsid wsp:val=&quot;00E611EF&quot;/&gt;&lt;wsp:rsid wsp:val=&quot;00E7661F&quot;/&gt;&lt;wsp:rsid wsp:val=&quot;00E837A2&quot;/&gt;&lt;wsp:rsid wsp:val=&quot;00E95528&quot;/&gt;&lt;wsp:rsid wsp:val=&quot;00E95529&quot;/&gt;&lt;wsp:rsid wsp:val=&quot;00EA0F04&quot;/&gt;&lt;wsp:rsid wsp:val=&quot;00EA6F4E&quot;/&gt;&lt;wsp:rsid wsp:val=&quot;00EB1EA6&quot;/&gt;&lt;wsp:rsid wsp:val=&quot;00EB3F66&quot;/&gt;&lt;wsp:rsid wsp:val=&quot;00EC451D&quot;/&gt;&lt;wsp:rsid wsp:val=&quot;00EC4EAD&quot;/&gt;&lt;wsp:rsid wsp:val=&quot;00EC7F59&quot;/&gt;&lt;wsp:rsid wsp:val=&quot;00EE708F&quot;/&gt;&lt;wsp:rsid wsp:val=&quot;00F012DC&quot;/&gt;&lt;wsp:rsid wsp:val=&quot;00F07E77&quot;/&gt;&lt;wsp:rsid wsp:val=&quot;00F26D64&quot;/&gt;&lt;wsp:rsid wsp:val=&quot;00F32557&quot;/&gt;&lt;wsp:rsid wsp:val=&quot;00F62ECB&quot;/&gt;&lt;wsp:rsid wsp:val=&quot;00F70BC4&quot;/&gt;&lt;wsp:rsid wsp:val=&quot;00F81E7F&quot;/&gt;&lt;wsp:rsid wsp:val=&quot;00F844F5&quot;/&gt;&lt;wsp:rsid wsp:val=&quot;00F97459&quot;/&gt;&lt;wsp:rsid wsp:val=&quot;00FA3547&quot;/&gt;&lt;wsp:rsid wsp:val=&quot;00FB0AAB&quot;/&gt;&lt;wsp:rsid wsp:val=&quot;00FB19EF&quot;/&gt;&lt;wsp:rsid wsp:val=&quot;00FB5AA3&quot;/&gt;&lt;wsp:rsid wsp:val=&quot;00FC2ECA&quot;/&gt;&lt;wsp:rsid wsp:val=&quot;00FC4EEA&quot;/&gt;&lt;wsp:rsid wsp:val=&quot;00FE6C54&quot;/&gt;&lt;/wsp:rsids&gt;&lt;/w:docPr&gt;&lt;w:body&gt;&lt;wx:sect&gt;&lt;w:p wsp:rsidR=&quot;00000000&quot; wsp:rsidRDefault=&quot;006143EF&quot; wsp:rsidP=&quot;006143EF&quot;&gt;&lt;m:oMathPara&gt;&lt;m:oMath&gt;&lt;m:sSub&gt;&lt;m:sSubPr&gt;&lt;m:ctrlPr&gt;&lt;w:rPr&gt;&lt;w:rFonts w:ascii=&quot;Cambria Math&quot; w:fareast=&quot;Cambria Math&quot; w:h-ansi=&quot;Cambria Math&quot;/&gt;&lt;wx:font wx:val=&quot;Cambria Math&quot;/&gt;&lt;w:i/&gt;&lt;w:sz w:val=&quot;24&quot;/&gt;&lt;/w:rPr&gt;&lt;/m:ctrlPr&gt;&lt;/m:sSubPr&gt;&lt;m:e&gt;&lt;m:r&gt;&lt;m:rPr&gt;&lt;m:nor/&gt;&lt;/m:rPr&gt;&lt;w:rPr&gt;&lt;w:rFonts w:fareast=&quot;Cambria Math&quot;/&gt;&lt;w:sz w:val=&quot;24&quot;/&gt;&lt;/w:rPr&gt;&lt;m:t&gt;u&lt;/m:t&gt;&lt;/m:r&gt;&lt;/m:e&gt;&lt;m:sub&gt;&lt;m:r&gt;&lt;m:rPr&gt;&lt;m:nor/&gt;&lt;/m:rPr&gt;&lt;w:rPr&gt;&lt;w:rFonts w:fareast=&quot;Cambria Math&quot;/&gt;&lt;w:sz w:val=&quot;24&quot;/&gt;&lt;/w:rPr&gt;&lt;m:t&gt;2&lt;/m:t&gt;&lt;/m:r&gt;&lt;/m:sub&gt;&lt;/m:sSub&gt;&lt;m:r&gt;&lt;m:rPr&gt;&lt;m:nor/&gt;&lt;/m:rPr&gt;&lt;w:rPr&gt;&lt;w:rFonts w:fareast=&quot;Cambria Math&quot;/&gt;&lt;w:sz w:val=&quot;24&quot;/&gt;&lt;/w:rPr&gt;&lt;m:t&gt;=&lt;/m:t&gt;&lt;/m:r&gt;&lt;m:f&gt;&lt;m:fPr&gt;&lt;m:ctrlPr&gt;&lt;w:rPr&gt;&lt;w:rFonts w:ascii=&quot;Cambria Math&quot; w:fareast=&quot;Cambria Math&quot; w:h-ansi=&quot;Cambria Math&quot;/&gt;&lt;wx:font wx:val=&quot;Cambria Math&quot;/&gt;&lt;w:sz w:val=&quot;24&quot;/&gt;&lt;/w:rPr&gt;&lt;/m:ctrlPr&gt;&lt;/m:fPr&gt;&lt;m:num&gt;&lt;m:r&gt;&lt;m:rPr&gt;&lt;m:nor/&gt;&lt;/m:rPr&gt;&lt;w:rPr&gt;&lt;w:rFonts w:fareast=&quot;Cambria Math&quot;/&gt;&lt;w:sz w:val=&quot;24&quot;/&gt;&lt;/w:rPr&gt;&lt;m:t&gt;0.005&lt;/m:t&gt;&lt;/m:r&gt;&lt;m:r&gt;&lt;m:rPr&gt;&lt;m:nor/&gt;&lt;/m:rPr&gt;&lt;w:rPr&gt;&lt;w:rFonts w:ascii=&quot;Cambria Math&quot; w:fareast=&quot;Cambria Math&quot;/&gt;&lt;wx:font wx:val=&quot;Cambria Math&quot;/&gt;&lt;w:sz w:val=&quot;24&quot;/&gt;&lt;/w:rPr&gt;&lt;m:t&gt;mm&lt;/m:t&gt;&lt;/m:r&gt;&lt;/m:num&gt;&lt;m:den&gt;&lt;m:rad&gt;&lt;m:radPr&gt;&lt;m:degHide m:val=&quot;1&quot;/&gt;&lt;m:ctrlPr&gt;&lt;w:rPr&gt;&lt;w:rFonts w:ascii=&quot;Cambria Math&quot; w:fareast=&quot;Cambria Math&quot; w:h-ansi=&quot;Cambria Math&quot;/&gt;&lt;wx:font wx:val=&quot;Cambria Math&quot;/&gt;&lt;w:sz w:val=&quot;24&quot;/&gt;&lt;/w:rPr&gt;&lt;/m:ctrlPr&gt;&lt;/m:radPr&gt;&lt;m:deg/&gt;&lt;m:e&gt;&lt;m:r&gt;&lt;m:rPr&gt;&lt;m:nor/&gt;&lt;/m:rPr&gt;&lt;w:rPr&gt;&lt;w:rFonts w:fareast=&quot;Cambria Math&quot;/&gt;&lt;w:sz w:val=&quot;24&quot;/&gt;&lt;/w:rPr&gt;&lt;m:t&gt;3&lt;/m:t&gt;&lt;/m:r&gt;&lt;/m:e&gt;&lt;/m:rad&gt;&lt;/m:den&gt;&lt;/m:f&gt;&lt;m:r&gt;&lt;m:rPr&gt;&lt;m:nor/&gt;&lt;/m:rPr&gt;&lt;w:rPr&gt;&lt;w:rFonts w:fareast=&quot;Cambria Math&quot;/&gt;&lt;w:sz w:val=&quot;24&quot;/&gt;&lt;/w:rPr&gt;&lt;m:t&gt;=0.003m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position w:val="-24"/>
          <w:sz w:val="24"/>
        </w:rPr>
        <w:instrText xml:space="preserve"> </w:instrText>
      </w:r>
      <w:r>
        <w:rPr>
          <w:position w:val="-24"/>
          <w:sz w:val="24"/>
        </w:rPr>
        <w:fldChar w:fldCharType="separate"/>
      </w:r>
      <w:r>
        <w:rPr>
          <w:position w:val="-24"/>
          <w:sz w:val="24"/>
        </w:rPr>
        <w:fldChar w:fldCharType="end"/>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sz w:val="24"/>
              </w:rPr>
            </w:pPr>
            <w:r>
              <w:rPr>
                <w:sz w:val="24"/>
              </w:rPr>
              <w:t>标准不确定度分量</w:t>
            </w:r>
            <w:r>
              <w:rPr>
                <w:i/>
                <w:iCs/>
                <w:sz w:val="24"/>
              </w:rPr>
              <w:t>u</w:t>
            </w:r>
            <w:r>
              <w:rPr>
                <w:sz w:val="24"/>
                <w:vertAlign w:val="subscript"/>
              </w:rPr>
              <w:t>c</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r>
              <w:rPr>
                <w:i/>
                <w:iCs/>
                <w:sz w:val="24"/>
              </w:rPr>
              <w:t>u</w:t>
            </w:r>
            <w:r>
              <w:rPr>
                <w:sz w:val="24"/>
              </w:rPr>
              <w:t>（m</w:t>
            </w:r>
            <w:r>
              <w:rPr>
                <w:sz w:val="24"/>
                <w:vertAlign w:val="subscript"/>
              </w:rPr>
              <w:t>i</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sz w:val="24"/>
              </w:rPr>
            </w:pPr>
            <w:r>
              <w:rPr>
                <w:sz w:val="24"/>
              </w:rPr>
              <w:t>标准不确定度</w:t>
            </w:r>
            <w:r>
              <w:rPr>
                <w:i/>
                <w:iCs/>
                <w:sz w:val="24"/>
              </w:rPr>
              <w:t>u</w:t>
            </w:r>
            <w:r>
              <w:rPr>
                <w:sz w:val="24"/>
                <w:vertAlign w:val="subscript"/>
              </w:rPr>
              <w:t>1</w:t>
            </w:r>
          </w:p>
        </w:tc>
        <w:tc>
          <w:tcPr>
            <w:tcW w:w="4275" w:type="dxa"/>
          </w:tcPr>
          <w:p>
            <w:pPr>
              <w:widowControl/>
              <w:adjustRightInd w:val="0"/>
              <w:spacing w:line="360" w:lineRule="auto"/>
              <w:rPr>
                <w:sz w:val="24"/>
              </w:rPr>
            </w:pPr>
            <w:r>
              <w:rPr>
                <w:sz w:val="24"/>
              </w:rPr>
              <w:t>测量重复性</w:t>
            </w:r>
          </w:p>
        </w:tc>
        <w:tc>
          <w:tcPr>
            <w:tcW w:w="2246" w:type="dxa"/>
            <w:vAlign w:val="center"/>
          </w:tcPr>
          <w:p>
            <w:pPr>
              <w:widowControl/>
              <w:adjustRightInd w:val="0"/>
              <w:spacing w:line="360" w:lineRule="auto"/>
              <w:jc w:val="center"/>
              <w:rPr>
                <w:sz w:val="24"/>
              </w:rPr>
            </w:pPr>
            <w:r>
              <w:rPr>
                <w:sz w:val="24"/>
              </w:rPr>
              <w:t>0.025mm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sz w:val="24"/>
              </w:rPr>
            </w:pPr>
            <w:r>
              <w:rPr>
                <w:sz w:val="24"/>
              </w:rPr>
              <w:t>标准不确定度</w:t>
            </w:r>
            <w:r>
              <w:rPr>
                <w:i/>
                <w:iCs/>
                <w:sz w:val="24"/>
              </w:rPr>
              <w:t>u</w:t>
            </w:r>
            <w:r>
              <w:rPr>
                <w:sz w:val="24"/>
                <w:vertAlign w:val="subscript"/>
              </w:rPr>
              <w:t>2</w:t>
            </w:r>
          </w:p>
        </w:tc>
        <w:tc>
          <w:tcPr>
            <w:tcW w:w="4275" w:type="dxa"/>
          </w:tcPr>
          <w:p>
            <w:pPr>
              <w:widowControl/>
              <w:adjustRightInd w:val="0"/>
              <w:spacing w:line="360" w:lineRule="auto"/>
              <w:rPr>
                <w:sz w:val="24"/>
              </w:rPr>
            </w:pPr>
            <w:r>
              <w:rPr>
                <w:sz w:val="24"/>
              </w:rPr>
              <w:t>测量设备</w:t>
            </w:r>
            <w:r>
              <w:rPr>
                <w:rFonts w:hint="eastAsia"/>
                <w:sz w:val="24"/>
              </w:rPr>
              <w:t>的</w:t>
            </w:r>
            <w:r>
              <w:rPr>
                <w:sz w:val="24"/>
              </w:rPr>
              <w:t>示值误差</w:t>
            </w:r>
          </w:p>
        </w:tc>
        <w:tc>
          <w:tcPr>
            <w:tcW w:w="2246" w:type="dxa"/>
            <w:vAlign w:val="center"/>
          </w:tcPr>
          <w:p>
            <w:pPr>
              <w:widowControl/>
              <w:tabs>
                <w:tab w:val="center" w:pos="4612"/>
              </w:tabs>
              <w:adjustRightInd w:val="0"/>
              <w:spacing w:line="360" w:lineRule="auto"/>
              <w:jc w:val="center"/>
              <w:rPr>
                <w:sz w:val="24"/>
              </w:rPr>
            </w:pPr>
            <w:r>
              <w:rPr>
                <w:sz w:val="24"/>
              </w:rPr>
              <w:t>0.00</w:t>
            </w:r>
            <w:r>
              <w:rPr>
                <w:rFonts w:hint="eastAsia"/>
                <w:sz w:val="24"/>
              </w:rPr>
              <w:t>4</w:t>
            </w:r>
            <w:r>
              <w:rPr>
                <w:sz w:val="24"/>
              </w:rPr>
              <w:t>mm</w:t>
            </w:r>
          </w:p>
        </w:tc>
      </w:tr>
    </w:tbl>
    <w:p>
      <w:pPr>
        <w:spacing w:line="360" w:lineRule="auto"/>
        <w:rPr>
          <w:sz w:val="24"/>
        </w:rPr>
      </w:pPr>
    </w:p>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r>
        <w:rPr>
          <w:rFonts w:hint="eastAsia"/>
          <w:sz w:val="24"/>
        </w:rPr>
        <w:t>：</w:t>
      </w:r>
    </w:p>
    <w:p>
      <w:pPr>
        <w:spacing w:line="360" w:lineRule="auto"/>
        <w:ind w:firstLine="480" w:firstLineChars="200"/>
        <w:rPr>
          <w:sz w:val="24"/>
        </w:rPr>
      </w:pPr>
      <w:r>
        <w:rPr>
          <w:position w:val="-20"/>
          <w:sz w:val="24"/>
          <w:vertAlign w:val="subscript"/>
        </w:rPr>
        <w:object>
          <v:shape id="_x0000_i1032" o:spt="75" type="#_x0000_t75" style="height:28pt;width:230pt;" o:ole="t" filled="f" o:preferrelative="t" stroked="f" coordsize="21600,21600">
            <v:path/>
            <v:fill on="f" focussize="0,0"/>
            <v:stroke on="f" joinstyle="miter"/>
            <v:imagedata r:id="rId19" o:title=""/>
            <o:lock v:ext="edit" aspectratio="t"/>
            <w10:wrap type="none"/>
            <w10:anchorlock/>
          </v:shape>
          <o:OLEObject Type="Embed" ProgID="Equation.KSEE3" ShapeID="_x0000_i1032" DrawAspect="Content" ObjectID="_1468075731" r:id="rId18">
            <o:LockedField>false</o:LockedField>
          </o:OLEObject>
        </w:object>
      </w:r>
      <w:r>
        <w:rPr>
          <w:sz w:val="24"/>
        </w:rPr>
        <w:fldChar w:fldCharType="begin"/>
      </w:r>
      <w:r>
        <w:rPr>
          <w:sz w:val="24"/>
        </w:rPr>
        <w:instrText xml:space="preserve"> QUOTE </w:instrText>
      </w:r>
      <w:r>
        <w:rPr>
          <w:position w:val="-20"/>
        </w:rPr>
        <w:pict>
          <v:shape id="_x0000_i1033" o:spt="75" type="#_x0000_t75" style="height:31.5pt;width:147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mirrorMargins/&gt;&lt;w:bordersDontSurroundHeader/&gt;&lt;w:bordersDontSurroundFooter/&gt;&lt;w:hideGrammaticalErrors/&gt;&lt;w:stylePaneFormatFilter w:val=&quot;3F01&quot;/&gt;&lt;w:defaultTabStop w:val=&quot;420&quot;/&gt;&lt;w:defaultTableStyle w:sti=&quot;0&quot; w:val=&quot;正文&quot;/&gt;&lt;w:dra00wi&quot;/ngGridHorizontalSpacing w:val=&quot;105&quot;/&gt;&lt;w:drawingGridVerticalSpacing w:val=&quot;156&quot;/&gt;&lt;w:displayHorizontalDrawingGridEvery w:val=&quot;0&quot;/&gt;&lt;w:punctuationKerning/&gt;&lt;w:characterSpacingControl w:val=&quot;CompressPunctuation&quot;/&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useFELayout/&gt;&lt;/w:compat&gt;&lt;wsp:rsids&gt;&lt;wsp:rsidRoot wsp:val=&quot;00E54BDC&quot;/&gt;&lt;wsp:rsid wsp:val=&quot;00000C49&quot;/&gt;&lt;wsp:rsid wsp:val=&quot;0001410C&quot;/&gt;&lt;wsp:rsid wsp:val=&quot;000216FF&quot;/&gt;&lt;wsp:rsid wsp:val=&quot;000220B3&quot;/&gt;&lt;wsp:rsid wsp:val=&quot;00025E4A&quot;/&gt;&lt;wsp:rsid wsp:val=&quot;000417A2&quot;/&gt;&lt;wsp:rsid wsp:val=&quot;00044C6B&quot;/&gt;&lt;wsp:rsid wsp:val=&quot;000552F4&quot;/&gt;&lt;wsp:rsid wsp:val=&quot;0009352C&quot;/&gt;&lt;wsp:rsid wsp:val=&quot;000A0050&quot;/&gt;&lt;wsp:rsid wsp:val=&quot;000A3271&quot;/&gt;&lt;wsp:rsid wsp:val=&quot;000B3BC9&quot;/&gt;&lt;wsp:rsid wsp:val=&quot;000B4F65&quot;/&gt;&lt;wsp:rsid wsp:val=&quot;00102092&quot;/&gt;&lt;wsp:rsid wsp:val=&quot;0012559A&quot;/&gt;&lt;wsp:rsid wsp:val=&quot;001355A0&quot;/&gt;&lt;wsp:rsid wsp:val=&quot;001646C2&quot;/&gt;&lt;wsp:rsid wsp:val=&quot;001A635A&quot;/&gt;&lt;wsp:rsid wsp:val=&quot;001B65ED&quot;/&gt;&lt;wsp:rsid wsp:val=&quot;001C0C1E&quot;/&gt;&lt;wsp:rsid wsp:val=&quot;001C0F10&quot;/&gt;&lt;wsp:rsid wsp:val=&quot;001C790B&quot;/&gt;&lt;wsp:rsid wsp:val=&quot;0020436E&quot;/&gt;&lt;wsp:rsid wsp:val=&quot;00211059&quot;/&gt;&lt;wsp:rsid wsp:val=&quot;0021590A&quot;/&gt;&lt;wsp:rsid wsp:val=&quot;002271CE&quot;/&gt;&lt;wsp:rsid wsp:val=&quot;00246640&quot;/&gt;&lt;wsp:rsid wsp:val=&quot;00254F5E&quot;/&gt;&lt;wsp:rsid wsp:val=&quot;00257DCF&quot;/&gt;&lt;wsp:rsid wsp:val=&quot;00275E12&quot;/&gt;&lt;wsp:rsid wsp:val=&quot;002839E3&quot;/&gt;&lt;wsp:rsid wsp:val=&quot;002E0560&quot;/&gt;&lt;wsp:rsid wsp:val=&quot;002E485B&quot;/&gt;&lt;wsp:rsid wsp:val=&quot;002F0818&quot;/&gt;&lt;wsp:rsid wsp:val=&quot;002F3EA6&quot;/&gt;&lt;wsp:rsid wsp:val=&quot;0030186D&quot;/&gt;&lt;wsp:rsid wsp:val=&quot;00302919&quot;/&gt;&lt;wsp:rsid wsp:val=&quot;00325E2D&quot;/&gt;&lt;wsp:rsid wsp:val=&quot;00326993&quot;/&gt;&lt;wsp:rsid wsp:val=&quot;0034276B&quot;/&gt;&lt;wsp:rsid wsp:val=&quot;003658D9&quot;/&gt;&lt;wsp:rsid wsp:val=&quot;003A1243&quot;/&gt;&lt;wsp:rsid wsp:val=&quot;003B43F1&quot;/&gt;&lt;wsp:rsid wsp:val=&quot;003C6C00&quot;/&gt;&lt;wsp:rsid wsp:val=&quot;003D2F99&quot;/&gt;&lt;wsp:rsid wsp:val=&quot;003D4821&quot;/&gt;&lt;wsp:rsid wsp:val=&quot;00413117&quot;/&gt;&lt;wsp:rsid wsp:val=&quot;004139FE&quot;/&gt;&lt;wsp:rsid wsp:val=&quot;00432992&quot;/&gt;&lt;wsp:rsid wsp:val=&quot;00445F4F&quot;/&gt;&lt;wsp:rsid wsp:val=&quot;00466922&quot;/&gt;&lt;wsp:rsid wsp:val=&quot;00475400&quot;/&gt;&lt;wsp:rsid wsp:val=&quot;004818B2&quot;/&gt;&lt;wsp:rsid wsp:val=&quot;004D60CE&quot;/&gt;&lt;wsp:rsid wsp:val=&quot;004D7B03&quot;/&gt;&lt;wsp:rsid wsp:val=&quot;004F45A1&quot;/&gt;&lt;wsp:rsid wsp:val=&quot;005001AB&quot;/&gt;&lt;wsp:rsid wsp:val=&quot;005055FB&quot;/&gt;&lt;wsp:rsid wsp:val=&quot;005212D6&quot;/&gt;&lt;wsp:rsid wsp:val=&quot;0052507D&quot;/&gt;&lt;wsp:rsid wsp:val=&quot;00530966&quot;/&gt;&lt;wsp:rsid wsp:val=&quot;00577F4B&quot;/&gt;&lt;wsp:rsid wsp:val=&quot;005A5548&quot;/&gt;&lt;wsp:rsid wsp:val=&quot;005B3458&quot;/&gt;&lt;wsp:rsid wsp:val=&quot;005E181A&quot;/&gt;&lt;wsp:rsid wsp:val=&quot;005E2471&quot;/&gt;&lt;wsp:rsid wsp:val=&quot;005E364A&quot;/&gt;&lt;wsp:rsid wsp:val=&quot;005F2F16&quot;/&gt;&lt;wsp:rsid wsp:val=&quot;006004AE&quot;/&gt;&lt;wsp:rsid wsp:val=&quot;00611AED&quot;/&gt;&lt;wsp:rsid wsp:val=&quot;006664BD&quot;/&gt;&lt;wsp:rsid wsp:val=&quot;00677F9E&quot;/&gt;&lt;wsp:rsid wsp:val=&quot;0068498E&quot;/&gt;&lt;wsp:rsid wsp:val=&quot;006B4119&quot;/&gt;&lt;wsp:rsid wsp:val=&quot;006C4F0C&quot;/&gt;&lt;wsp:rsid wsp:val=&quot;00714C85&quot;/&gt;&lt;wsp:rsid wsp:val=&quot;007375A8&quot;/&gt;&lt;wsp:rsid wsp:val=&quot;00746E20&quot;/&gt;&lt;wsp:rsid wsp:val=&quot;00752FED&quot;/&gt;&lt;wsp:rsid wsp:val=&quot;00754E92&quot;/&gt;&lt;wsp:rsid wsp:val=&quot;00764AF1&quot;/&gt;&lt;wsp:rsid wsp:val=&quot;00783C40&quot;/&gt;&lt;wsp:rsid wsp:val=&quot;007A379D&quot;/&gt;&lt;wsp:rsid wsp:val=&quot;007C42E1&quot;/&gt;&lt;wsp:rsid wsp:val=&quot;007D150B&quot;/&gt;&lt;wsp:rsid wsp:val=&quot;00814918&quot;/&gt;&lt;wsp:rsid wsp:val=&quot;008173D1&quot;/&gt;&lt;wsp:rsid wsp:val=&quot;00834E37&quot;/&gt;&lt;wsp:rsid wsp:val=&quot;00836BA1&quot;/&gt;&lt;wsp:rsid wsp:val=&quot;0085035A&quot;/&gt;&lt;wsp:rsid wsp:val=&quot;00851C5C&quot;/&gt;&lt;wsp:rsid wsp:val=&quot;00852D7D&quot;/&gt;&lt;wsp:rsid wsp:val=&quot;008825BE&quot;/&gt;&lt;wsp:rsid wsp:val=&quot;0089059E&quot;/&gt;&lt;wsp:rsid wsp:val=&quot;008A0CBF&quot;/&gt;&lt;wsp:rsid wsp:val=&quot;008E5495&quot;/&gt;&lt;wsp:rsid wsp:val=&quot;00900E0D&quot;/&gt;&lt;wsp:rsid wsp:val=&quot;00903627&quot;/&gt;&lt;wsp:rsid wsp:val=&quot;009052F7&quot;/&gt;&lt;wsp:rsid wsp:val=&quot;009079B8&quot;/&gt;&lt;wsp:rsid wsp:val=&quot;009223D0&quot;/&gt;&lt;wsp:rsid wsp:val=&quot;009269DF&quot;/&gt;&lt;wsp:rsid wsp:val=&quot;00933F99&quot;/&gt;&lt;wsp:rsid wsp:val=&quot;00957EB2&quot;/&gt;&lt;wsp:rsid wsp:val=&quot;00963E60&quot;/&gt;&lt;wsp:rsid wsp:val=&quot;00967FC3&quot;/&gt;&lt;wsp:rsid wsp:val=&quot;00976D49&quot;/&gt;&lt;wsp:rsid wsp:val=&quot;009F24D0&quot;/&gt;&lt;wsp:rsid wsp:val=&quot;00A01DA4&quot;/&gt;&lt;wsp:rsid wsp:val=&quot;00A133E8&quot;/&gt;&lt;wsp:rsid wsp:val=&quot;00A3278C&quot;/&gt;&lt;wsp:rsid wsp:val=&quot;00A66A79&quot;/&gt;&lt;wsp:rsid wsp:val=&quot;00A66DCE&quot;/&gt;&lt;wsp:rsid wsp:val=&quot;00A9465C&quot;/&gt;&lt;wsp:rsid wsp:val=&quot;00AA00FA&quot;/&gt;&lt;wsp:rsid wsp:val=&quot;00AA5855&quot;/&gt;&lt;wsp:rsid wsp:val=&quot;00AD28CA&quot;/&gt;&lt;wsp:rsid wsp:val=&quot;00AF30EF&quot;/&gt;&lt;wsp:rsid wsp:val=&quot;00B1238E&quot;/&gt;&lt;wsp:rsid wsp:val=&quot;00B23A8A&quot;/&gt;&lt;wsp:rsid wsp:val=&quot;00B25D6B&quot;/&gt;&lt;wsp:rsid wsp:val=&quot;00B26783&quot;/&gt;&lt;wsp:rsid wsp:val=&quot;00B32B9D&quot;/&gt;&lt;wsp:rsid wsp:val=&quot;00B9282F&quot;/&gt;&lt;wsp:rsid wsp:val=&quot;00B96161&quot;/&gt;&lt;wsp:rsid wsp:val=&quot;00BA7419&quot;/&gt;&lt;wsp:rsid wsp:val=&quot;00BB148E&quot;/&gt;&lt;wsp:rsid wsp:val=&quot;00BC32D2&quot;/&gt;&lt;wsp:rsid wsp:val=&quot;00BD70D6&quot;/&gt;&lt;wsp:rsid wsp:val=&quot;00BE7840&quot;/&gt;&lt;wsp:rsid wsp:val=&quot;00BF1130&quot;/&gt;&lt;wsp:rsid wsp:val=&quot;00C1499A&quot;/&gt;&lt;wsp:rsid wsp:val=&quot;00C22D9F&quot;/&gt;&lt;wsp:rsid wsp:val=&quot;00C31206&quot;/&gt;&lt;wsp:rsid wsp:val=&quot;00C3236C&quot;/&gt;&lt;wsp:rsid wsp:val=&quot;00C32B86&quot;/&gt;&lt;wsp:rsid wsp:val=&quot;00C33033&quot;/&gt;&lt;wsp:rsid wsp:val=&quot;00C35473&quot;/&gt;&lt;wsp:rsid wsp:val=&quot;00C61E0C&quot;/&gt;&lt;wsp:rsid wsp:val=&quot;00CA2E8A&quot;/&gt;&lt;wsp:rsid wsp:val=&quot;00CC1523&quot;/&gt;&lt;wsp:rsid wsp:val=&quot;00CE379F&quot;/&gt;&lt;wsp:rsid wsp:val=&quot;00D223FF&quot;/&gt;&lt;wsp:rsid wsp:val=&quot;00D2453A&quot;/&gt;&lt;wsp:rsid wsp:val=&quot;00D263F3&quot;/&gt;&lt;wsp:rsid wsp:val=&quot;00D303EA&quot;/&gt;&lt;wsp:rsid wsp:val=&quot;00D33A7D&quot;/&gt;&lt;wsp:rsid wsp:val=&quot;00D40A91&quot;/&gt;&lt;wsp:rsid wsp:val=&quot;00D54B18&quot;/&gt;&lt;wsp:rsid wsp:val=&quot;00D66D04&quot;/&gt;&lt;wsp:rsid wsp:val=&quot;00D7445A&quot;/&gt;&lt;wsp:rsid wsp:val=&quot;00D7741B&quot;/&gt;&lt;wsp:rsid wsp:val=&quot;00DC4075&quot;/&gt;&lt;wsp:rsid wsp:val=&quot;00DD125F&quot;/&gt;&lt;wsp:rsid wsp:val=&quot;00DD79C6&quot;/&gt;&lt;wsp:rsid wsp:val=&quot;00E1072B&quot;/&gt;&lt;wsp:rsid wsp:val=&quot;00E121A5&quot;/&gt;&lt;wsp:rsid wsp:val=&quot;00E54BDC&quot;/&gt;&lt;wsp:rsid wsp:val=&quot;00E56A7B&quot;/&gt;&lt;wsp:rsid wsp:val=&quot;00E611EF&quot;/&gt;&lt;wsp:rsid wsp:val=&quot;00E7661F&quot;/&gt;&lt;wsp:rsid wsp:val=&quot;00E837A2&quot;/&gt;&lt;wsp:rsid wsp:val=&quot;00E95528&quot;/&gt;&lt;wsp:rsid wsp:val=&quot;00E95529&quot;/&gt;&lt;wsp:rsid wsp:val=&quot;00EA0F04&quot;/&gt;&lt;wsp:rsid wsp:val=&quot;00EA6F4E&quot;/&gt;&lt;wsp:rsid wsp:val=&quot;00EB1EA6&quot;/&gt;&lt;wsp:rsid wsp:val=&quot;00EB3F66&quot;/&gt;&lt;wsp:rsid wsp:val=&quot;00EC451D&quot;/&gt;&lt;wsp:rsid wsp:val=&quot;00EC4EAD&quot;/&gt;&lt;wsp:rsid wsp:val=&quot;00EC7F59&quot;/&gt;&lt;wsp:rsid wsp:val=&quot;00EE708F&quot;/&gt;&lt;wsp:rsid wsp:val=&quot;00F012DC&quot;/&gt;&lt;wsp:rsid wsp:val=&quot;00F07E77&quot;/&gt;&lt;wsp:rsid wsp:val=&quot;00F26D64&quot;/&gt;&lt;wsp:rsid wsp:val=&quot;00F32557&quot;/&gt;&lt;wsp:rsid wsp:val=&quot;00F62ECB&quot;/&gt;&lt;wsp:rsid wsp:val=&quot;00F70BC4&quot;/&gt;&lt;wsp:rsid wsp:val=&quot;00F81E7F&quot;/&gt;&lt;wsp:rsid wsp:val=&quot;00F844F5&quot;/&gt;&lt;wsp:rsid wsp:val=&quot;00F97459&quot;/&gt;&lt;wsp:rsid wsp:val=&quot;00FA3547&quot;/&gt;&lt;wsp:rsid wsp:val=&quot;00FB0AAB&quot;/&gt;&lt;wsp:rsid wsp:val=&quot;00FB19EF&quot;/&gt;&lt;wsp:rsid wsp:val=&quot;00FB5AA3&quot;/&gt;&lt;wsp:rsid wsp:val=&quot;00FC2ECA&quot;/&gt;&lt;wsp:rsid wsp:val=&quot;00FC4EEA&quot;/&gt;&lt;wsp:rsid wsp:val=&quot;00FE6C54&quot;/&gt;&lt;/wsp:rsids&gt;&lt;/w:docPr&gt;&lt;w:body&gt;&lt;wx:sect&gt;&lt;w:p wsp:rsidR=&quot;00000000&quot; wsp:rsidRDefault=&quot;000417A2&quot; wsp:rsidP=&quot;000417A2&quot;&gt;&lt;m:oMathPara&gt;&lt;m:oMath&gt;&lt;m:sSub&gt;&lt;m:sSubPr&gt;&lt;m:ctrlPr&gt;&lt;w:rPr&gt;&lt;w:rFonts w:ascii=&quot;Cambria Math&quot; w:h-ansi=&quot;Cambria Math&quot;/&gt;&lt;wx:font wx:val=&quot;Cambria Math&quot;/&gt;&lt;w:sz w:val=&quot;24&quot;/&gt;&lt;/w:rPr&gt;&lt;/m:ctrlPr&gt;&lt;/m:sSubPr&gt;&lt;m:e&gt;&lt;m:r&gt;&lt;m:rPr&gt;&lt;m:nor/&gt;&lt;/m:rPr&gt;&lt;w:rPr&gt;&lt;w:sz w:val=&quot;24&quot;/&gt;&lt;/w:rPr&gt;&lt;m:t&gt;u&lt;/m:t&gt;&lt;/m:r&gt;&lt;/m:e&gt;&lt;m:sub&gt;&lt;m:r&gt;&lt;m:rPr&gt;&lt;m:nor/&gt;&lt;/m:rPr&gt;&lt;w:rPr&gt;&lt;w:sz w:val=&quot;24&quot;/&gt;&lt;/w:rPr&gt;&lt;m:t&gt;c&lt;/m:t&gt;&lt;/m:r&gt;&lt;/m:sub&gt;&lt;/m:sSub&gt;&lt;m:r&gt;&lt;m:rPr&gt;&lt;m:nor/&gt;&lt;/m:rPr&gt;&lt;w:rPr&gt;&lt;w:sz w:val=&quot;24&quot;/&gt;&lt;/w:rPr&gt;&lt;m:t&gt;=&lt;/m:t&gt;&lt;/m:r&gt;&lt;m:rad&gt;&lt;m:radPr&gt;&lt;m:degHide m:val=&quot;1&quot;/&gt;&lt;m:ctrlPr&gt;&lt;w:rPr&gt;&lt;w:rFonts w:ascii=&quot;Cambria Math&quot; w:h-ansi=&quot;Cambria Math&quot;/&gt;&lt;wx:font wx:val=&quot;Cambria Math&quot;/&gt;&lt;w:i/&gt;&lt;w:sz w:val=&quot;24&quot;/&gt;&lt;/w:rPr&gt;&lt;/m:ctrlPr&gt;&lt;/m:radPr&gt;&lt;m:deg/&gt;&lt;m:e&gt;&lt;m:sSubSup&gt;&lt;m:sSubSupPr&gt;&lt;m:ctrlPr&gt;&lt;w:rPr&gt;&lt;w:rFonts w:ascii=&quot;Cambria Math&quot; w:h-ansi=&quot;Cambria Math&quot;/&gt;&lt;wx:font wx:val=&quot;Cambria Math&quot;/&gt;&lt;w:i/&gt;&lt;w:sz w:val=&quot;24&quot;/&gt;&lt;/w:rPr&gt;&lt;/m:ctrlPr&gt;&lt;/m:sSubSupPr&gt;&lt;m:e&gt;&lt;m:r&gt;&lt;m:rPr&gt;&lt;m:nor/&gt;&lt;/m:rPr&gt;&lt;w:rPr&gt;&lt;w:sz w:val=&quot;24&quot;/&gt;&lt;/w:rPr&gt;&lt;m:t&gt;u&lt;/m:t&gt;&lt;/m:r&gt;&lt;/m:e&gt;&lt;m:sub&gt;&lt;m:r&gt;&lt;m:rPr&gt;&lt;m:nor/&gt;&lt;/m:rPr&gt;&lt;w:rPr&gt;&lt;w:sz w:val=&quot;24&quot;/&gt;&lt;/w:rPr&gt;&lt;m:t&gt;1&lt;/m:t&gt;&lt;/m:r&gt;&lt;/m:sub&gt;&lt;m:sup&gt;&lt;m:r&gt;&lt;m:rPr&gt;&lt;m:nor/&gt;&lt;/m:rPr&gt;&lt;w:rPr&gt;&lt;w:sz w:val=&quot;24&quot;/&gt;&lt;/w:rPr&gt;&lt;m:t&gt;2&lt;/m:t&gt;&lt;/m:r&gt;&lt;/m:sup&gt;&lt;/m:sSubSup&gt;&lt;m:r&gt;&lt;m:rPr&gt;&lt;m:nor/&gt;&lt;/m:rPr&gt;&lt;w:rPr&gt;&lt;w:sz w:val=&quot;24&quot;/&gt;&lt;/w:rPr&gt;&lt;m:t&gt;+&lt;/m:t&gt;&lt;/m:r&gt;&lt;m:sSubSup&gt;&lt;m:sSubSupPr&gt;&lt;m:ctrlPr&gt;&lt;w:rPr&gt;&lt;w:rFonts w:ascii=&quot;Cambria Math&quot; w:h-ansi=&quot;Cambria Math&quot;/&gt;&lt;wx:font wx:val=&quot;Cambria Math&quot;/&gt;&lt;w:i/&gt;&lt;w:sz w:val=&quot;24&quot;/&gt;&lt;/w:rPr&gt;&lt;/m:ctrlPr&gt;&lt;/m:sSubSupPr&gt;&lt;m:e&gt;&lt;m:r&gt;&lt;m:rPr&gt;&lt;m:nor/&gt;&lt;/m:rPr&gt;&lt;w:rPr&gt;&lt;w:sz w:val=&quot;24&quot;/&gt;&lt;/w:rPr&gt;&lt;m:t&gt;u&lt;/m:t&gt;&lt;/m:r&gt;&lt;/m:e&gt;&lt;m:sub&gt;&lt;m:r&gt;&lt;m:rPr&gt;&lt;m:nor/&gt;&lt;/m:rPr&gt;&lt;w:rPr&gt;&lt;w:sz w:val=&quot;24&quot;/&gt;&lt;/w:rPr&gt;&lt;m:t&gt;2&lt;/m:t&gt;&lt;/m:r&gt;&lt;/m:sub&gt;&lt;m:sup&gt;&lt;m:r&gt;&lt;m:rPr&gt;&lt;m:nor/&gt;&lt;/m:rPr&gt;&lt;w:rPr&gt;&lt;w:sz w:val=&quot;24&quot;/&gt;&lt;/w:rPr&gt;&lt;m:t&gt;2&lt;/m:t&gt;&lt;/m:r&gt;&lt;/m:sup&gt;&lt;/m:sSubSup&gt;&lt;/m:e&gt;&lt;/m:rad&gt;&lt;m:r&gt;&lt;m:rPr&gt;&lt;m:nor/&gt;&lt;/m:rPr&gt;&lt;w:rPr&gt;&lt;w:sz w:val=&quot;24&quot;/&gt;&lt;/w:rPr&gt;&lt;m:t&gt;=&lt;/m:t&gt;&lt;/m:r&gt;&lt;m:rad&gt;&lt;m:radPr&gt;&lt;m:degHide m:val=&quot;1&quot;/&gt;&lt;m:ctrlPr&gt;&lt;w:rPr&gt;&lt;w:rFonts w:ascii=&quot;Cambria Math&quot; w:h-ansi=&quot;Cambria Math&quot;/&gt;&lt;wx:font wx:val=&quot;Cambria Math&quot;/&gt;&lt;w:i/&gt;&lt;w:sz w:val=&quot;24&quot;/&gt;&lt;/w:rPr&gt;&lt;/m:ctrlPr&gt;&lt;/m:radPr&gt;&lt;m:deg/&gt;&lt;m:e&gt;&lt;m:sSup&gt;&lt;m:sSupPr&gt;&lt;m:ctrlPr&gt;&lt;w:rPr&gt;&lt;w:rFonts w:ascii=&quot;Cambria Math&quot; w:h-ansi=&quot;Cambria Math&quot;/&gt;&lt;wx:font wx:val=&quot;Cambria Math&quot;/&gt;&lt;w:i/&gt;&lt;w:sz w:val=&quot;24&quot;/&gt;&lt;/w:rPr&gt;&lt;/m:ctrlPr&gt;&lt;/m:sSupPr&gt;&lt;m:e&gt;&lt;m:r&gt;&lt;m:rPr&gt;&lt;m:nor/&gt;&lt;/m:rPr&gt;&lt;w:rPr&gt;&lt;w:sz w:val=&quot;24&quot;/&gt;&lt;/w:rPr&gt;&lt;m:t&gt;0.025&lt;/m:t&gt;&lt;/m:r&gt;&lt;/m:e&gt;&lt;m:sup&gt;&lt;m:r&gt;&lt;m:rPr&gt;&lt;m:nor/&gt;&lt;/m:rPr&gt;&lt;w:rPr&gt;&lt;w:sz w:val=&quot;24&quot;/&gt;&lt;/w:rPr&gt;&lt;m:t&gt;2&lt;/m:t&gt;&lt;/m:r&gt;&lt;/m:sup&gt;&lt;/m:sSup&gt;&lt;m:r&gt;&lt;m:rPr&gt;&lt;m:nor/&gt;&lt;/m:rPr&gt;&lt;w:rPr&gt;&lt;w:sz w:val=&quot;24&quot;/&gt;&lt;/w:rPr&gt;&lt;m:t&gt;+&lt;/m:t&gt;&lt;/m:r&gt;&lt;m:sSup&gt;&lt;m:sSupPr&gt;&lt;m:ctrlPr&gt;&lt;w:rPr&gt;&lt;w:rFonts w:ascii=&quot;Cambria Math&quot; w:h-ansi=&quot;Cambria Math&quot;/&gt;&lt;wx:font wx:val=&quot;Cambria Math&quot;/&gt;&lt;w:i/&gt;&lt;w:sz w:val=&quot;24&quot;/&gt;&lt;/w:rPr&gt;&lt;/m:ctrlPr&gt;&lt;/m:sSupPr&gt;&lt;m:e&gt;&lt;m:r&gt;&lt;m:rPr&gt;&lt;m:nor/&gt;&lt;/m:rPr&gt;&lt;w:rPr&gt;&lt;w:sz w:val=&quot;24&quot;/&gt;&lt;/w:rPr&gt;&lt;m:t&gt;0.003&lt;/m:t&gt;&lt;/m:r&gt;&lt;/m:e&gt;&lt;m:sup&gt;&lt;m:r&gt;&lt;m:rPr&gt;&lt;m:nor/&gt;&lt;/m:rPr&gt;&lt;w:rPr&gt;&lt;w:sz w:val=&quot;24&quot;/&gt;&lt;/w:rPr&gt;&lt;m:t&gt;2&lt;/m:t&gt;&lt;/m:r&gt;&lt;/m:sup&gt;&lt;/m:sSup&gt;&lt;/m:e&gt;&lt;/m:rad&gt;&lt;m:r&gt;&lt;m:rPr&gt;&lt;m:nor/&gt;&lt;/m:rPr&gt;&lt;w:rPr&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0" chromakey="#FFFFFF" o:title=""/>
            <o:lock v:ext="edit" aspectratio="t"/>
            <w10:wrap type="none"/>
            <w10:anchorlock/>
          </v:shape>
        </w:pict>
      </w:r>
      <w:r>
        <w:rPr>
          <w:sz w:val="24"/>
        </w:rPr>
        <w:instrText xml:space="preserve"> </w:instrText>
      </w:r>
      <w:r>
        <w:rPr>
          <w:sz w:val="24"/>
        </w:rPr>
        <w:fldChar w:fldCharType="separate"/>
      </w:r>
      <w:r>
        <w:rPr>
          <w:sz w:val="24"/>
        </w:rPr>
        <w:fldChar w:fldCharType="end"/>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i/>
          <w:sz w:val="24"/>
        </w:rPr>
        <w:t xml:space="preserve"> </w:t>
      </w:r>
      <w:r>
        <w:rPr>
          <w:sz w:val="24"/>
        </w:rPr>
        <w:t>得</w:t>
      </w:r>
      <w:r>
        <w:rPr>
          <w:i/>
          <w:sz w:val="24"/>
        </w:rPr>
        <w:t>U＝</w:t>
      </w:r>
      <w:r>
        <w:rPr>
          <w:sz w:val="24"/>
        </w:rPr>
        <w:t xml:space="preserve"> </w:t>
      </w:r>
      <w:r>
        <w:rPr>
          <w:i/>
          <w:kern w:val="0"/>
          <w:sz w:val="24"/>
        </w:rPr>
        <w:t>k</w:t>
      </w:r>
      <w:r>
        <w:rPr>
          <w:sz w:val="24"/>
        </w:rPr>
        <w:t>u</w:t>
      </w:r>
      <w:r>
        <w:rPr>
          <w:sz w:val="24"/>
          <w:vertAlign w:val="subscript"/>
        </w:rPr>
        <w:t>c</w:t>
      </w:r>
      <w:r>
        <w:rPr>
          <w:sz w:val="24"/>
        </w:rPr>
        <w:t>＝2×0.0</w:t>
      </w:r>
      <w:r>
        <w:rPr>
          <w:rFonts w:hint="eastAsia"/>
          <w:sz w:val="24"/>
        </w:rPr>
        <w:t>25mm</w:t>
      </w:r>
      <w:r>
        <w:rPr>
          <w:sz w:val="24"/>
        </w:rPr>
        <w:t>＝0.00</w:t>
      </w:r>
      <w:r>
        <w:rPr>
          <w:rFonts w:hint="eastAsia"/>
          <w:sz w:val="24"/>
        </w:rPr>
        <w:t>5</w:t>
      </w:r>
      <w:r>
        <w:rPr>
          <w:sz w:val="24"/>
        </w:rPr>
        <w:t>mm</w:t>
      </w:r>
    </w:p>
    <w:p>
      <w:pPr>
        <w:spacing w:line="360" w:lineRule="auto"/>
        <w:rPr>
          <w:sz w:val="24"/>
        </w:rPr>
      </w:pPr>
      <w:r>
        <w:rPr>
          <w:b/>
          <w:bCs/>
          <w:sz w:val="24"/>
        </w:rPr>
        <w:t xml:space="preserve">6、测量不确定度的报告与表示   </w:t>
      </w:r>
      <w:r>
        <w:rPr>
          <w:sz w:val="24"/>
        </w:rPr>
        <w:t xml:space="preserve">  </w:t>
      </w:r>
    </w:p>
    <w:p>
      <w:pPr>
        <w:spacing w:line="360" w:lineRule="auto"/>
        <w:ind w:firstLine="480" w:firstLineChars="200"/>
        <w:rPr>
          <w:kern w:val="0"/>
          <w:sz w:val="24"/>
        </w:rPr>
      </w:pPr>
      <w:r>
        <w:rPr>
          <w:i/>
          <w:sz w:val="24"/>
        </w:rPr>
        <w:t>U＝</w:t>
      </w:r>
      <w:r>
        <w:rPr>
          <w:iCs/>
          <w:sz w:val="24"/>
        </w:rPr>
        <w:t>0.00</w:t>
      </w:r>
      <w:r>
        <w:rPr>
          <w:rFonts w:hint="eastAsia"/>
          <w:iCs/>
          <w:sz w:val="24"/>
        </w:rPr>
        <w:t>5</w:t>
      </w:r>
      <w:r>
        <w:rPr>
          <w:iCs/>
          <w:sz w:val="24"/>
        </w:rPr>
        <w:t>mm</w:t>
      </w:r>
      <w:r>
        <w:rPr>
          <w:sz w:val="24"/>
        </w:rPr>
        <w:t xml:space="preserve">  </w:t>
      </w:r>
      <w:r>
        <w:rPr>
          <w:i/>
          <w:kern w:val="0"/>
          <w:sz w:val="24"/>
        </w:rPr>
        <w:t>k</w:t>
      </w:r>
      <w:r>
        <w:rPr>
          <w:i/>
          <w:iCs/>
          <w:kern w:val="0"/>
          <w:sz w:val="24"/>
        </w:rPr>
        <w:t xml:space="preserve"> </w:t>
      </w:r>
      <w:r>
        <w:rPr>
          <w:kern w:val="0"/>
          <w:sz w:val="24"/>
        </w:rPr>
        <w:t>= 2</w:t>
      </w:r>
      <w:r>
        <w:rPr>
          <w:rFonts w:hint="eastAsia"/>
          <w:kern w:val="0"/>
          <w:sz w:val="24"/>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E52F6"/>
    <w:rsid w:val="00084A51"/>
    <w:rsid w:val="001267C5"/>
    <w:rsid w:val="00227CDF"/>
    <w:rsid w:val="0023112D"/>
    <w:rsid w:val="00365E58"/>
    <w:rsid w:val="00527A3B"/>
    <w:rsid w:val="006E25D7"/>
    <w:rsid w:val="00A16769"/>
    <w:rsid w:val="00B72BDD"/>
    <w:rsid w:val="00D60E80"/>
    <w:rsid w:val="00F55B64"/>
    <w:rsid w:val="00F8595A"/>
    <w:rsid w:val="025B2178"/>
    <w:rsid w:val="029D4DA9"/>
    <w:rsid w:val="03B56739"/>
    <w:rsid w:val="04444815"/>
    <w:rsid w:val="049B7F88"/>
    <w:rsid w:val="05295B2D"/>
    <w:rsid w:val="062619D7"/>
    <w:rsid w:val="06531CD0"/>
    <w:rsid w:val="07AD44D6"/>
    <w:rsid w:val="09A54FAD"/>
    <w:rsid w:val="0A9A5E74"/>
    <w:rsid w:val="0BC8647A"/>
    <w:rsid w:val="0C8A62DD"/>
    <w:rsid w:val="0D7E4CD6"/>
    <w:rsid w:val="0E2137A4"/>
    <w:rsid w:val="0EBC1312"/>
    <w:rsid w:val="0FCA7E40"/>
    <w:rsid w:val="0FE408AD"/>
    <w:rsid w:val="103108B2"/>
    <w:rsid w:val="10C76CC6"/>
    <w:rsid w:val="11DD0A90"/>
    <w:rsid w:val="12EE3904"/>
    <w:rsid w:val="133D6FDD"/>
    <w:rsid w:val="150669D4"/>
    <w:rsid w:val="1581369B"/>
    <w:rsid w:val="159C78BE"/>
    <w:rsid w:val="16250B6A"/>
    <w:rsid w:val="17496B57"/>
    <w:rsid w:val="18175742"/>
    <w:rsid w:val="183E7280"/>
    <w:rsid w:val="1B8F690F"/>
    <w:rsid w:val="1DBB3739"/>
    <w:rsid w:val="1DFD6F64"/>
    <w:rsid w:val="1E36565E"/>
    <w:rsid w:val="1FCA46F2"/>
    <w:rsid w:val="218E3152"/>
    <w:rsid w:val="21BF051E"/>
    <w:rsid w:val="22140A30"/>
    <w:rsid w:val="222055FF"/>
    <w:rsid w:val="23476973"/>
    <w:rsid w:val="259413AB"/>
    <w:rsid w:val="25E75F91"/>
    <w:rsid w:val="27725E1D"/>
    <w:rsid w:val="282C2BBB"/>
    <w:rsid w:val="2916416F"/>
    <w:rsid w:val="295E52F6"/>
    <w:rsid w:val="2AE46453"/>
    <w:rsid w:val="2C6B1258"/>
    <w:rsid w:val="2C8F1234"/>
    <w:rsid w:val="2D5F4593"/>
    <w:rsid w:val="2EF20F47"/>
    <w:rsid w:val="304061F0"/>
    <w:rsid w:val="30614A16"/>
    <w:rsid w:val="31073D29"/>
    <w:rsid w:val="314A69C0"/>
    <w:rsid w:val="314B5F65"/>
    <w:rsid w:val="32FD5AF2"/>
    <w:rsid w:val="330A1107"/>
    <w:rsid w:val="35D810C6"/>
    <w:rsid w:val="36184782"/>
    <w:rsid w:val="37145252"/>
    <w:rsid w:val="37A94C31"/>
    <w:rsid w:val="39983970"/>
    <w:rsid w:val="39B648AE"/>
    <w:rsid w:val="3B8B03ED"/>
    <w:rsid w:val="3BA12758"/>
    <w:rsid w:val="3BDF7324"/>
    <w:rsid w:val="3C5C288B"/>
    <w:rsid w:val="3CA025B5"/>
    <w:rsid w:val="3DED5548"/>
    <w:rsid w:val="3E782D86"/>
    <w:rsid w:val="3F6A1D37"/>
    <w:rsid w:val="3FC86FAA"/>
    <w:rsid w:val="406B6E3D"/>
    <w:rsid w:val="409F2474"/>
    <w:rsid w:val="40A6530A"/>
    <w:rsid w:val="40B76927"/>
    <w:rsid w:val="4133108B"/>
    <w:rsid w:val="4164563D"/>
    <w:rsid w:val="44556987"/>
    <w:rsid w:val="45C32C68"/>
    <w:rsid w:val="45FE3658"/>
    <w:rsid w:val="462C7D91"/>
    <w:rsid w:val="46AA69D8"/>
    <w:rsid w:val="471F3D34"/>
    <w:rsid w:val="47674205"/>
    <w:rsid w:val="478F6633"/>
    <w:rsid w:val="47D25AD0"/>
    <w:rsid w:val="49680B69"/>
    <w:rsid w:val="49780256"/>
    <w:rsid w:val="499A7F67"/>
    <w:rsid w:val="4C417E74"/>
    <w:rsid w:val="4CDA33F9"/>
    <w:rsid w:val="4D6F48AB"/>
    <w:rsid w:val="4D7168CF"/>
    <w:rsid w:val="4E0D48FC"/>
    <w:rsid w:val="4FB91FF7"/>
    <w:rsid w:val="50E12BEE"/>
    <w:rsid w:val="51414F9F"/>
    <w:rsid w:val="51D71733"/>
    <w:rsid w:val="526747A8"/>
    <w:rsid w:val="52867B76"/>
    <w:rsid w:val="52C85610"/>
    <w:rsid w:val="53134561"/>
    <w:rsid w:val="53366C8C"/>
    <w:rsid w:val="55DA0BFC"/>
    <w:rsid w:val="564869D4"/>
    <w:rsid w:val="57CC2099"/>
    <w:rsid w:val="58785586"/>
    <w:rsid w:val="599C6729"/>
    <w:rsid w:val="5A496318"/>
    <w:rsid w:val="5A7E0318"/>
    <w:rsid w:val="5B377B63"/>
    <w:rsid w:val="5B460708"/>
    <w:rsid w:val="5D2E7599"/>
    <w:rsid w:val="5D326DCF"/>
    <w:rsid w:val="5D5868D6"/>
    <w:rsid w:val="5DE82CD2"/>
    <w:rsid w:val="5E6C67F7"/>
    <w:rsid w:val="5EFD54A6"/>
    <w:rsid w:val="5FBA6C7D"/>
    <w:rsid w:val="6001421E"/>
    <w:rsid w:val="616F01F2"/>
    <w:rsid w:val="622A38DD"/>
    <w:rsid w:val="63D71692"/>
    <w:rsid w:val="643D1C4F"/>
    <w:rsid w:val="646E3F5F"/>
    <w:rsid w:val="64AE1D7F"/>
    <w:rsid w:val="66CD209A"/>
    <w:rsid w:val="67C148F9"/>
    <w:rsid w:val="69680C14"/>
    <w:rsid w:val="6A764632"/>
    <w:rsid w:val="6A9F5AE2"/>
    <w:rsid w:val="6AFE517E"/>
    <w:rsid w:val="6B612103"/>
    <w:rsid w:val="6B800240"/>
    <w:rsid w:val="6D0D4B22"/>
    <w:rsid w:val="6D123CBC"/>
    <w:rsid w:val="6D1A7968"/>
    <w:rsid w:val="6D5C203B"/>
    <w:rsid w:val="6DE46726"/>
    <w:rsid w:val="6E951F96"/>
    <w:rsid w:val="6E9F7006"/>
    <w:rsid w:val="6EDB5231"/>
    <w:rsid w:val="6FA94B24"/>
    <w:rsid w:val="6FFE5DD2"/>
    <w:rsid w:val="70B265C9"/>
    <w:rsid w:val="70E96CB3"/>
    <w:rsid w:val="73DC7AD3"/>
    <w:rsid w:val="74012103"/>
    <w:rsid w:val="74730104"/>
    <w:rsid w:val="78B140C7"/>
    <w:rsid w:val="78EB596B"/>
    <w:rsid w:val="79E77920"/>
    <w:rsid w:val="7A480860"/>
    <w:rsid w:val="7A7F2C28"/>
    <w:rsid w:val="7C1201F8"/>
    <w:rsid w:val="7C5425D0"/>
    <w:rsid w:val="7D4465FC"/>
    <w:rsid w:val="7D9F4569"/>
    <w:rsid w:val="7E0E7ED0"/>
    <w:rsid w:val="7E185110"/>
    <w:rsid w:val="7FC4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kern w:val="2"/>
      <w:sz w:val="18"/>
      <w:szCs w:val="18"/>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185</Words>
  <Characters>1057</Characters>
  <Lines>8</Lines>
  <Paragraphs>2</Paragraphs>
  <TotalTime>2</TotalTime>
  <ScaleCrop>false</ScaleCrop>
  <LinksUpToDate>false</LinksUpToDate>
  <CharactersWithSpaces>1240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2021-08-13T03:31:00Z</dcterms:created>
  <dc:creator>知足常乐</dc:creator>
  <cp:lastModifiedBy>金银铜铁</cp:lastModifiedBy>
  <dcterms:modified xsi:type="dcterms:W3CDTF">2021-08-13T03:45:36Z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167CB3CF32F046A0ADB35B9CC1EBA4E6</vt:lpwstr>
  </property>
</Properties>
</file>