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河北大洋索具有限公司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范华伟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河北大洋索具有限公司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河北省保定市清苑区东闾乡东闾村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河北省保定市清苑区东闾乡东闾村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jc w:val="center"/>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杜成立</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18633291111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杜成立</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苏少聪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杜婷</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起重用短环链的生产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center"/>
              <w:rPr>
                <w:rFonts w:ascii="宋体" w:hAnsi="宋体"/>
                <w:b/>
                <w:color w:val="000000" w:themeColor="text1"/>
                <w:spacing w:val="-20"/>
                <w:sz w:val="20"/>
                <w:szCs w:val="20"/>
                <w:u w:val="single"/>
              </w:rPr>
            </w:pPr>
            <w:r>
              <w:rPr>
                <w:rFonts w:hint="eastAsia"/>
                <w:sz w:val="21"/>
                <w:szCs w:val="21"/>
              </w:rPr>
              <w:t>4.1/4.2/4.3/4.4/</w:t>
            </w:r>
            <w:r>
              <w:rPr>
                <w:rFonts w:hint="default" w:ascii="Times New Roman" w:hAnsi="Times New Roman" w:eastAsia="宋体" w:cs="Times New Roman"/>
                <w:b w:val="0"/>
                <w:bCs/>
                <w:sz w:val="21"/>
                <w:szCs w:val="21"/>
              </w:rPr>
              <w:t>5.1/5.2/5.3/6.1/6.2/</w:t>
            </w:r>
            <w:r>
              <w:rPr>
                <w:rFonts w:hint="eastAsia" w:ascii="Times New Roman" w:hAnsi="Times New Roman" w:cs="Times New Roman"/>
                <w:b w:val="0"/>
                <w:bCs/>
                <w:sz w:val="21"/>
                <w:szCs w:val="21"/>
                <w:lang w:val="en-US" w:eastAsia="zh-CN"/>
              </w:rPr>
              <w:t>6.3/</w:t>
            </w:r>
            <w:r>
              <w:rPr>
                <w:rFonts w:hint="default" w:ascii="Times New Roman" w:hAnsi="Times New Roman" w:eastAsia="宋体" w:cs="Times New Roman"/>
                <w:b w:val="0"/>
                <w:bCs/>
                <w:sz w:val="21"/>
                <w:szCs w:val="21"/>
              </w:rPr>
              <w:t>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center"/>
              <w:rPr>
                <w:rFonts w:ascii="宋体" w:hAnsi="宋体"/>
                <w:b/>
                <w:color w:val="000000" w:themeColor="text1"/>
                <w:spacing w:val="-20"/>
                <w:sz w:val="20"/>
                <w:szCs w:val="20"/>
                <w:u w:val="single"/>
              </w:rPr>
            </w:pP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/6.2/7.1.2/7.1.6/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jc w:val="center"/>
              <w:rPr>
                <w:rFonts w:ascii="宋体" w:hAnsi="宋体"/>
                <w:b/>
                <w:color w:val="000000" w:themeColor="text1"/>
                <w:spacing w:val="-20"/>
                <w:sz w:val="20"/>
                <w:szCs w:val="20"/>
                <w:u w:val="single"/>
              </w:rPr>
            </w:pPr>
            <w:r>
              <w:rPr>
                <w:rFonts w:hint="eastAsia"/>
                <w:sz w:val="21"/>
                <w:szCs w:val="21"/>
              </w:rPr>
              <w:t>5.3/6.2/7.1.3/7.1.4</w:t>
            </w:r>
            <w:r>
              <w:rPr>
                <w:rFonts w:hint="eastAsia"/>
                <w:sz w:val="21"/>
                <w:szCs w:val="21"/>
                <w:lang w:val="en-US" w:eastAsia="zh-CN"/>
              </w:rPr>
              <w:t>/</w:t>
            </w:r>
            <w:r>
              <w:rPr>
                <w:rFonts w:hint="eastAsia"/>
                <w:sz w:val="21"/>
                <w:szCs w:val="21"/>
              </w:rPr>
              <w:t>7.1.5</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/8.5.6/8.6/8.7</w:t>
            </w:r>
            <w:r>
              <w:rPr>
                <w:rFonts w:hint="eastAsia" w:ascii="Times New Roman" w:hAnsi="Times New Roman" w:cs="Times New Roman"/>
                <w:sz w:val="21"/>
                <w:szCs w:val="21"/>
                <w:lang w:val="en-US" w:eastAsia="zh-CN"/>
              </w:rPr>
              <w:t>/10.2</w:t>
            </w:r>
            <w:r>
              <w:rPr>
                <w:rFonts w:hint="eastAsia"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jc w:val="center"/>
              <w:rPr>
                <w:rFonts w:ascii="宋体" w:hAnsi="宋体"/>
                <w:b/>
                <w:color w:val="000000" w:themeColor="text1"/>
                <w:spacing w:val="-20"/>
                <w:sz w:val="20"/>
                <w:szCs w:val="20"/>
                <w:u w:val="single"/>
              </w:rPr>
            </w:pPr>
            <w:r>
              <w:rPr>
                <w:rFonts w:hint="eastAsia"/>
                <w:sz w:val="21"/>
                <w:szCs w:val="21"/>
              </w:rPr>
              <w:t>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产品名称/服务名称</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rPr>
              <w:t>型号</w:t>
            </w:r>
            <w:r>
              <w:rPr>
                <w:rFonts w:hint="eastAsia"/>
                <w:b/>
                <w:color w:val="000000" w:themeColor="text1"/>
                <w:sz w:val="20"/>
                <w:szCs w:val="20"/>
                <w:lang w:val="en-US" w:eastAsia="zh-CN"/>
              </w:rPr>
              <w:t>/规格</w:t>
            </w:r>
          </w:p>
        </w:tc>
        <w:tc>
          <w:tcPr>
            <w:tcW w:w="538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起重用短环链的生产</w:t>
            </w:r>
          </w:p>
        </w:tc>
        <w:tc>
          <w:tcPr>
            <w:tcW w:w="2519" w:type="dxa"/>
          </w:tcPr>
          <w:p>
            <w:pPr>
              <w:rPr>
                <w:b/>
                <w:color w:val="000000" w:themeColor="text1"/>
                <w:sz w:val="20"/>
                <w:szCs w:val="20"/>
              </w:rPr>
            </w:pPr>
          </w:p>
        </w:tc>
        <w:tc>
          <w:tcPr>
            <w:tcW w:w="5386" w:type="dxa"/>
          </w:tcPr>
          <w:p>
            <w:pPr>
              <w:rPr>
                <w:b/>
                <w:color w:val="000000" w:themeColor="text1"/>
                <w:sz w:val="20"/>
                <w:szCs w:val="20"/>
              </w:rPr>
            </w:pPr>
            <w:r>
              <w:rPr>
                <w:rFonts w:hint="eastAsia" w:ascii="Times New Roman" w:hAnsi="Times New Roman" w:cs="Times New Roman"/>
                <w:sz w:val="20"/>
              </w:rPr>
              <w:t>一般用途低碳钢丝</w:t>
            </w:r>
            <w:r>
              <w:rPr>
                <w:rFonts w:hint="eastAsia" w:ascii="Times New Roman" w:hAnsi="Times New Roman" w:cs="Times New Roman"/>
                <w:sz w:val="20"/>
              </w:rPr>
              <w:tab/>
            </w:r>
            <w:r>
              <w:rPr>
                <w:rFonts w:hint="eastAsia" w:ascii="Times New Roman" w:hAnsi="Times New Roman" w:cs="Times New Roman"/>
                <w:sz w:val="20"/>
              </w:rPr>
              <w:t>YB/T5294-200</w:t>
            </w:r>
            <w:r>
              <w:rPr>
                <w:rFonts w:hint="eastAsia" w:ascii="Times New Roman" w:hAnsi="Times New Roman" w:cs="Times New Roman"/>
                <w:sz w:val="20"/>
                <w:lang w:val="en-US" w:eastAsia="zh-CN"/>
              </w:rPr>
              <w:t>9</w:t>
            </w:r>
            <w:r>
              <w:rPr>
                <w:rFonts w:hint="eastAsia" w:ascii="Times New Roman" w:hAnsi="Times New Roman" w:cs="Times New Roman"/>
                <w:sz w:val="20"/>
              </w:rPr>
              <w:t>、起重用短环链 验收总则</w:t>
            </w:r>
            <w:r>
              <w:rPr>
                <w:rFonts w:hint="eastAsia" w:ascii="Times New Roman" w:hAnsi="Times New Roman" w:cs="Times New Roman"/>
                <w:sz w:val="20"/>
              </w:rPr>
              <w:tab/>
            </w:r>
            <w:r>
              <w:rPr>
                <w:rFonts w:hint="eastAsia" w:ascii="Times New Roman" w:hAnsi="Times New Roman" w:cs="Times New Roman"/>
                <w:sz w:val="20"/>
              </w:rPr>
              <w:t>GB/T20946-2007、起重用短环链 T级（T、DAT和DT型）高精度葫芦链</w:t>
            </w:r>
            <w:r>
              <w:rPr>
                <w:rFonts w:hint="eastAsia" w:ascii="Times New Roman" w:hAnsi="Times New Roman" w:cs="Times New Roman"/>
                <w:sz w:val="20"/>
              </w:rPr>
              <w:tab/>
            </w:r>
            <w:r>
              <w:rPr>
                <w:rFonts w:hint="eastAsia" w:ascii="Times New Roman" w:hAnsi="Times New Roman" w:cs="Times New Roman"/>
                <w:sz w:val="20"/>
              </w:rPr>
              <w:t>GB/T20947-2007</w:t>
            </w:r>
            <w:r>
              <w:rPr>
                <w:rFonts w:hint="eastAsia" w:ascii="Times New Roman" w:hAnsi="Times New Roman" w:cs="Times New Roman"/>
                <w:sz w:val="20"/>
                <w:lang w:val="en-US" w:eastAsia="zh-CN"/>
              </w:rPr>
              <w:t>等</w:t>
            </w:r>
          </w:p>
        </w:tc>
      </w:tr>
    </w:tbl>
    <w:p>
      <w:pPr>
        <w:spacing w:line="360" w:lineRule="auto"/>
        <w:ind w:left="-137" w:leftChars="-337" w:hanging="571" w:hangingChars="271"/>
        <w:rPr>
          <w:rFonts w:hint="default" w:eastAsia="宋体"/>
          <w:b/>
          <w:color w:val="000000" w:themeColor="text1"/>
          <w:szCs w:val="21"/>
          <w:lang w:val="en-US" w:eastAsia="zh-CN"/>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FF0000"/>
                <w:sz w:val="20"/>
                <w:szCs w:val="20"/>
              </w:rPr>
            </w:pPr>
            <w:r>
              <w:rPr>
                <w:b/>
                <w:color w:val="FF0000"/>
                <w:sz w:val="20"/>
                <w:szCs w:val="20"/>
              </w:rPr>
              <w:t>1、</w:t>
            </w:r>
            <w:r>
              <w:rPr>
                <w:rFonts w:hint="eastAsia"/>
                <w:b/>
                <w:color w:val="FF0000"/>
                <w:sz w:val="20"/>
                <w:szCs w:val="20"/>
              </w:rPr>
              <w:t>组织及其环境的识别情况</w:t>
            </w:r>
          </w:p>
          <w:p>
            <w:pPr>
              <w:spacing w:line="240" w:lineRule="exact"/>
              <w:rPr>
                <w:b/>
                <w:color w:val="FF0000"/>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FF0000"/>
                <w:sz w:val="20"/>
                <w:szCs w:val="20"/>
              </w:rPr>
            </w:pPr>
            <w:r>
              <w:rPr>
                <w:rFonts w:hint="eastAsia"/>
                <w:b/>
                <w:color w:val="FF0000"/>
                <w:sz w:val="20"/>
                <w:szCs w:val="20"/>
              </w:rPr>
              <w:t>相关方需求和期望识别情况</w:t>
            </w:r>
          </w:p>
          <w:p>
            <w:pPr>
              <w:numPr>
                <w:numId w:val="0"/>
              </w:numPr>
              <w:spacing w:line="240" w:lineRule="exact"/>
              <w:rPr>
                <w:b/>
                <w:color w:val="FF0000"/>
                <w:sz w:val="20"/>
                <w:szCs w:val="20"/>
              </w:rPr>
            </w:pPr>
            <w:r>
              <w:rPr>
                <w:rFonts w:hint="eastAsia"/>
              </w:rPr>
              <w:t>公司确定了与质量管理体系有关的相关方包括顾客</w:t>
            </w:r>
            <w:r>
              <w:rPr>
                <w:rFonts w:hint="eastAsia"/>
                <w:lang w:eastAsia="zh-CN"/>
              </w:rPr>
              <w:t>、</w:t>
            </w:r>
            <w:r>
              <w:rPr>
                <w:rFonts w:hint="eastAsia"/>
              </w:rPr>
              <w:t>最终用户或受益人；业主，股东；银行；外部供应商；雇员及其他为组织工作者；法律法规及监管机关；地方社区团体；非政府组织等。相关方对企业的要求有：遵守国家的现行法律法规、保持有效的资质、量具定期检定、不断提高技术水平以及不断提高客户满意度等。</w:t>
            </w:r>
            <w:r>
              <w:rPr>
                <w:rFonts w:hint="eastAsia"/>
                <w:lang w:val="en-US" w:eastAsia="zh-CN"/>
              </w:rPr>
              <w:t>公司通过</w:t>
            </w:r>
            <w:r>
              <w:rPr>
                <w:rFonts w:hint="eastAsia"/>
              </w:rPr>
              <w:t>关注顾客需求，通过持续改进增强用户满意：持续改进管理体系过程，提升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40" w:lineRule="exact"/>
              <w:rPr>
                <w:rFonts w:hint="eastAsia" w:ascii="Times New Roman" w:hAnsi="Times New Roman" w:eastAsia="宋体" w:cs="Times New Roman"/>
                <w:lang w:val="en-US" w:eastAsia="zh-CN"/>
              </w:rPr>
            </w:pPr>
            <w:r>
              <w:rPr>
                <w:rFonts w:hint="eastAsia" w:ascii="Times New Roman" w:hAnsi="Times New Roman" w:eastAsia="宋体" w:cs="Times New Roman"/>
              </w:rPr>
              <w:t>1.管理方针：质量第一，加强科学管理；持续改进，增强顾客满意。基本符合要求。</w:t>
            </w:r>
          </w:p>
          <w:p>
            <w:pPr>
              <w:numPr>
                <w:ilvl w:val="0"/>
                <w:numId w:val="0"/>
              </w:numPr>
              <w:spacing w:line="240" w:lineRule="exact"/>
              <w:rPr>
                <w:rFonts w:hint="eastAsia" w:ascii="Times New Roman" w:hAnsi="Times New Roman" w:eastAsia="宋体" w:cs="Times New Roman"/>
              </w:rPr>
            </w:pPr>
            <w:r>
              <w:rPr>
                <w:rFonts w:hint="eastAsia" w:ascii="Times New Roman" w:hAnsi="Times New Roman" w:eastAsia="宋体" w:cs="Times New Roman"/>
              </w:rPr>
              <w:t>2.管理方针与企业的经营宗旨相适应，协调；</w:t>
            </w:r>
          </w:p>
          <w:p>
            <w:pPr>
              <w:numPr>
                <w:ilvl w:val="0"/>
                <w:numId w:val="0"/>
              </w:numPr>
              <w:spacing w:line="240" w:lineRule="exact"/>
              <w:rPr>
                <w:b/>
                <w:color w:val="000000" w:themeColor="text1"/>
              </w:rPr>
            </w:pPr>
            <w:r>
              <w:rPr>
                <w:rFonts w:hint="eastAsia" w:ascii="Times New Roman" w:hAnsi="Times New Roman" w:eastAsia="宋体" w:cs="Times New Roman"/>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rPr>
            </w:pPr>
            <w:r>
              <w:rPr>
                <w:rFonts w:hint="eastAsia"/>
              </w:rPr>
              <w:t>风险识别与控制策划（QMS）</w:t>
            </w:r>
          </w:p>
          <w:p>
            <w:pPr>
              <w:pStyle w:val="2"/>
              <w:numPr>
                <w:numId w:val="0"/>
              </w:numPr>
              <w:jc w:val="both"/>
            </w:pPr>
            <w:r>
              <w:rPr>
                <w:rFonts w:hint="eastAsia" w:ascii="Times New Roman" w:hAnsi="Times New Roman" w:eastAsia="宋体" w:cs="Times New Roman"/>
                <w:kern w:val="2"/>
                <w:sz w:val="21"/>
                <w:szCs w:val="24"/>
                <w:lang w:val="en-US" w:eastAsia="zh-CN" w:bidi="ar-SA"/>
              </w:rPr>
              <w:t>公司编制《应对风险和机遇的措施表》，公司分别从顾客过程、公司内部、外部供方等方面识别了必要的风险和机遇，如：方针和目标变更的需求，产品标准变更，原材料变更，工艺变更、法律法规变更、外部环境（包括空气 水的变化）等风险，制定了相应的应对措施，制定了负责的部门和具体的实施方案，需要的资金和日程安排等，如针对顾客需求的变更，由供销部紧密与客户沟通，是否有更新的需求，经查暂无变更需求。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jc w:val="left"/>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60" w:lineRule="exact"/>
              <w:ind w:left="201" w:hanging="201" w:hangingChars="100"/>
              <w:jc w:val="left"/>
              <w:textAlignment w:val="auto"/>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其中关键过程有</w:t>
            </w:r>
            <w:r>
              <w:rPr>
                <w:rFonts w:hint="eastAsia" w:ascii="宋体" w:hAnsi="宋体" w:eastAsia="宋体" w:cs="Times New Roman"/>
                <w:sz w:val="21"/>
                <w:szCs w:val="21"/>
                <w:u w:val="single"/>
                <w:lang w:val="en-US" w:eastAsia="zh-CN"/>
              </w:rPr>
              <w:t>编链、焊链、淬火、检验等；</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none"/>
              </w:rPr>
              <w:t xml:space="preserve"> </w:t>
            </w:r>
            <w:r>
              <w:rPr>
                <w:rFonts w:hint="eastAsia" w:ascii="宋体" w:hAnsi="宋体" w:eastAsia="宋体" w:cs="Times New Roman"/>
                <w:sz w:val="21"/>
                <w:szCs w:val="21"/>
                <w:u w:val="single"/>
                <w:lang w:val="en-US" w:eastAsia="zh-CN"/>
              </w:rPr>
              <w:t xml:space="preserve"> 焊接</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eastAsia="宋体" w:cs="Times New Roman"/>
                <w:sz w:val="21"/>
                <w:szCs w:val="21"/>
                <w:lang w:val="en-US" w:eastAsia="zh-CN"/>
              </w:rPr>
              <w:t xml:space="preserve">  8.3   </w:t>
            </w:r>
            <w:r>
              <w:rPr>
                <w:rFonts w:hint="eastAsia" w:ascii="宋体" w:hAnsi="宋体"/>
                <w:b/>
                <w:color w:val="000000" w:themeColor="text1"/>
                <w:sz w:val="20"/>
                <w:szCs w:val="20"/>
              </w:rPr>
              <w:t xml:space="preserve">  ，不适用理由：</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u w:val="single"/>
                <w:lang w:val="en-US" w:eastAsia="zh-CN"/>
              </w:rPr>
              <w:t>该组织依据国家/行业标准/顾客要求／图纸进行加工 ,流程、工艺、人员、设备均未发生变更，产品工艺稳定成熟，目前不存在产品设计和开发情况。</w:t>
            </w:r>
            <w:r>
              <w:rPr>
                <w:rFonts w:hint="eastAsia" w:ascii="宋体" w:hAnsi="宋体" w:eastAsia="宋体" w:cs="Times New Roman"/>
                <w:sz w:val="21"/>
                <w:szCs w:val="21"/>
                <w:lang w:val="en-US" w:eastAsia="zh-CN"/>
              </w:rPr>
              <w:t xml:space="preserve">                      </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6"/>
              <w:rPr>
                <w:rFonts w:hint="eastAsia" w:eastAsia="宋体"/>
                <w:lang w:val="en-US" w:eastAsia="zh-CN"/>
              </w:rPr>
            </w:pPr>
            <w:r>
              <w:rPr>
                <w:rFonts w:hint="eastAsia" w:ascii="宋体" w:hAnsi="宋体"/>
                <w:b/>
                <w:color w:val="000000" w:themeColor="text1"/>
                <w:spacing w:val="-8"/>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●公司总的质量目标为：</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产品一次交验合格率98%以上</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顾客满意率达到</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95%以上</w:t>
            </w:r>
          </w:p>
          <w:p>
            <w:pPr>
              <w:spacing w:line="300" w:lineRule="exact"/>
              <w:rPr>
                <w:rFonts w:hint="eastAsia" w:ascii="Times New Roman" w:hAnsi="Times New Roman" w:eastAsia="宋体" w:cs="Times New Roman"/>
              </w:rPr>
            </w:pPr>
            <w:r>
              <w:rPr>
                <w:rFonts w:hint="eastAsia" w:ascii="Times New Roman" w:hAnsi="Times New Roman" w:eastAsia="宋体" w:cs="Times New Roman"/>
              </w:rPr>
              <w:t>--查2021年第</w:t>
            </w:r>
            <w:r>
              <w:rPr>
                <w:rFonts w:hint="eastAsia" w:ascii="Times New Roman" w:hAnsi="Times New Roman" w:eastAsia="宋体" w:cs="Times New Roman"/>
                <w:lang w:val="en-US" w:eastAsia="zh-CN"/>
              </w:rPr>
              <w:t>1-2</w:t>
            </w:r>
            <w:r>
              <w:rPr>
                <w:rFonts w:hint="eastAsia" w:ascii="Times New Roman" w:hAnsi="Times New Roman" w:eastAsia="宋体" w:cs="Times New Roman"/>
              </w:rPr>
              <w:t>季度目标完成情况：均达标完成；</w:t>
            </w:r>
          </w:p>
          <w:p>
            <w:pPr>
              <w:spacing w:line="300" w:lineRule="exact"/>
              <w:rPr>
                <w:rFonts w:ascii="宋体" w:hAnsi="宋体"/>
                <w:b/>
                <w:color w:val="000000" w:themeColor="text1"/>
              </w:rPr>
            </w:pPr>
            <w:r>
              <w:rPr>
                <w:rFonts w:hint="eastAsia" w:ascii="Times New Roman" w:hAnsi="Times New Roman" w:eastAsia="宋体" w:cs="Times New Roman"/>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w:t>
            </w:r>
            <w:r>
              <w:rPr>
                <w:rFonts w:hint="eastAsia" w:cs="宋体"/>
                <w:lang w:val="en-US" w:eastAsia="zh-CN"/>
              </w:rPr>
              <w:t>里</w:t>
            </w:r>
            <w:r>
              <w:rPr>
                <w:rFonts w:hint="eastAsia" w:ascii="Times New Roman" w:hAnsi="Times New Roman" w:cs="宋体"/>
              </w:rPr>
              <w:t>，每个人均可查阅。外来文件电子版本在电脑</w:t>
            </w:r>
            <w:r>
              <w:rPr>
                <w:rFonts w:hint="eastAsia" w:cs="宋体"/>
                <w:lang w:val="en-US" w:eastAsia="zh-CN"/>
              </w:rPr>
              <w:t>里</w:t>
            </w:r>
            <w:r>
              <w:rPr>
                <w:rFonts w:hint="eastAsia" w:ascii="Times New Roman" w:hAnsi="Times New Roman" w:cs="宋体"/>
              </w:rPr>
              <w:t>，每个人均可查阅，产品技术标准打印一套，放于文件柜内该公司人员均可查阅，外来人员查阅需经过总经理批准。记录管理：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仿宋"/>
                <w:b/>
                <w:color w:val="000000" w:themeColor="text1"/>
                <w:sz w:val="20"/>
                <w:szCs w:val="20"/>
                <w:lang w:val="en-US" w:eastAsia="zh-CN"/>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仿宋" w:hAnsi="仿宋" w:eastAsia="仿宋" w:cs="仿宋"/>
                <w:sz w:val="24"/>
                <w:szCs w:val="24"/>
              </w:rPr>
              <w:t>自动链条编结机、链条自动对焊机、链条淬火专用设备、校正机、貢拉机、自动截链机</w:t>
            </w:r>
            <w:r>
              <w:rPr>
                <w:rFonts w:hint="eastAsia" w:ascii="仿宋" w:hAnsi="仿宋" w:eastAsia="仿宋" w:cs="仿宋"/>
                <w:sz w:val="24"/>
                <w:szCs w:val="24"/>
                <w:lang w:val="en-US" w:eastAsia="zh-CN"/>
              </w:rPr>
              <w:t>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仿宋" w:hAnsi="仿宋" w:eastAsia="仿宋" w:cs="仿宋"/>
                <w:sz w:val="24"/>
                <w:szCs w:val="24"/>
              </w:rPr>
            </w:pPr>
            <w:r>
              <w:rPr>
                <w:rFonts w:hint="eastAsia" w:ascii="仿宋" w:hAnsi="仿宋" w:eastAsia="仿宋" w:cs="仿宋"/>
                <w:sz w:val="24"/>
                <w:szCs w:val="24"/>
                <w:lang w:val="en-US" w:eastAsia="zh-CN"/>
              </w:rPr>
              <w:t>公司位于保定市清苑区东闾乡东闾村，</w:t>
            </w:r>
            <w:r>
              <w:rPr>
                <w:rFonts w:hint="eastAsia" w:ascii="仿宋" w:hAnsi="仿宋" w:eastAsia="仿宋" w:cs="仿宋"/>
                <w:sz w:val="24"/>
                <w:szCs w:val="24"/>
              </w:rPr>
              <w:t>车间占地面积约</w:t>
            </w:r>
            <w:r>
              <w:rPr>
                <w:rFonts w:hint="eastAsia" w:ascii="仿宋" w:hAnsi="仿宋" w:eastAsia="仿宋" w:cs="仿宋"/>
                <w:sz w:val="24"/>
                <w:szCs w:val="24"/>
                <w:lang w:val="en-US" w:eastAsia="zh-CN"/>
              </w:rPr>
              <w:t>12</w:t>
            </w:r>
            <w:r>
              <w:rPr>
                <w:rFonts w:hint="eastAsia" w:ascii="仿宋" w:hAnsi="仿宋" w:eastAsia="仿宋" w:cs="仿宋"/>
                <w:sz w:val="24"/>
                <w:szCs w:val="24"/>
              </w:rPr>
              <w:t>00平，办公室面积约</w:t>
            </w:r>
            <w:r>
              <w:rPr>
                <w:rFonts w:hint="eastAsia" w:ascii="仿宋" w:hAnsi="仿宋" w:eastAsia="仿宋" w:cs="仿宋"/>
                <w:sz w:val="24"/>
                <w:szCs w:val="24"/>
                <w:lang w:val="en-US" w:eastAsia="zh-CN"/>
              </w:rPr>
              <w:t>6</w:t>
            </w:r>
            <w:r>
              <w:rPr>
                <w:rFonts w:hint="eastAsia" w:ascii="仿宋" w:hAnsi="仿宋" w:eastAsia="仿宋" w:cs="仿宋"/>
                <w:sz w:val="24"/>
                <w:szCs w:val="24"/>
              </w:rPr>
              <w:t>0平布局相对合理，场所卫生较整洁，工作环境尚可，设备摆放较有序；</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eastAsia="宋体"/>
                <w:lang w:eastAsia="zh-CN"/>
              </w:rPr>
            </w:pPr>
            <w:r>
              <w:rPr>
                <w:rFonts w:hint="eastAsia"/>
              </w:rPr>
              <w:t>监视和测量资源</w:t>
            </w:r>
            <w:r>
              <w:rPr>
                <w:rFonts w:hint="eastAsia"/>
                <w:lang w:eastAsia="zh-CN"/>
              </w:rPr>
              <w:t>：</w:t>
            </w:r>
            <w:r>
              <w:rPr>
                <w:rFonts w:hint="eastAsia" w:ascii="仿宋" w:hAnsi="仿宋" w:eastAsia="仿宋" w:cs="仿宋"/>
                <w:sz w:val="24"/>
                <w:szCs w:val="24"/>
              </w:rPr>
              <w:t>游标卡尺、</w:t>
            </w:r>
            <w:r>
              <w:rPr>
                <w:rFonts w:hint="eastAsia" w:ascii="仿宋" w:hAnsi="仿宋" w:eastAsia="仿宋" w:cs="仿宋"/>
                <w:sz w:val="24"/>
                <w:szCs w:val="24"/>
                <w:lang w:val="en-US" w:eastAsia="zh-CN"/>
              </w:rPr>
              <w:t>钢卷尺、外径千分尺</w:t>
            </w:r>
            <w:r>
              <w:rPr>
                <w:rFonts w:hint="eastAsia" w:ascii="仿宋" w:hAnsi="仿宋" w:eastAsia="仿宋" w:cs="仿宋"/>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仿宋" w:hAnsi="仿宋" w:eastAsia="仿宋" w:cs="仿宋"/>
                <w:sz w:val="24"/>
                <w:szCs w:val="24"/>
              </w:rPr>
              <w:t>质量法、合同法、标准化法、公司法、相关标准规范：质量管理体系 要求</w:t>
            </w:r>
            <w:r>
              <w:rPr>
                <w:rFonts w:hint="eastAsia" w:ascii="仿宋" w:hAnsi="仿宋" w:eastAsia="仿宋" w:cs="仿宋"/>
                <w:sz w:val="24"/>
                <w:szCs w:val="24"/>
              </w:rPr>
              <w:tab/>
            </w:r>
            <w:r>
              <w:rPr>
                <w:rFonts w:hint="eastAsia" w:ascii="仿宋" w:hAnsi="仿宋" w:eastAsia="仿宋" w:cs="仿宋"/>
                <w:sz w:val="24"/>
                <w:szCs w:val="24"/>
              </w:rPr>
              <w:t>GB/T19001-2016、质量管理体系 基础和术语</w:t>
            </w:r>
            <w:r>
              <w:rPr>
                <w:rFonts w:hint="eastAsia" w:ascii="仿宋" w:hAnsi="仿宋" w:eastAsia="仿宋" w:cs="仿宋"/>
                <w:sz w:val="24"/>
                <w:szCs w:val="24"/>
              </w:rPr>
              <w:tab/>
            </w:r>
            <w:r>
              <w:rPr>
                <w:rFonts w:hint="eastAsia" w:ascii="仿宋" w:hAnsi="仿宋" w:eastAsia="仿宋" w:cs="仿宋"/>
                <w:sz w:val="24"/>
                <w:szCs w:val="24"/>
              </w:rPr>
              <w:t>GB/T19000-2016、中华人民共和国产品质量法</w:t>
            </w:r>
            <w:r>
              <w:rPr>
                <w:rFonts w:hint="eastAsia" w:ascii="仿宋" w:hAnsi="仿宋" w:eastAsia="仿宋" w:cs="仿宋"/>
                <w:sz w:val="24"/>
                <w:szCs w:val="24"/>
              </w:rPr>
              <w:tab/>
            </w:r>
            <w:r>
              <w:rPr>
                <w:rFonts w:hint="eastAsia" w:ascii="仿宋" w:hAnsi="仿宋" w:eastAsia="仿宋" w:cs="仿宋"/>
                <w:sz w:val="24"/>
                <w:szCs w:val="24"/>
              </w:rPr>
              <w:t>2018年、中华人民共和国标准化法</w:t>
            </w:r>
            <w:r>
              <w:rPr>
                <w:rFonts w:hint="eastAsia" w:ascii="仿宋" w:hAnsi="仿宋" w:eastAsia="仿宋" w:cs="仿宋"/>
                <w:sz w:val="24"/>
                <w:szCs w:val="24"/>
              </w:rPr>
              <w:tab/>
            </w:r>
            <w:r>
              <w:rPr>
                <w:rFonts w:hint="eastAsia" w:ascii="仿宋" w:hAnsi="仿宋" w:eastAsia="仿宋" w:cs="仿宋"/>
                <w:sz w:val="24"/>
                <w:szCs w:val="24"/>
              </w:rPr>
              <w:t>2018年、中华人民共和国安全生产法</w:t>
            </w:r>
            <w:r>
              <w:rPr>
                <w:rFonts w:hint="eastAsia" w:ascii="仿宋" w:hAnsi="仿宋" w:eastAsia="仿宋" w:cs="仿宋"/>
                <w:sz w:val="24"/>
                <w:szCs w:val="24"/>
              </w:rPr>
              <w:tab/>
            </w:r>
            <w:r>
              <w:rPr>
                <w:rFonts w:hint="eastAsia" w:ascii="仿宋" w:hAnsi="仿宋" w:eastAsia="仿宋" w:cs="仿宋"/>
                <w:sz w:val="24"/>
                <w:szCs w:val="24"/>
                <w:lang w:val="en-US" w:eastAsia="zh-CN"/>
              </w:rPr>
              <w:t>2021</w:t>
            </w:r>
            <w:r>
              <w:rPr>
                <w:rFonts w:hint="eastAsia" w:ascii="仿宋" w:hAnsi="仿宋" w:eastAsia="仿宋" w:cs="仿宋"/>
                <w:sz w:val="24"/>
                <w:szCs w:val="24"/>
              </w:rPr>
              <w:t>年、民法典</w:t>
            </w:r>
            <w:r>
              <w:rPr>
                <w:rFonts w:hint="eastAsia" w:ascii="仿宋" w:hAnsi="仿宋" w:eastAsia="仿宋" w:cs="仿宋"/>
                <w:sz w:val="24"/>
                <w:szCs w:val="24"/>
              </w:rPr>
              <w:tab/>
            </w:r>
            <w:r>
              <w:rPr>
                <w:rFonts w:hint="eastAsia" w:ascii="仿宋" w:hAnsi="仿宋" w:eastAsia="仿宋" w:cs="仿宋"/>
                <w:sz w:val="24"/>
                <w:szCs w:val="24"/>
              </w:rPr>
              <w:t>2021年、一般用途低碳钢丝</w:t>
            </w:r>
            <w:r>
              <w:rPr>
                <w:rFonts w:hint="eastAsia" w:ascii="仿宋" w:hAnsi="仿宋" w:eastAsia="仿宋" w:cs="仿宋"/>
                <w:sz w:val="24"/>
                <w:szCs w:val="24"/>
              </w:rPr>
              <w:tab/>
            </w:r>
            <w:r>
              <w:rPr>
                <w:rFonts w:hint="eastAsia" w:ascii="仿宋" w:hAnsi="仿宋" w:eastAsia="仿宋" w:cs="仿宋"/>
                <w:sz w:val="24"/>
                <w:szCs w:val="24"/>
              </w:rPr>
              <w:t>YB/T5294-200</w:t>
            </w:r>
            <w:r>
              <w:rPr>
                <w:rFonts w:hint="eastAsia" w:ascii="仿宋" w:hAnsi="仿宋" w:eastAsia="仿宋" w:cs="仿宋"/>
                <w:sz w:val="24"/>
                <w:szCs w:val="24"/>
                <w:lang w:val="en-US" w:eastAsia="zh-CN"/>
              </w:rPr>
              <w:t>9</w:t>
            </w:r>
            <w:r>
              <w:rPr>
                <w:rFonts w:hint="eastAsia" w:ascii="仿宋" w:hAnsi="仿宋" w:eastAsia="仿宋" w:cs="仿宋"/>
                <w:sz w:val="24"/>
                <w:szCs w:val="24"/>
              </w:rPr>
              <w:t>、起重用短环链 验收总则</w:t>
            </w:r>
            <w:r>
              <w:rPr>
                <w:rFonts w:hint="eastAsia" w:ascii="仿宋" w:hAnsi="仿宋" w:eastAsia="仿宋" w:cs="仿宋"/>
                <w:sz w:val="24"/>
                <w:szCs w:val="24"/>
              </w:rPr>
              <w:tab/>
            </w:r>
            <w:r>
              <w:rPr>
                <w:rFonts w:hint="eastAsia" w:ascii="仿宋" w:hAnsi="仿宋" w:eastAsia="仿宋" w:cs="仿宋"/>
                <w:sz w:val="24"/>
                <w:szCs w:val="24"/>
              </w:rPr>
              <w:t>GB/T20946-2007、起重用短环链 T级（T、DAT和DT型）高精度葫芦链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val="0"/>
                <w:bCs/>
                <w:color w:val="000000"/>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val="0"/>
                <w:bCs/>
                <w:color w:val="000000"/>
                <w:sz w:val="20"/>
                <w:szCs w:val="20"/>
                <w:lang w:val="en-US" w:eastAsia="zh-CN"/>
              </w:rPr>
              <w:t>防护栏、灭火器、警示牌、手套等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numPr>
                <w:ilvl w:val="0"/>
                <w:numId w:val="0"/>
              </w:numPr>
              <w:spacing w:line="240" w:lineRule="exact"/>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numPr>
                <w:ilvl w:val="0"/>
                <w:numId w:val="0"/>
              </w:numPr>
              <w:spacing w:line="240" w:lineRule="exact"/>
              <w:rPr>
                <w:b/>
                <w:color w:val="000000" w:themeColor="text1"/>
                <w:sz w:val="20"/>
                <w:szCs w:val="20"/>
              </w:rPr>
            </w:pPr>
            <w:r>
              <w:rPr>
                <w:rFonts w:hint="eastAsia" w:ascii="Times New Roman" w:hAnsi="Times New Roman" w:eastAsia="宋体" w:cs="Times New Roman"/>
              </w:rPr>
              <w:t>管理方针：质量第一，加强科学管理；持续改进，增强顾客满意。基本符合要求</w:t>
            </w:r>
            <w:r>
              <w:rPr>
                <w:rFonts w:hint="eastAsia" w:ascii="Times New Roman" w:hAnsi="Times New Roman" w:eastAsia="宋体" w:cs="Times New Roman"/>
                <w:lang w:eastAsia="zh-CN"/>
              </w:rPr>
              <w:t>。</w:t>
            </w:r>
            <w:r>
              <w:rPr>
                <w:rFonts w:hint="eastAsia" w:ascii="Times New Roman" w:hAnsi="Times New Roman" w:eastAsia="宋体" w:cs="Times New Roman"/>
              </w:rPr>
              <w:t>管理方针与企业的经营宗旨相适应，协调</w:t>
            </w:r>
            <w:r>
              <w:rPr>
                <w:rFonts w:hint="eastAsia" w:ascii="Times New Roman" w:hAnsi="Times New Roman" w:eastAsia="宋体" w:cs="Times New Roman"/>
                <w:lang w:eastAsia="zh-CN"/>
              </w:rPr>
              <w:t>。</w:t>
            </w:r>
            <w:r>
              <w:rPr>
                <w:rFonts w:hint="eastAsia" w:ascii="Times New Roman" w:hAnsi="Times New Roman" w:eastAsia="宋体" w:cs="Times New Roman"/>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val="en-US"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w:t>
            </w:r>
            <w:r>
              <w:rPr>
                <w:rFonts w:hint="eastAsia" w:ascii="宋体" w:hAnsi="宋体"/>
                <w:color w:val="auto"/>
                <w:kern w:val="2"/>
                <w:sz w:val="21"/>
                <w:szCs w:val="21"/>
                <w:lang w:val="en-US" w:eastAsia="zh-CN" w:bidi="ar-SA"/>
              </w:rPr>
              <w:t>目前符合要求</w:t>
            </w:r>
            <w:r>
              <w:rPr>
                <w:rFonts w:hint="eastAsia" w:ascii="宋体" w:hAnsi="宋体"/>
                <w:color w:val="auto"/>
                <w:kern w:val="2"/>
                <w:sz w:val="21"/>
                <w:szCs w:val="21"/>
                <w:lang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w:t>
            </w:r>
            <w:r>
              <w:rPr>
                <w:rFonts w:hint="eastAsia" w:ascii="仿宋" w:hAnsi="仿宋" w:eastAsia="仿宋" w:cs="仿宋"/>
                <w:sz w:val="24"/>
                <w:szCs w:val="24"/>
              </w:rPr>
              <w:t>编链</w:t>
            </w:r>
            <w:r>
              <w:rPr>
                <w:rFonts w:hint="eastAsia" w:ascii="仿宋" w:hAnsi="仿宋" w:eastAsia="仿宋" w:cs="仿宋"/>
                <w:sz w:val="24"/>
                <w:szCs w:val="24"/>
                <w:lang w:eastAsia="zh-CN"/>
              </w:rPr>
              <w:t>、</w:t>
            </w:r>
            <w:r>
              <w:rPr>
                <w:rFonts w:hint="eastAsia" w:ascii="仿宋" w:hAnsi="仿宋" w:eastAsia="仿宋" w:cs="仿宋"/>
                <w:sz w:val="24"/>
                <w:szCs w:val="24"/>
              </w:rPr>
              <w:t>焊链</w:t>
            </w:r>
            <w:r>
              <w:rPr>
                <w:rFonts w:hint="eastAsia" w:ascii="仿宋" w:hAnsi="仿宋" w:eastAsia="仿宋" w:cs="仿宋"/>
                <w:sz w:val="24"/>
                <w:szCs w:val="24"/>
                <w:lang w:eastAsia="zh-CN"/>
              </w:rPr>
              <w:t>、</w:t>
            </w:r>
            <w:r>
              <w:rPr>
                <w:rFonts w:hint="eastAsia" w:ascii="仿宋" w:hAnsi="仿宋" w:eastAsia="仿宋" w:cs="仿宋"/>
                <w:sz w:val="24"/>
                <w:szCs w:val="24"/>
              </w:rPr>
              <w:t>打字（钢印）</w:t>
            </w:r>
            <w:r>
              <w:rPr>
                <w:rFonts w:hint="eastAsia" w:ascii="仿宋" w:hAnsi="仿宋" w:eastAsia="仿宋" w:cs="仿宋"/>
                <w:sz w:val="24"/>
                <w:szCs w:val="24"/>
                <w:lang w:eastAsia="zh-CN"/>
              </w:rPr>
              <w:t>、</w:t>
            </w:r>
            <w:r>
              <w:rPr>
                <w:rFonts w:hint="eastAsia" w:ascii="仿宋" w:hAnsi="仿宋" w:eastAsia="仿宋" w:cs="仿宋"/>
                <w:sz w:val="24"/>
                <w:szCs w:val="24"/>
              </w:rPr>
              <w:t>校正</w:t>
            </w:r>
            <w:r>
              <w:rPr>
                <w:rFonts w:hint="eastAsia" w:ascii="仿宋" w:hAnsi="仿宋" w:eastAsia="仿宋" w:cs="仿宋"/>
                <w:sz w:val="24"/>
                <w:szCs w:val="24"/>
                <w:lang w:eastAsia="zh-CN"/>
              </w:rPr>
              <w:t>、</w:t>
            </w:r>
            <w:r>
              <w:rPr>
                <w:rFonts w:hint="eastAsia" w:ascii="仿宋" w:hAnsi="仿宋" w:eastAsia="仿宋" w:cs="仿宋"/>
                <w:sz w:val="24"/>
                <w:szCs w:val="24"/>
              </w:rPr>
              <w:t>淬火</w:t>
            </w:r>
            <w:r>
              <w:rPr>
                <w:rFonts w:hint="eastAsia" w:ascii="仿宋" w:hAnsi="仿宋" w:eastAsia="仿宋" w:cs="仿宋"/>
                <w:sz w:val="24"/>
                <w:szCs w:val="24"/>
                <w:lang w:eastAsia="zh-CN"/>
              </w:rPr>
              <w:t>、</w:t>
            </w:r>
            <w:r>
              <w:rPr>
                <w:rFonts w:hint="eastAsia" w:ascii="仿宋" w:hAnsi="仿宋" w:eastAsia="仿宋" w:cs="仿宋"/>
                <w:color w:val="auto"/>
                <w:sz w:val="24"/>
                <w:szCs w:val="24"/>
              </w:rPr>
              <w:t>贡拉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断链截链</w:t>
            </w:r>
            <w:r>
              <w:rPr>
                <w:rFonts w:hint="eastAsia" w:ascii="宋体" w:hAnsi="宋体"/>
                <w:color w:val="auto"/>
                <w:kern w:val="2"/>
                <w:sz w:val="21"/>
                <w:szCs w:val="21"/>
                <w:lang w:val="en-GB" w:eastAsia="zh-CN" w:bidi="ar-SA"/>
              </w:rPr>
              <w:t>；制定了生产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val="en-GB" w:eastAsia="zh-CN" w:bidi="ar-SA"/>
              </w:rPr>
              <w:t>品检验规范等管理技术文件；配备了</w:t>
            </w:r>
            <w:r>
              <w:rPr>
                <w:rFonts w:hint="eastAsia"/>
                <w:lang w:val="en-US" w:eastAsia="zh-CN"/>
              </w:rPr>
              <w:t>自动链条编结机、链条自动对焊机、链条淬火专用设备、校正机、貢拉机、自动截链机等</w:t>
            </w:r>
            <w:r>
              <w:rPr>
                <w:rFonts w:hint="eastAsia" w:ascii="宋体" w:hAnsi="宋体"/>
                <w:color w:val="auto"/>
                <w:kern w:val="2"/>
                <w:sz w:val="21"/>
                <w:szCs w:val="21"/>
                <w:lang w:val="en-GB" w:eastAsia="zh-CN" w:bidi="ar-SA"/>
              </w:rPr>
              <w:t>生产设备；</w:t>
            </w:r>
            <w:r>
              <w:rPr>
                <w:rFonts w:hint="eastAsia" w:ascii="宋体" w:hAnsi="宋体"/>
                <w:color w:val="auto"/>
                <w:kern w:val="2"/>
                <w:sz w:val="21"/>
                <w:szCs w:val="21"/>
                <w:lang w:val="en-US" w:eastAsia="zh-CN" w:bidi="ar-SA"/>
              </w:rPr>
              <w:t>主要控制自动设备的参数设置</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查看各工序均按照要求进行操作。</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firstLine="420" w:firstLineChars="200"/>
              <w:textAlignment w:val="auto"/>
              <w:outlineLvl w:val="9"/>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及</w:t>
            </w:r>
            <w:r>
              <w:rPr>
                <w:rFonts w:hint="eastAsia" w:ascii="宋体" w:hAnsi="宋体"/>
                <w:color w:val="auto"/>
                <w:kern w:val="2"/>
                <w:sz w:val="21"/>
                <w:szCs w:val="21"/>
                <w:lang w:val="en-GB" w:bidi="ar-SA"/>
              </w:rPr>
              <w:t>成品检验，原材料采取进货验证，产品采取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color w:val="auto"/>
                <w:kern w:val="2"/>
                <w:sz w:val="21"/>
                <w:szCs w:val="21"/>
                <w:lang w:val="en-US" w:eastAsia="zh-CN" w:bidi="ar-SA"/>
              </w:rPr>
              <w:t>盘条，</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w:t>
            </w:r>
            <w:r>
              <w:rPr>
                <w:rFonts w:hint="eastAsia" w:ascii="宋体" w:hAnsi="宋体"/>
                <w:color w:val="auto"/>
                <w:kern w:val="2"/>
                <w:sz w:val="21"/>
                <w:szCs w:val="21"/>
                <w:lang w:val="en-US" w:eastAsia="zh-CN" w:bidi="ar-SA"/>
              </w:rPr>
              <w:t>外观/尺寸/抗拉强度/</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产品检验报告</w:t>
            </w:r>
            <w:r>
              <w:rPr>
                <w:rFonts w:hint="eastAsia" w:ascii="宋体" w:hAnsi="宋体"/>
                <w:color w:val="auto"/>
                <w:kern w:val="2"/>
                <w:sz w:val="21"/>
                <w:szCs w:val="21"/>
                <w:lang w:bidi="ar-SA"/>
              </w:rPr>
              <w:t>。</w:t>
            </w:r>
            <w:r>
              <w:rPr>
                <w:rFonts w:hint="eastAsia" w:ascii="宋体" w:hAnsi="宋体"/>
                <w:color w:val="auto"/>
                <w:kern w:val="2"/>
                <w:sz w:val="21"/>
                <w:szCs w:val="21"/>
                <w:lang w:val="en-US" w:eastAsia="zh-CN" w:bidi="ar-SA"/>
              </w:rPr>
              <w:t>控制符合要求。</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r>
              <w:rPr>
                <w:rFonts w:hint="eastAsia" w:ascii="宋体" w:hAnsi="宋体" w:eastAsia="宋体" w:cs="Times New Roman"/>
                <w:szCs w:val="21"/>
                <w:lang w:val="en-US" w:eastAsia="zh-CN"/>
              </w:rPr>
              <w:t>一般用途低碳钢丝</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YB/T5294-2009、起重用短环链 验收总则</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GB/T20946-2007、起重用短环链 T级（T、DAT和DT型）高精度葫芦链等，目前向顾客提供的产品均合格，提供有产品检验记录。</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ilvl w:val="0"/>
                <w:numId w:val="5"/>
              </w:numPr>
              <w:spacing w:line="240" w:lineRule="exact"/>
              <w:rPr>
                <w:b/>
                <w:color w:val="000000" w:themeColor="text1"/>
                <w:spacing w:val="-8"/>
                <w:sz w:val="20"/>
                <w:szCs w:val="20"/>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OHSMS组织对不可接受风险实施控制的结果</w:t>
            </w:r>
          </w:p>
          <w:p>
            <w:pPr>
              <w:numPr>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目前，企业有</w:t>
            </w:r>
            <w:r>
              <w:rPr>
                <w:rFonts w:hint="eastAsia" w:ascii="仿宋" w:hAnsi="仿宋" w:eastAsia="仿宋" w:cs="仿宋"/>
                <w:sz w:val="24"/>
                <w:szCs w:val="24"/>
                <w:lang w:val="en-US" w:eastAsia="zh-CN"/>
              </w:rPr>
              <w:t>内燃平衡重式叉车一台，并</w:t>
            </w:r>
            <w:r>
              <w:rPr>
                <w:rFonts w:hint="eastAsia"/>
                <w:b/>
                <w:color w:val="000000" w:themeColor="text1"/>
                <w:sz w:val="20"/>
                <w:szCs w:val="20"/>
                <w:lang w:val="en-US" w:eastAsia="zh-CN"/>
              </w:rPr>
              <w:t>定时维护检定，</w:t>
            </w:r>
            <w:r>
              <w:rPr>
                <w:rFonts w:hint="eastAsia" w:ascii="仿宋" w:hAnsi="仿宋" w:eastAsia="仿宋" w:cs="仿宋"/>
                <w:sz w:val="24"/>
                <w:szCs w:val="24"/>
                <w:lang w:val="en-US" w:eastAsia="zh-CN"/>
              </w:rPr>
              <w:t>提供有保定市民康环保科技有限公司出具的定期检验报告（MKJB202004083），合格，签发日期2020.4.17，在有效期内。</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numId w:val="0"/>
              </w:numPr>
              <w:spacing w:line="240" w:lineRule="exact"/>
              <w:ind w:leftChars="-50"/>
              <w:rPr>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98.9</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sz w:val="21"/>
                <w:szCs w:val="21"/>
              </w:rPr>
              <w:t>按照策划的安排于</w:t>
            </w:r>
            <w:r>
              <w:t>20</w:t>
            </w:r>
            <w:r>
              <w:rPr>
                <w:rFonts w:hint="eastAsia"/>
                <w:lang w:val="en-US" w:eastAsia="zh-CN"/>
              </w:rPr>
              <w:t>21年6月4-5日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6</w:t>
            </w:r>
            <w:r>
              <w:rPr>
                <w:rFonts w:hint="eastAsia" w:cs="宋体"/>
              </w:rPr>
              <w:t>月</w:t>
            </w:r>
            <w:r>
              <w:rPr>
                <w:rFonts w:hint="eastAsia"/>
                <w:lang w:val="en-US" w:eastAsia="zh-CN"/>
              </w:rPr>
              <w:t>19</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5"/>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6"/>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w:t>
      </w:r>
      <w:r>
        <w:rPr>
          <w:rFonts w:hint="eastAsia"/>
          <w:b/>
          <w:color w:val="000000" w:themeColor="text1"/>
          <w:lang w:val="en-US" w:eastAsia="zh-CN"/>
        </w:rPr>
        <w:t>1项</w:t>
      </w:r>
      <w:r>
        <w:rPr>
          <w:rFonts w:hint="eastAsia"/>
          <w:b/>
          <w:color w:val="000000" w:themeColor="text1"/>
        </w:rPr>
        <w:t>；其中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w:t>
      </w:r>
      <w:r>
        <w:rPr>
          <w:rFonts w:hint="eastAsia"/>
          <w:b/>
          <w:color w:val="000000" w:themeColor="text1"/>
          <w:lang w:val="en-US" w:eastAsia="zh-CN"/>
        </w:rPr>
        <w:t>0项</w:t>
      </w:r>
      <w:r>
        <w:rPr>
          <w:rFonts w:hint="eastAsia"/>
          <w:b/>
          <w:color w:val="000000" w:themeColor="text1"/>
        </w:rPr>
        <w:t>，一般不符合项</w:t>
      </w:r>
      <w:r>
        <w:rPr>
          <w:rFonts w:hint="eastAsia"/>
          <w:b/>
          <w:color w:val="000000" w:themeColor="text1"/>
          <w:lang w:val="en-US" w:eastAsia="zh-CN"/>
        </w:rPr>
        <w:t>1项</w:t>
      </w:r>
      <w:r>
        <w:rPr>
          <w:rFonts w:hint="eastAsia"/>
          <w:b/>
          <w:color w:val="000000" w:themeColor="text1"/>
        </w:rPr>
        <w:t>，观察项项分布在部门条款</w:t>
      </w:r>
      <w:r>
        <w:rPr>
          <w:rFonts w:hint="eastAsia"/>
          <w:b/>
          <w:color w:val="000000" w:themeColor="text1"/>
          <w:lang w:val="en-US" w:eastAsia="zh-CN"/>
        </w:rPr>
        <w:t>8.4.1</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val="en-US" w:eastAsia="zh-CN"/>
              </w:rPr>
              <w:t>河北大洋索具有限公司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Borders>
              <w:bottom w:val="nil"/>
            </w:tcBorders>
          </w:tcPr>
          <w:p>
            <w:pPr>
              <w:spacing w:line="240" w:lineRule="auto"/>
              <w:rPr>
                <w:rFonts w:hint="eastAsia" w:eastAsia="宋体"/>
                <w:b/>
                <w:color w:val="000000" w:themeColor="text1"/>
                <w:sz w:val="28"/>
                <w:szCs w:val="28"/>
                <w:lang w:eastAsia="zh-CN"/>
              </w:rPr>
            </w:pPr>
            <w:r>
              <w:rPr>
                <w:rFonts w:hint="eastAsia" w:eastAsia="宋体"/>
                <w:b/>
                <w:color w:val="000000" w:themeColor="text1"/>
                <w:sz w:val="28"/>
                <w:szCs w:val="28"/>
                <w:lang w:eastAsia="zh-CN"/>
              </w:rPr>
              <w:drawing>
                <wp:inline distT="0" distB="0" distL="114300" distR="114300">
                  <wp:extent cx="6021070" cy="8854440"/>
                  <wp:effectExtent l="0" t="0" r="13970" b="0"/>
                  <wp:docPr id="3" name="图片 3" descr="扫描全能王 2021-07-20 15.4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7-20 15.44_9"/>
                          <pic:cNvPicPr>
                            <a:picLocks noChangeAspect="1"/>
                          </pic:cNvPicPr>
                        </pic:nvPicPr>
                        <pic:blipFill>
                          <a:blip r:embed="rId6"/>
                          <a:stretch>
                            <a:fillRect/>
                          </a:stretch>
                        </pic:blipFill>
                        <pic:spPr>
                          <a:xfrm>
                            <a:off x="0" y="0"/>
                            <a:ext cx="6021070" cy="88544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80" w:type="dxa"/>
            <w:tcBorders>
              <w:top w:val="nil"/>
              <w:left w:val="nil"/>
              <w:bottom w:val="nil"/>
              <w:right w:val="nil"/>
            </w:tcBorders>
          </w:tcPr>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80" w:type="dxa"/>
            <w:tcBorders>
              <w:top w:val="nil"/>
              <w:left w:val="nil"/>
              <w:bottom w:val="nil"/>
              <w:right w:val="nil"/>
            </w:tcBorders>
          </w:tcPr>
          <w:p>
            <w:pPr>
              <w:snapToGrid w:val="0"/>
              <w:rPr>
                <w:b/>
                <w:color w:val="000000" w:themeColor="text1"/>
                <w:spacing w:val="-10"/>
                <w:sz w:val="16"/>
                <w:szCs w:val="16"/>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nil"/>
            </w:tcBorders>
          </w:tcPr>
          <w:p>
            <w:pPr>
              <w:spacing w:line="360" w:lineRule="auto"/>
              <w:rPr>
                <w:b/>
                <w:color w:val="000000" w:themeColor="text1"/>
              </w:rPr>
            </w:pPr>
          </w:p>
        </w:tc>
      </w:tr>
    </w:tbl>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bookmarkStart w:id="22" w:name="_GoBack"/>
      <w:bookmarkEnd w:id="22"/>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BBF06"/>
    <w:multiLevelType w:val="singleLevel"/>
    <w:tmpl w:val="A0BBBF06"/>
    <w:lvl w:ilvl="0" w:tentative="0">
      <w:start w:val="2"/>
      <w:numFmt w:val="decimal"/>
      <w:lvlText w:val="%1."/>
      <w:lvlJc w:val="left"/>
      <w:pPr>
        <w:tabs>
          <w:tab w:val="left" w:pos="312"/>
        </w:tabs>
      </w:pPr>
    </w:lvl>
  </w:abstractNum>
  <w:abstractNum w:abstractNumId="1">
    <w:nsid w:val="AE2FB5C3"/>
    <w:multiLevelType w:val="singleLevel"/>
    <w:tmpl w:val="AE2FB5C3"/>
    <w:lvl w:ilvl="0" w:tentative="0">
      <w:start w:val="4"/>
      <w:numFmt w:val="decimal"/>
      <w:suff w:val="nothing"/>
      <w:lvlText w:val="%1、"/>
      <w:lvlJc w:val="left"/>
    </w:lvl>
  </w:abstractNum>
  <w:abstractNum w:abstractNumId="2">
    <w:nsid w:val="C568182B"/>
    <w:multiLevelType w:val="singleLevel"/>
    <w:tmpl w:val="C568182B"/>
    <w:lvl w:ilvl="0" w:tentative="0">
      <w:start w:val="2"/>
      <w:numFmt w:val="decimal"/>
      <w:suff w:val="nothing"/>
      <w:lvlText w:val="%1、"/>
      <w:lvlJc w:val="left"/>
    </w:lvl>
  </w:abstractNum>
  <w:abstractNum w:abstractNumId="3">
    <w:nsid w:val="272F592B"/>
    <w:multiLevelType w:val="singleLevel"/>
    <w:tmpl w:val="272F592B"/>
    <w:lvl w:ilvl="0" w:tentative="0">
      <w:start w:val="6"/>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7A199B"/>
    <w:rsid w:val="174C103C"/>
    <w:rsid w:val="1E205580"/>
    <w:rsid w:val="2F7976B3"/>
    <w:rsid w:val="69AB5057"/>
    <w:rsid w:val="7A492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6</TotalTime>
  <ScaleCrop>false</ScaleCrop>
  <LinksUpToDate>false</LinksUpToDate>
  <CharactersWithSpaces>5057</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2021-07-21T12:11:36Z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