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北京懋润咨询有限公司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34.06.00,35.04.02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荆伟峰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37.05.04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北京懋润咨询有限公司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北京市房山区卓秀北街6号院7号楼7层703</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102488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北京市房山区卓秀北街6号院7号楼7层703</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102488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 xml:space="preserve">郭鲲 </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18618105572</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张俊斌</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6" w:name="最高管理者"/>
            <w:bookmarkEnd w:id="6"/>
            <w:r>
              <w:rPr>
                <w:rFonts w:ascii="宋体" w:hAnsi="宋体"/>
                <w:b/>
                <w:color w:val="000000" w:themeColor="text1"/>
                <w:sz w:val="20"/>
                <w:szCs w:val="20"/>
              </w:rPr>
              <w:t>张俊斌</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 xml:space="preserve">郭鲲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napToGrid w:val="0"/>
              <w:spacing w:line="420" w:lineRule="auto"/>
              <w:rPr>
                <w:rFonts w:hint="default" w:ascii="宋体" w:hAnsi="宋体"/>
                <w:color w:val="FF0000"/>
                <w:sz w:val="24"/>
                <w:lang w:val="en-US" w:eastAsia="zh-CN"/>
              </w:rPr>
            </w:pPr>
            <w:r>
              <w:rPr>
                <w:rFonts w:hint="eastAsia" w:ascii="宋体" w:hAnsi="宋体"/>
                <w:color w:val="FF0000"/>
                <w:szCs w:val="21"/>
              </w:rPr>
              <w:t>计算机技术培训、技术转让、企业管理咨询</w:t>
            </w:r>
          </w:p>
          <w:p>
            <w:pPr>
              <w:spacing w:line="320" w:lineRule="exact"/>
              <w:rPr>
                <w:rFonts w:ascii="宋体" w:hAnsi="宋体"/>
                <w:b/>
                <w:color w:val="000000" w:themeColor="text1"/>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7" w:name="专业代码"/>
            <w:r>
              <w:rPr>
                <w:rFonts w:ascii="宋体" w:hAnsi="宋体"/>
                <w:b/>
                <w:color w:val="000000" w:themeColor="text1"/>
                <w:sz w:val="20"/>
                <w:szCs w:val="20"/>
              </w:rPr>
              <w:t>34.06.00;35.04.02;37.05.04</w:t>
            </w:r>
            <w:bookmarkEnd w:id="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8" w:name="体系运行时间"/>
            <w:r>
              <w:rPr>
                <w:rFonts w:ascii="宋体" w:hAnsi="宋体"/>
                <w:b/>
                <w:color w:val="000000" w:themeColor="text1"/>
                <w:sz w:val="20"/>
                <w:szCs w:val="20"/>
              </w:rPr>
              <w:t>2020-08-10 0:00:00</w:t>
            </w:r>
            <w:bookmarkEnd w:id="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default" w:ascii="Times New Roman" w:hAnsi="Times New Roman" w:eastAsia="宋体" w:cs="Times New Roman"/>
                <w:b w:val="0"/>
                <w:bCs/>
                <w:sz w:val="21"/>
                <w:szCs w:val="21"/>
              </w:rPr>
              <w:t>管理层</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rPr>
              <w:t xml:space="preserve">办公室 </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能力；意识；沟通；文件化信息；文件总则、文件和记录控制；变更的控制；内部审核；不合格及纠正措施控制</w:t>
            </w:r>
            <w:r>
              <w:rPr>
                <w:rFonts w:hint="eastAsia" w:ascii="Times New Roman" w:hAnsi="Times New Roman" w:cs="Times New Roman"/>
                <w:sz w:val="21"/>
                <w:szCs w:val="21"/>
                <w:lang w:eastAsia="zh-CN"/>
              </w:rPr>
              <w:t>；</w:t>
            </w:r>
          </w:p>
          <w:p>
            <w:pPr>
              <w:jc w:val="center"/>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lang w:val="en-US" w:eastAsia="zh-CN"/>
              </w:rPr>
              <w:t>咨询</w:t>
            </w:r>
            <w:r>
              <w:rPr>
                <w:rFonts w:hint="eastAsia"/>
              </w:rPr>
              <w:t>技术部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组织的岗位、职责权限；目标、方案基础设施；运行环境；运行的策划和控制；产品和服务的设计和开发；外部提供的过程、产品和服务的控制；</w:t>
            </w:r>
            <w:r>
              <w:rPr>
                <w:rFonts w:hint="eastAsia" w:ascii="Times New Roman" w:hAnsi="Times New Roman" w:eastAsia="宋体" w:cs="Times New Roman"/>
                <w:sz w:val="21"/>
                <w:szCs w:val="21"/>
                <w:lang w:val="en-US" w:eastAsia="zh-CN"/>
              </w:rPr>
              <w:t>服务过程的控制；</w:t>
            </w:r>
            <w:r>
              <w:rPr>
                <w:rFonts w:hint="default" w:ascii="Times New Roman" w:hAnsi="Times New Roman" w:eastAsia="宋体" w:cs="Times New Roman"/>
                <w:sz w:val="21"/>
                <w:szCs w:val="21"/>
                <w:lang w:val="en-US" w:eastAsia="zh-CN"/>
              </w:rPr>
              <w:t>标识和可追溯性；产品防护；</w:t>
            </w:r>
            <w:r>
              <w:rPr>
                <w:rFonts w:hint="eastAsia" w:ascii="Times New Roman" w:hAnsi="Times New Roman" w:eastAsia="宋体" w:cs="Times New Roman"/>
                <w:sz w:val="21"/>
                <w:szCs w:val="21"/>
                <w:lang w:val="en-US" w:eastAsia="zh-CN"/>
              </w:rPr>
              <w:t>产品和服务的放行；不合格品的控制；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营销</w:t>
            </w:r>
            <w:r>
              <w:rPr>
                <w:rFonts w:hint="eastAsia" w:ascii="Times New Roman" w:hAnsi="Times New Roman" w:eastAsia="宋体" w:cs="Times New Roman"/>
                <w:sz w:val="21"/>
                <w:szCs w:val="21"/>
                <w:lang w:val="en-US" w:eastAsia="zh-CN"/>
              </w:rPr>
              <w:t>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部门职责、产品采购、销售情况控制情况，仓库管理情况，目标及管理方案的可行性、顾客满意度等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542"/>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542" w:type="dxa"/>
          </w:tcPr>
          <w:p>
            <w:pPr>
              <w:rPr>
                <w:b/>
                <w:color w:val="000000" w:themeColor="text1"/>
                <w:sz w:val="20"/>
                <w:szCs w:val="20"/>
              </w:rPr>
            </w:pPr>
            <w:r>
              <w:rPr>
                <w:rFonts w:hint="eastAsia"/>
                <w:b/>
                <w:color w:val="000000" w:themeColor="text1"/>
                <w:sz w:val="20"/>
                <w:szCs w:val="20"/>
              </w:rPr>
              <w:t>规格</w:t>
            </w:r>
          </w:p>
        </w:tc>
        <w:tc>
          <w:tcPr>
            <w:tcW w:w="384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电力咨询服务、计算机技术培训、技术转让、技术咨询、企业管理咨询</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c>
          <w:tcPr>
            <w:tcW w:w="1542"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844" w:type="dxa"/>
          </w:tcPr>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中小企业管理创新评价指标体系DB43/T 1598-2019</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电子商务企业管理与服务规范</w:t>
            </w:r>
            <w:r>
              <w:rPr>
                <w:rFonts w:hint="eastAsia" w:ascii="宋体" w:hAnsi="宋体" w:eastAsia="宋体" w:cs="Times New Roman"/>
                <w:color w:val="auto"/>
                <w:kern w:val="2"/>
                <w:sz w:val="21"/>
                <w:szCs w:val="21"/>
                <w:lang w:val="en-US" w:eastAsia="zh-CN" w:bidi="ar-SA"/>
              </w:rPr>
              <w:tab/>
            </w:r>
            <w:r>
              <w:rPr>
                <w:rFonts w:hint="eastAsia" w:ascii="宋体" w:hAnsi="宋体" w:eastAsia="宋体" w:cs="Times New Roman"/>
                <w:color w:val="auto"/>
                <w:kern w:val="2"/>
                <w:sz w:val="21"/>
                <w:szCs w:val="21"/>
                <w:lang w:val="en-US" w:eastAsia="zh-CN" w:bidi="ar-SA"/>
              </w:rPr>
              <w:t>DB33/T 932-2014</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计算机培训服务规范</w:t>
            </w:r>
            <w:r>
              <w:rPr>
                <w:rFonts w:hint="eastAsia" w:ascii="宋体" w:hAnsi="宋体" w:eastAsia="宋体" w:cs="Times New Roman"/>
                <w:color w:val="auto"/>
                <w:kern w:val="2"/>
                <w:sz w:val="21"/>
                <w:szCs w:val="21"/>
                <w:lang w:val="en-US" w:eastAsia="zh-CN" w:bidi="ar-SA"/>
              </w:rPr>
              <w:tab/>
            </w:r>
            <w:r>
              <w:rPr>
                <w:rFonts w:hint="eastAsia" w:ascii="宋体" w:hAnsi="宋体" w:eastAsia="宋体" w:cs="Times New Roman"/>
                <w:color w:val="auto"/>
                <w:kern w:val="2"/>
                <w:sz w:val="21"/>
                <w:szCs w:val="21"/>
                <w:lang w:val="en-US" w:eastAsia="zh-CN" w:bidi="ar-SA"/>
              </w:rPr>
              <w:t>DB37/T 1362-2009</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电力技术转移服务规范</w:t>
            </w:r>
            <w:r>
              <w:rPr>
                <w:rFonts w:hint="eastAsia" w:ascii="宋体" w:hAnsi="宋体" w:eastAsia="宋体" w:cs="Times New Roman"/>
                <w:color w:val="auto"/>
                <w:kern w:val="2"/>
                <w:sz w:val="21"/>
                <w:szCs w:val="21"/>
                <w:lang w:val="en-US" w:eastAsia="zh-CN" w:bidi="ar-SA"/>
              </w:rPr>
              <w:tab/>
            </w:r>
            <w:r>
              <w:rPr>
                <w:rFonts w:hint="eastAsia" w:ascii="宋体" w:hAnsi="宋体" w:eastAsia="宋体" w:cs="Times New Roman"/>
                <w:color w:val="auto"/>
                <w:kern w:val="2"/>
                <w:sz w:val="21"/>
                <w:szCs w:val="21"/>
                <w:lang w:val="en-US" w:eastAsia="zh-CN" w:bidi="ar-SA"/>
              </w:rPr>
              <w:t>DL/T 2137-2021</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中华人民共和国专利法</w:t>
            </w:r>
            <w:r>
              <w:rPr>
                <w:rFonts w:hint="eastAsia" w:ascii="宋体" w:hAnsi="宋体" w:eastAsia="宋体" w:cs="Times New Roman"/>
                <w:color w:val="auto"/>
                <w:kern w:val="2"/>
                <w:sz w:val="21"/>
                <w:szCs w:val="21"/>
                <w:lang w:val="en-US" w:eastAsia="zh-CN" w:bidi="ar-SA"/>
              </w:rPr>
              <w:tab/>
            </w:r>
            <w:r>
              <w:rPr>
                <w:rFonts w:hint="eastAsia" w:ascii="宋体" w:hAnsi="宋体" w:eastAsia="宋体" w:cs="Times New Roman"/>
                <w:color w:val="auto"/>
                <w:kern w:val="2"/>
                <w:sz w:val="21"/>
                <w:szCs w:val="21"/>
                <w:lang w:val="en-US" w:eastAsia="zh-CN" w:bidi="ar-SA"/>
              </w:rPr>
              <w:t>2020年10月17日</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中华人民共和国民办教育促进法 </w:t>
            </w:r>
            <w:r>
              <w:rPr>
                <w:rFonts w:hint="eastAsia" w:ascii="宋体" w:hAnsi="宋体" w:eastAsia="宋体" w:cs="Times New Roman"/>
                <w:color w:val="auto"/>
                <w:kern w:val="2"/>
                <w:sz w:val="21"/>
                <w:szCs w:val="21"/>
                <w:lang w:val="en-US" w:eastAsia="zh-CN" w:bidi="ar-SA"/>
              </w:rPr>
              <w:tab/>
            </w:r>
            <w:r>
              <w:rPr>
                <w:rFonts w:hint="eastAsia" w:ascii="宋体" w:hAnsi="宋体" w:eastAsia="宋体" w:cs="Times New Roman"/>
                <w:color w:val="auto"/>
                <w:kern w:val="2"/>
                <w:sz w:val="21"/>
                <w:szCs w:val="21"/>
                <w:lang w:val="en-US" w:eastAsia="zh-CN" w:bidi="ar-SA"/>
              </w:rPr>
              <w:t>2002年12月28日</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中华人民共和国职业教育法 </w:t>
            </w:r>
            <w:r>
              <w:rPr>
                <w:rFonts w:hint="eastAsia" w:ascii="宋体" w:hAnsi="宋体" w:eastAsia="宋体" w:cs="Times New Roman"/>
                <w:color w:val="auto"/>
                <w:kern w:val="2"/>
                <w:sz w:val="21"/>
                <w:szCs w:val="21"/>
                <w:lang w:val="en-US" w:eastAsia="zh-CN" w:bidi="ar-SA"/>
              </w:rPr>
              <w:tab/>
            </w:r>
            <w:r>
              <w:rPr>
                <w:rFonts w:hint="eastAsia" w:ascii="宋体" w:hAnsi="宋体" w:eastAsia="宋体" w:cs="Times New Roman"/>
                <w:color w:val="auto"/>
                <w:kern w:val="2"/>
                <w:sz w:val="21"/>
                <w:szCs w:val="21"/>
                <w:lang w:val="en-US" w:eastAsia="zh-CN" w:bidi="ar-SA"/>
              </w:rPr>
              <w:t>1996年9月1日</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542" w:type="dxa"/>
          </w:tcPr>
          <w:p>
            <w:pPr>
              <w:rPr>
                <w:b/>
                <w:color w:val="000000" w:themeColor="text1"/>
                <w:sz w:val="20"/>
                <w:szCs w:val="20"/>
              </w:rPr>
            </w:pPr>
          </w:p>
        </w:tc>
        <w:tc>
          <w:tcPr>
            <w:tcW w:w="3844"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542" w:type="dxa"/>
          </w:tcPr>
          <w:p>
            <w:pPr>
              <w:rPr>
                <w:b/>
                <w:color w:val="000000" w:themeColor="text1"/>
                <w:sz w:val="20"/>
                <w:szCs w:val="20"/>
              </w:rPr>
            </w:pPr>
          </w:p>
        </w:tc>
        <w:tc>
          <w:tcPr>
            <w:tcW w:w="3844"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542" w:type="dxa"/>
          </w:tcPr>
          <w:p>
            <w:pPr>
              <w:rPr>
                <w:b/>
                <w:color w:val="000000" w:themeColor="text1"/>
                <w:sz w:val="20"/>
                <w:szCs w:val="20"/>
              </w:rPr>
            </w:pPr>
          </w:p>
        </w:tc>
        <w:tc>
          <w:tcPr>
            <w:tcW w:w="3844"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25</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cs="Times New Roman"/>
                <w:szCs w:val="22"/>
              </w:rPr>
            </w:pPr>
            <w:r>
              <w:rPr>
                <w:rFonts w:hint="eastAsia" w:ascii="Times New Roman" w:hAnsi="Times New Roman" w:cs="Times New Roman"/>
                <w:szCs w:val="22"/>
              </w:rPr>
              <w:t>北京懋润咨询有限公司,2015年07月16日成立，经营范围包括电力咨询服务；劳务分包；会议服务、承办展览展示；技术开发、技术转让、技术咨询（中介除外）、技术推广、技术服务；计算机技术培训；经济信息咨询、企业管理咨询、教育信息咨询（中介除外）；计算机系统服务；销售计算机软硬件及辅助设备、电气设备、仪器仪表、电子产品。（市场主体依法自主选择经营项目，开展经营活动；依法须经批准的项目，经相关部门批准后依批准的内容开展经营活动；不得从事国家和本市产业政策禁止和限制类项目的经营活动。）</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现场见到营业执照，审核范围在其经营范围内，营业执照，见附件</w:t>
            </w:r>
          </w:p>
          <w:p>
            <w:pPr>
              <w:rPr>
                <w:rFonts w:hint="eastAsia" w:ascii="Times New Roman" w:hAnsi="Times New Roman" w:cs="Times New Roman"/>
                <w:szCs w:val="22"/>
              </w:rPr>
            </w:pPr>
            <w:r>
              <w:rPr>
                <w:rFonts w:hint="eastAsia" w:ascii="Times New Roman" w:hAnsi="Times New Roman" w:cs="Times New Roman"/>
                <w:szCs w:val="22"/>
                <w:lang w:val="en-US" w:eastAsia="zh-CN"/>
              </w:rPr>
              <w:t>认证范围：</w:t>
            </w:r>
            <w:r>
              <w:rPr>
                <w:rFonts w:hint="eastAsia" w:ascii="Times New Roman" w:hAnsi="Times New Roman" w:cs="Times New Roman"/>
                <w:szCs w:val="22"/>
              </w:rPr>
              <w:t xml:space="preserve">电力咨询服务、计算机技术培训、技术转让、技术咨询、企业管理咨询 </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多年来公司主营业务坚持走独立创新的持续发展之路，公司掌握着产品销售和技术开发领域的核心产品，也正面临着良好的市场机遇，具有广阔的发展空间。</w:t>
            </w:r>
          </w:p>
          <w:p>
            <w:pPr>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公司自成立以来，始终坚持以人才为本、诚信立业的经营原则，荟萃业界精英，将先进的信息技术、管理方法及企业经验与业内企业的具体实际相结合，为企业提供全方位的解决方案，帮助企业提高管理水平和销售能力，使企业在激烈的市场竞争中始终保持竞争力，实现企业快速、稳定地发展</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spacing w:line="240" w:lineRule="exact"/>
              <w:rPr>
                <w:b/>
                <w:color w:val="000000" w:themeColor="text1"/>
                <w:sz w:val="20"/>
                <w:szCs w:val="20"/>
              </w:rPr>
            </w:pPr>
            <w:r>
              <w:rPr>
                <w:rFonts w:hint="eastAsia" w:ascii="Times New Roman" w:hAnsi="Times New Roman" w:cs="Times New Roman"/>
                <w:szCs w:val="22"/>
              </w:rPr>
              <w:t>公司每年</w:t>
            </w:r>
            <w:r>
              <w:rPr>
                <w:rFonts w:hint="eastAsia" w:cs="Times New Roman"/>
                <w:szCs w:val="22"/>
                <w:lang w:eastAsia="zh-CN"/>
              </w:rPr>
              <w:t>行政部</w:t>
            </w:r>
            <w:r>
              <w:rPr>
                <w:rFonts w:hint="eastAsia" w:ascii="Times New Roman" w:hAnsi="Times New Roman" w:cs="Times New Roman"/>
                <w:szCs w:val="22"/>
              </w:rPr>
              <w:t>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rPr>
            </w:pPr>
            <w:r>
              <w:rPr>
                <w:b/>
                <w:color w:val="000000" w:themeColor="text1"/>
                <w:sz w:val="20"/>
                <w:szCs w:val="20"/>
              </w:rPr>
              <w:t>2、</w:t>
            </w:r>
            <w:r>
              <w:rPr>
                <w:rFonts w:hint="eastAsia"/>
                <w:b/>
                <w:color w:val="000000" w:themeColor="text1"/>
                <w:sz w:val="20"/>
                <w:szCs w:val="20"/>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rPr>
              <w:t>以质量求生存</w:t>
            </w:r>
            <w:r>
              <w:rPr>
                <w:rFonts w:hint="eastAsia"/>
              </w:rPr>
              <w:tab/>
            </w:r>
            <w:r>
              <w:rPr>
                <w:rFonts w:hint="eastAsia"/>
              </w:rPr>
              <w:t>以信誉求发展</w:t>
            </w:r>
            <w:r>
              <w:rPr>
                <w:rFonts w:hint="eastAsia"/>
              </w:rPr>
              <w:tab/>
            </w:r>
          </w:p>
          <w:p>
            <w:pPr>
              <w:rPr>
                <w:rFonts w:hint="eastAsia"/>
              </w:rPr>
            </w:pPr>
            <w:r>
              <w:rPr>
                <w:rFonts w:hint="eastAsia"/>
              </w:rPr>
              <w:tab/>
            </w:r>
            <w:r>
              <w:rPr>
                <w:rFonts w:hint="eastAsia"/>
              </w:rPr>
              <w:t>持续改进质量管理体系</w:t>
            </w:r>
            <w:r>
              <w:rPr>
                <w:rFonts w:hint="eastAsia"/>
              </w:rPr>
              <w:tab/>
            </w:r>
            <w:r>
              <w:rPr>
                <w:rFonts w:hint="eastAsia"/>
              </w:rPr>
              <w:t>增进顾客满意</w:t>
            </w:r>
            <w:r>
              <w:rPr>
                <w:rFonts w:hint="eastAsia"/>
              </w:rPr>
              <w:tab/>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pStyle w:val="11"/>
              <w:numPr>
                <w:ilvl w:val="0"/>
                <w:numId w:val="2"/>
              </w:numPr>
              <w:ind w:left="0" w:leftChars="0" w:firstLine="0" w:firstLineChars="0"/>
              <w:rPr>
                <w:rFonts w:hint="eastAsia"/>
                <w:b/>
                <w:color w:val="000000" w:themeColor="text1"/>
              </w:rPr>
            </w:pPr>
            <w:r>
              <w:rPr>
                <w:rFonts w:hint="eastAsia"/>
                <w:b/>
                <w:color w:val="000000" w:themeColor="text1"/>
              </w:rPr>
              <w:t>风险识别与控制策划（QMS）</w:t>
            </w:r>
          </w:p>
          <w:p>
            <w:pPr>
              <w:pStyle w:val="11"/>
              <w:numPr>
                <w:ilvl w:val="0"/>
                <w:numId w:val="0"/>
              </w:numPr>
              <w:ind w:leftChars="0"/>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11"/>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提供了“2021年度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default" w:ascii="宋体" w:hAnsi="宋体" w:eastAsia="宋体" w:cs="Times New Roman"/>
                <w:color w:val="auto"/>
                <w:kern w:val="2"/>
                <w:sz w:val="18"/>
                <w:szCs w:val="22"/>
                <w:lang w:val="en-US" w:eastAsia="zh-CN" w:bidi="ar-SA"/>
              </w:rPr>
              <w:t>1、计算机技术培训：</w:t>
            </w:r>
            <w:r>
              <w:rPr>
                <w:rFonts w:hint="eastAsia" w:ascii="宋体" w:hAnsi="宋体" w:eastAsia="宋体" w:cs="Times New Roman"/>
                <w:color w:val="auto"/>
                <w:kern w:val="2"/>
                <w:sz w:val="18"/>
                <w:szCs w:val="22"/>
                <w:lang w:val="en-US" w:eastAsia="zh-CN" w:bidi="ar-SA"/>
              </w:rPr>
              <w:t>签订合同-培训方案的确定-采购收集培训所需物资、材料-培训实施</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default" w:ascii="宋体" w:hAnsi="宋体" w:eastAsia="宋体" w:cs="Times New Roman"/>
                <w:color w:val="auto"/>
                <w:kern w:val="2"/>
                <w:sz w:val="18"/>
                <w:szCs w:val="22"/>
                <w:lang w:val="en-US" w:eastAsia="zh-CN" w:bidi="ar-SA"/>
              </w:rPr>
              <w:t>2、技术转让：</w:t>
            </w:r>
            <w:r>
              <w:rPr>
                <w:rFonts w:hint="eastAsia" w:ascii="宋体" w:hAnsi="宋体" w:eastAsia="宋体" w:cs="Times New Roman"/>
                <w:color w:val="auto"/>
                <w:kern w:val="2"/>
                <w:sz w:val="18"/>
                <w:szCs w:val="22"/>
                <w:lang w:val="en-US" w:eastAsia="zh-CN" w:bidi="ar-SA"/>
              </w:rPr>
              <w:t>签订合同-准备技术转让相关材料-顾客验收</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default" w:ascii="宋体" w:hAnsi="宋体" w:eastAsia="宋体" w:cs="Times New Roman"/>
                <w:color w:val="auto"/>
                <w:kern w:val="2"/>
                <w:sz w:val="18"/>
                <w:szCs w:val="22"/>
                <w:lang w:val="en-US" w:eastAsia="zh-CN" w:bidi="ar-SA"/>
              </w:rPr>
              <w:t>4、企业管理咨询：</w:t>
            </w:r>
            <w:r>
              <w:rPr>
                <w:rFonts w:hint="eastAsia" w:ascii="宋体" w:hAnsi="宋体" w:eastAsia="宋体" w:cs="Times New Roman"/>
                <w:color w:val="auto"/>
                <w:kern w:val="2"/>
                <w:sz w:val="18"/>
                <w:szCs w:val="22"/>
                <w:lang w:val="en-US" w:eastAsia="zh-CN" w:bidi="ar-SA"/>
              </w:rPr>
              <w:t>签订合同-培训方案的确定-采购收集培训所需物资、材料-培训实施</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关键过程：</w:t>
            </w:r>
            <w:r>
              <w:rPr>
                <w:rFonts w:hint="eastAsia" w:ascii="宋体" w:hAnsi="宋体" w:cs="Times New Roman"/>
                <w:color w:val="auto"/>
                <w:kern w:val="2"/>
                <w:sz w:val="18"/>
                <w:szCs w:val="22"/>
                <w:lang w:val="en-US" w:eastAsia="zh-CN" w:bidi="ar-SA"/>
              </w:rPr>
              <w:t>咨询</w:t>
            </w:r>
            <w:r>
              <w:rPr>
                <w:rFonts w:hint="eastAsia" w:ascii="宋体" w:hAnsi="宋体" w:eastAsia="宋体" w:cs="Times New Roman"/>
                <w:color w:val="auto"/>
                <w:kern w:val="2"/>
                <w:sz w:val="18"/>
                <w:szCs w:val="22"/>
                <w:lang w:val="en-US" w:eastAsia="zh-CN" w:bidi="ar-SA"/>
              </w:rPr>
              <w:t>服务过程</w:t>
            </w:r>
          </w:p>
          <w:p>
            <w:pPr>
              <w:spacing w:line="360" w:lineRule="auto"/>
              <w:ind w:firstLine="360" w:firstLineChars="200"/>
              <w:rPr>
                <w:rFonts w:hint="eastAsia" w:ascii="Times New Roman" w:hAnsi="Times New Roman" w:eastAsia="宋体" w:cs="Times New Roman"/>
                <w:highlight w:val="none"/>
                <w:lang w:val="en-US" w:eastAsia="zh-CN"/>
              </w:rPr>
            </w:pPr>
            <w:r>
              <w:rPr>
                <w:rFonts w:hint="eastAsia" w:ascii="宋体" w:hAnsi="宋体" w:eastAsia="宋体" w:cs="Times New Roman"/>
                <w:color w:val="auto"/>
                <w:kern w:val="2"/>
                <w:sz w:val="18"/>
                <w:szCs w:val="22"/>
                <w:lang w:val="en-US" w:eastAsia="zh-CN" w:bidi="ar-SA"/>
              </w:rPr>
              <w:t>特殊过程：</w:t>
            </w:r>
            <w:r>
              <w:rPr>
                <w:rFonts w:hint="eastAsia" w:ascii="宋体" w:hAnsi="宋体" w:cs="Times New Roman"/>
                <w:color w:val="auto"/>
                <w:kern w:val="2"/>
                <w:sz w:val="18"/>
                <w:szCs w:val="22"/>
                <w:lang w:val="en-US" w:eastAsia="zh-CN" w:bidi="ar-SA"/>
              </w:rPr>
              <w:t>咨询</w:t>
            </w:r>
            <w:r>
              <w:rPr>
                <w:rFonts w:hint="eastAsia" w:ascii="宋体" w:hAnsi="宋体" w:eastAsia="宋体" w:cs="Times New Roman"/>
                <w:color w:val="auto"/>
                <w:kern w:val="2"/>
                <w:sz w:val="18"/>
                <w:szCs w:val="22"/>
                <w:lang w:val="en-US" w:eastAsia="zh-CN" w:bidi="ar-SA"/>
              </w:rPr>
              <w:t>服务过程</w:t>
            </w:r>
          </w:p>
          <w:p>
            <w:pPr>
              <w:ind w:firstLine="210" w:firstLineChars="1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外包：</w:t>
            </w:r>
            <w:r>
              <w:rPr>
                <w:rFonts w:hint="eastAsia" w:cs="Times New Roman"/>
                <w:highlight w:val="none"/>
                <w:lang w:val="en-US" w:eastAsia="zh-CN"/>
              </w:rPr>
              <w:t>培训教师外包</w:t>
            </w:r>
          </w:p>
          <w:p>
            <w:pPr>
              <w:tabs>
                <w:tab w:val="left" w:pos="540"/>
              </w:tabs>
              <w:spacing w:line="300" w:lineRule="exact"/>
              <w:ind w:left="199" w:leftChars="95" w:firstLine="0" w:firstLineChars="0"/>
              <w:rPr>
                <w:rFonts w:ascii="宋体" w:hAnsi="宋体"/>
                <w:b/>
                <w:color w:val="000000" w:themeColor="text1"/>
                <w:sz w:val="20"/>
                <w:szCs w:val="20"/>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hAnsi="宋体"/>
                <w:snapToGrid w:val="0"/>
                <w:color w:val="000000"/>
                <w:sz w:val="24"/>
              </w:rPr>
              <w:t>“</w:t>
            </w:r>
            <w:r>
              <w:rPr>
                <w:rFonts w:hint="eastAsia" w:hAnsi="宋体"/>
                <w:snapToGrid w:val="0"/>
                <w:color w:val="000000"/>
                <w:sz w:val="24"/>
                <w:lang w:eastAsia="zh-CN"/>
              </w:rPr>
              <w:t>项目</w:t>
            </w:r>
            <w:r>
              <w:rPr>
                <w:rFonts w:hint="eastAsia" w:hAnsi="宋体"/>
                <w:snapToGrid w:val="0"/>
                <w:color w:val="000000"/>
                <w:sz w:val="24"/>
              </w:rPr>
              <w:t>和服务的设计和开发”本公司不适用，不适用部分不影响我公司持续提供满足顾客要求和适用法律法规要求的服务能力与责任，也不影响我公司持续提供增强顾客满意服务的能力。</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文审整改后符合要求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8</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val="en-US" w:eastAsia="zh-CN"/>
              </w:rPr>
              <w:t>销售</w:t>
            </w:r>
            <w:r>
              <w:rPr>
                <w:rFonts w:hint="eastAsia"/>
                <w:bCs/>
                <w:szCs w:val="21"/>
              </w:rPr>
              <w:t>人员</w:t>
            </w:r>
            <w:r>
              <w:rPr>
                <w:rFonts w:hint="eastAsia"/>
                <w:bCs/>
                <w:szCs w:val="21"/>
                <w:lang w:eastAsia="zh-CN"/>
              </w:rPr>
              <w:t>、</w:t>
            </w:r>
            <w:r>
              <w:rPr>
                <w:rFonts w:hint="eastAsia"/>
                <w:bCs/>
                <w:szCs w:val="21"/>
                <w:lang w:val="en-US" w:eastAsia="zh-CN"/>
              </w:rPr>
              <w:t>咨询</w:t>
            </w:r>
            <w:r>
              <w:rPr>
                <w:rFonts w:hint="eastAsia"/>
                <w:bCs/>
                <w:szCs w:val="21"/>
                <w:lang w:eastAsia="zh-CN"/>
              </w:rPr>
              <w:t>技术人员</w:t>
            </w:r>
            <w:r>
              <w:rPr>
                <w:rFonts w:hint="eastAsia"/>
                <w:bCs/>
                <w:szCs w:val="21"/>
              </w:rPr>
              <w:t>，能</w:t>
            </w:r>
            <w:r>
              <w:rPr>
                <w:rFonts w:hint="eastAsia"/>
                <w:bCs/>
                <w:szCs w:val="21"/>
                <w:lang w:eastAsia="zh-CN"/>
              </w:rPr>
              <w:t>满足</w:t>
            </w:r>
            <w:r>
              <w:rPr>
                <w:rFonts w:hint="eastAsia" w:ascii="宋体" w:hAnsi="宋体"/>
                <w:szCs w:val="21"/>
              </w:rPr>
              <w:t>电力咨询服务、计算机技术培训、技术转让、技术咨询、企业管理咨询</w:t>
            </w:r>
            <w:r>
              <w:rPr>
                <w:rFonts w:hint="eastAsia" w:ascii="宋体" w:hAnsi="宋体"/>
                <w:szCs w:val="21"/>
                <w:lang w:val="en-US" w:eastAsia="zh-CN"/>
              </w:rPr>
              <w:t>的</w:t>
            </w:r>
            <w:r>
              <w:rPr>
                <w:rFonts w:hint="eastAsia" w:ascii="宋体" w:hAnsi="宋体"/>
                <w:szCs w:val="21"/>
              </w:rPr>
              <w:t>技术服务</w:t>
            </w:r>
            <w:r>
              <w:rPr>
                <w:rFonts w:hint="eastAsia" w:ascii="宋体" w:hAnsi="宋体" w:cs="宋体"/>
                <w:kern w:val="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电脑、电话、打印机、扫描仪等</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现场办公区</w:t>
            </w:r>
            <w:r>
              <w:rPr>
                <w:rFonts w:hint="eastAsia"/>
                <w:lang w:val="en-US" w:eastAsia="zh-CN"/>
              </w:rPr>
              <w:t>及生产区域</w:t>
            </w:r>
            <w:r>
              <w:rPr>
                <w:rFonts w:hint="eastAsia"/>
              </w:rPr>
              <w:t>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pStyle w:val="11"/>
              <w:rPr>
                <w:rFonts w:hint="default" w:ascii="宋体" w:hAnsi="宋体" w:eastAsia="宋体"/>
                <w:sz w:val="21"/>
                <w:szCs w:val="21"/>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11"/>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leftChars="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1"/>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括回访和顾客满意度调查），相关绩效表明：组织基本能有效控制管理其服务</w:t>
            </w:r>
            <w:r>
              <w:rPr>
                <w:rFonts w:hint="eastAsia" w:ascii="宋体" w:hAnsi="宋体" w:cs="宋体"/>
                <w:color w:val="000000"/>
                <w:szCs w:val="21"/>
              </w:rPr>
              <w:t>过程，</w:t>
            </w:r>
            <w:r>
              <w:rPr>
                <w:rFonts w:hint="eastAsia" w:ascii="宋体" w:hAnsi="宋体" w:cs="宋体"/>
                <w:color w:val="000000"/>
                <w:szCs w:val="21"/>
                <w:lang w:val="en-US" w:eastAsia="zh-CN"/>
              </w:rPr>
              <w:t>需要确认的过程是咨询服务过程</w:t>
            </w:r>
            <w:r>
              <w:rPr>
                <w:rFonts w:hint="eastAsia" w:ascii="宋体" w:hAnsi="宋体" w:cs="宋体"/>
                <w:color w:val="000000"/>
                <w:szCs w:val="21"/>
              </w:rPr>
              <w:t>，公司制定了“特殊过程评审、确认准则”，从审核过程看，公司的产品质量管理基本受控</w:t>
            </w:r>
            <w:r>
              <w:rPr>
                <w:rFonts w:hint="eastAsia" w:ascii="宋体" w:hAnsi="宋体" w:cs="宋体"/>
                <w:color w:val="000000"/>
                <w:szCs w:val="21"/>
                <w:lang w:eastAsia="zh-CN"/>
              </w:rPr>
              <w:t>，</w:t>
            </w:r>
            <w:r>
              <w:rPr>
                <w:rFonts w:hint="eastAsia" w:ascii="宋体" w:hAnsi="宋体" w:cs="宋体"/>
                <w:color w:val="000000"/>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pacing w:val="-8"/>
                <w:sz w:val="20"/>
                <w:szCs w:val="20"/>
              </w:rPr>
            </w:pPr>
            <w:r>
              <w:rPr>
                <w:rFonts w:hint="eastAsia"/>
                <w:b/>
                <w:color w:val="000000" w:themeColor="text1"/>
                <w:spacing w:val="-8"/>
                <w:sz w:val="20"/>
                <w:szCs w:val="20"/>
              </w:rPr>
              <w:t>不合格品/项的识别、控制;</w:t>
            </w:r>
          </w:p>
          <w:p>
            <w:pPr>
              <w:numPr>
                <w:ilvl w:val="0"/>
                <w:numId w:val="0"/>
              </w:numPr>
              <w:spacing w:line="240" w:lineRule="exact"/>
              <w:rPr>
                <w:b/>
                <w:color w:val="000000" w:themeColor="text1"/>
                <w:spacing w:val="-8"/>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rPr>
            </w:pPr>
            <w:r>
              <w:rPr>
                <w:rFonts w:hint="eastAsia"/>
              </w:rPr>
              <w:t>11 .对危险化学品销售、使用、储存、运输处置，规定的执行力度(必要时);</w:t>
            </w:r>
          </w:p>
          <w:p>
            <w:pPr>
              <w:pStyle w:val="11"/>
              <w:rPr>
                <w:b/>
                <w:color w:val="000000" w:themeColor="text1"/>
                <w:sz w:val="20"/>
                <w:szCs w:val="20"/>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lang w:val="en-US" w:eastAsia="zh-CN"/>
              </w:rPr>
              <w:t>2021年1-6</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color w:val="000000" w:themeColor="text1"/>
                <w:sz w:val="21"/>
                <w:szCs w:val="21"/>
              </w:rPr>
            </w:pPr>
          </w:p>
          <w:p>
            <w:pPr>
              <w:spacing w:line="240" w:lineRule="exact"/>
              <w:rPr>
                <w:b/>
                <w:color w:val="000000" w:themeColor="text1"/>
                <w:sz w:val="20"/>
                <w:szCs w:val="20"/>
              </w:rPr>
            </w:pPr>
            <w:r>
              <w:rPr>
                <w:rFonts w:hint="eastAsia" w:ascii="宋体" w:hAnsi="宋体"/>
                <w:color w:val="000000" w:themeColor="text1"/>
                <w:szCs w:val="21"/>
              </w:rPr>
              <w:t>建立有《内部审核控制程序》，规定了内审频次一年一次，内审时间：</w:t>
            </w:r>
            <w:r>
              <w:rPr>
                <w:rFonts w:hint="default"/>
                <w:lang w:val="en-US" w:eastAsia="zh-CN"/>
              </w:rPr>
              <w:t>202</w:t>
            </w:r>
            <w:r>
              <w:rPr>
                <w:rFonts w:hint="eastAsia"/>
                <w:lang w:val="en-US" w:eastAsia="zh-CN"/>
              </w:rPr>
              <w:t>1</w:t>
            </w:r>
            <w:r>
              <w:rPr>
                <w:rFonts w:hint="default"/>
                <w:lang w:val="en-US" w:eastAsia="zh-CN"/>
              </w:rPr>
              <w:t>年</w:t>
            </w:r>
            <w:r>
              <w:rPr>
                <w:rFonts w:hint="eastAsia"/>
                <w:lang w:val="en-US" w:eastAsia="zh-CN"/>
              </w:rPr>
              <w:t>6</w:t>
            </w:r>
            <w:r>
              <w:rPr>
                <w:rFonts w:hint="default"/>
                <w:lang w:val="en-US" w:eastAsia="zh-CN"/>
              </w:rPr>
              <w:t xml:space="preserve"> 月</w:t>
            </w:r>
            <w:r>
              <w:rPr>
                <w:rFonts w:hint="eastAsia"/>
                <w:lang w:val="en-US" w:eastAsia="zh-CN"/>
              </w:rPr>
              <w:t>5日</w:t>
            </w:r>
            <w:r>
              <w:rPr>
                <w:rFonts w:hint="default"/>
                <w:lang w:val="en-US" w:eastAsia="zh-CN"/>
              </w:rPr>
              <w:t xml:space="preserve"> </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szCs w:val="21"/>
              </w:rPr>
              <w:t>管理评审频次为一年一次、本次管理评审于</w:t>
            </w:r>
            <w:r>
              <w:rPr>
                <w:rFonts w:hint="eastAsia"/>
                <w:color w:val="000000" w:themeColor="text1"/>
              </w:rPr>
              <w:t>202</w:t>
            </w:r>
            <w:r>
              <w:rPr>
                <w:rFonts w:hint="eastAsia"/>
                <w:color w:val="000000" w:themeColor="text1"/>
                <w:lang w:val="en-US" w:eastAsia="zh-CN"/>
              </w:rPr>
              <w:t>1</w:t>
            </w:r>
            <w:r>
              <w:rPr>
                <w:rFonts w:hint="eastAsia"/>
                <w:color w:val="000000" w:themeColor="text1"/>
              </w:rPr>
              <w:t>年</w:t>
            </w:r>
            <w:r>
              <w:rPr>
                <w:rFonts w:hint="eastAsia"/>
                <w:color w:val="000000" w:themeColor="text1"/>
                <w:lang w:val="en-US" w:eastAsia="zh-CN"/>
              </w:rPr>
              <w:t>6</w:t>
            </w:r>
            <w:r>
              <w:rPr>
                <w:rFonts w:hint="eastAsia"/>
                <w:color w:val="000000" w:themeColor="text1"/>
              </w:rPr>
              <w:t>月</w:t>
            </w:r>
            <w:r>
              <w:rPr>
                <w:rFonts w:hint="eastAsia"/>
                <w:color w:val="000000" w:themeColor="text1"/>
                <w:lang w:val="en-US" w:eastAsia="zh-CN"/>
              </w:rPr>
              <w:t>10</w:t>
            </w:r>
            <w:r>
              <w:rPr>
                <w:rFonts w:hint="eastAsia"/>
                <w:color w:val="000000" w:themeColor="text1"/>
              </w:rPr>
              <w:t>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pStyle w:val="11"/>
              <w:numPr>
                <w:ilvl w:val="0"/>
                <w:numId w:val="0"/>
              </w:numPr>
              <w:rPr>
                <w:rFonts w:hint="eastAsia" w:eastAsia="宋体"/>
                <w:lang w:val="en-US" w:eastAsia="zh-CN"/>
              </w:rPr>
            </w:pPr>
            <w:r>
              <w:rPr>
                <w:rFonts w:hint="eastAsia"/>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宋体" w:hAnsi="宋体" w:cs="宋体"/>
                <w:color w:val="000000" w:themeColor="text1"/>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ascii="宋体" w:hAnsi="宋体" w:cs="宋体"/>
                <w:color w:val="000000" w:themeColor="text1"/>
                <w:lang w:val="en-US" w:eastAsia="zh-CN"/>
              </w:rPr>
              <w:t>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5"/>
              </w:numPr>
              <w:spacing w:line="240" w:lineRule="exact"/>
              <w:rPr>
                <w:rFonts w:hint="eastAsia"/>
                <w:lang w:eastAsia="zh-CN"/>
              </w:rPr>
            </w:pPr>
            <w:r>
              <w:rPr>
                <w:rFonts w:hint="eastAsia"/>
              </w:rPr>
              <w:t>创新情况</w:t>
            </w:r>
            <w:r>
              <w:rPr>
                <w:rFonts w:hint="eastAsia"/>
                <w:lang w:eastAsia="zh-CN"/>
              </w:rPr>
              <w:t>：</w:t>
            </w:r>
          </w:p>
          <w:p>
            <w:pPr>
              <w:pStyle w:val="11"/>
              <w:numPr>
                <w:ilvl w:val="0"/>
                <w:numId w:val="0"/>
              </w:numPr>
              <w:ind w:left="0" w:leftChars="0" w:firstLine="0" w:firstLineChars="0"/>
              <w:rPr>
                <w:b/>
                <w:color w:val="000000" w:themeColor="text1"/>
                <w:sz w:val="20"/>
                <w:szCs w:val="20"/>
              </w:rPr>
            </w:pPr>
            <w:r>
              <w:rPr>
                <w:rFonts w:hint="eastAsia"/>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color w:val="000000"/>
                <w:szCs w:val="21"/>
              </w:rPr>
              <w:t>北京懋润咨询有限公司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11"/>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pPr>
          </w:p>
          <w:p>
            <w:pPr>
              <w:spacing w:line="240" w:lineRule="exact"/>
            </w:pPr>
            <w:r>
              <w:rPr>
                <w:rFonts w:hint="eastAsia"/>
              </w:rPr>
              <w:t>组织建立并实施的管理体系基本符合标准要求，可能存在的重要风险可以得到有效控制，没有出现过</w:t>
            </w:r>
            <w:r>
              <w:rPr>
                <w:rFonts w:hint="eastAsia"/>
                <w:lang w:val="en-US" w:eastAsia="zh-CN"/>
              </w:rPr>
              <w:t>质量</w:t>
            </w:r>
            <w:r>
              <w:rPr>
                <w:rFonts w:hint="eastAsia"/>
              </w:rPr>
              <w:t>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napToGrid w:val="0"/>
              <w:spacing w:line="420" w:lineRule="auto"/>
              <w:rPr>
                <w:rFonts w:hint="eastAsia" w:ascii="宋体" w:hAnsi="宋体"/>
                <w:color w:val="FF0000"/>
                <w:szCs w:val="21"/>
                <w:lang w:val="en-US" w:eastAsia="zh-CN"/>
              </w:rPr>
            </w:pPr>
            <w:r>
              <w:rPr>
                <w:rFonts w:hint="eastAsia" w:ascii="宋体" w:hAnsi="宋体"/>
                <w:color w:val="FF0000"/>
                <w:sz w:val="24"/>
                <w:lang w:val="en-US" w:eastAsia="zh-CN"/>
              </w:rPr>
              <w:t>原范围：</w:t>
            </w:r>
            <w:bookmarkStart w:id="10" w:name="审核范围"/>
            <w:r>
              <w:rPr>
                <w:rFonts w:hint="eastAsia" w:ascii="宋体" w:hAnsi="宋体"/>
                <w:color w:val="FF0000"/>
                <w:szCs w:val="21"/>
              </w:rPr>
              <w:t>电力咨询服务、计算机技术培训、技术转让、技术咨询、企业管理咨询</w:t>
            </w:r>
            <w:bookmarkEnd w:id="10"/>
          </w:p>
          <w:p>
            <w:pPr>
              <w:snapToGrid w:val="0"/>
              <w:spacing w:line="420" w:lineRule="auto"/>
              <w:rPr>
                <w:rFonts w:hint="default" w:ascii="宋体" w:hAnsi="宋体"/>
                <w:color w:val="FF0000"/>
                <w:sz w:val="24"/>
                <w:lang w:val="en-US" w:eastAsia="zh-CN"/>
              </w:rPr>
            </w:pPr>
            <w:r>
              <w:rPr>
                <w:rFonts w:hint="eastAsia" w:ascii="宋体" w:hAnsi="宋体"/>
                <w:color w:val="FF0000"/>
                <w:szCs w:val="21"/>
                <w:lang w:val="en-US" w:eastAsia="zh-CN"/>
              </w:rPr>
              <w:t>现范围：</w:t>
            </w:r>
            <w:r>
              <w:rPr>
                <w:rFonts w:hint="eastAsia" w:ascii="宋体" w:hAnsi="宋体"/>
                <w:color w:val="FF0000"/>
                <w:szCs w:val="21"/>
              </w:rPr>
              <w:t>计算机技术培训、技术转让、企业管理咨询</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pStyle w:val="2"/>
        <w:rPr>
          <w:b/>
          <w:color w:val="000000" w:themeColor="text1"/>
          <w:sz w:val="16"/>
          <w:szCs w:val="16"/>
        </w:rPr>
      </w:pPr>
    </w:p>
    <w:p>
      <w:pPr>
        <w:rPr>
          <w:b/>
          <w:color w:val="000000" w:themeColor="text1"/>
          <w:sz w:val="16"/>
          <w:szCs w:val="16"/>
        </w:rPr>
      </w:pPr>
    </w:p>
    <w:p>
      <w:pPr>
        <w:pStyle w:val="2"/>
        <w:rPr>
          <w:b/>
          <w:color w:val="000000" w:themeColor="text1"/>
          <w:sz w:val="16"/>
          <w:szCs w:val="16"/>
        </w:rPr>
      </w:pPr>
    </w:p>
    <w:p>
      <w:pPr>
        <w:rPr>
          <w:b/>
          <w:color w:val="000000" w:themeColor="text1"/>
          <w:sz w:val="16"/>
          <w:szCs w:val="16"/>
        </w:rPr>
      </w:pPr>
    </w:p>
    <w:p>
      <w:pPr>
        <w:pStyle w:val="2"/>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drawing>
          <wp:inline distT="0" distB="0" distL="114300" distR="114300">
            <wp:extent cx="631190" cy="424815"/>
            <wp:effectExtent l="0" t="0" r="381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31190" cy="424815"/>
                    </a:xfrm>
                    <a:prstGeom prst="rect">
                      <a:avLst/>
                    </a:prstGeom>
                    <a:noFill/>
                    <a:ln>
                      <a:noFill/>
                    </a:ln>
                  </pic:spPr>
                </pic:pic>
              </a:graphicData>
            </a:graphic>
          </wp:inline>
        </w:drawing>
      </w:r>
      <w:r>
        <w:rPr>
          <w:rFonts w:hint="eastAsia"/>
          <w:lang w:val="en-US" w:eastAsia="zh-CN"/>
        </w:rPr>
        <w:t xml:space="preserve">  </w:t>
      </w:r>
      <w:r>
        <w:rPr>
          <w:rFonts w:hint="eastAsia" w:eastAsiaTheme="minorEastAsia"/>
          <w:lang w:val="en-US" w:eastAsia="zh-CN"/>
        </w:rPr>
        <w:drawing>
          <wp:inline distT="0" distB="0" distL="114300" distR="114300">
            <wp:extent cx="870585" cy="393700"/>
            <wp:effectExtent l="0" t="0" r="5715" b="0"/>
            <wp:docPr id="15" name="图片 15" descr="3e3336352c3b2d5924009e9198ca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e3336352c3b2d5924009e9198ca226"/>
                    <pic:cNvPicPr>
                      <a:picLocks noChangeAspect="1"/>
                    </pic:cNvPicPr>
                  </pic:nvPicPr>
                  <pic:blipFill>
                    <a:blip r:embed="rId8"/>
                    <a:stretch>
                      <a:fillRect/>
                    </a:stretch>
                  </pic:blipFill>
                  <pic:spPr>
                    <a:xfrm>
                      <a:off x="0" y="0"/>
                      <a:ext cx="870585" cy="393700"/>
                    </a:xfrm>
                    <a:prstGeom prst="rect">
                      <a:avLst/>
                    </a:prstGeom>
                  </pic:spPr>
                </pic:pic>
              </a:graphicData>
            </a:graphic>
          </wp:inline>
        </w:drawing>
      </w:r>
      <w:bookmarkStart w:id="12" w:name="_GoBack"/>
      <w:bookmarkEnd w:id="12"/>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 xml:space="preserve">  7 </w:t>
      </w:r>
      <w:r>
        <w:rPr>
          <w:rFonts w:hint="eastAsia"/>
          <w:b/>
          <w:color w:val="000000" w:themeColor="text1"/>
          <w:szCs w:val="21"/>
        </w:rPr>
        <w:t>月</w:t>
      </w:r>
      <w:r>
        <w:rPr>
          <w:rFonts w:hint="eastAsia"/>
          <w:b/>
          <w:color w:val="000000" w:themeColor="text1"/>
          <w:szCs w:val="21"/>
          <w:lang w:val="en-US" w:eastAsia="zh-CN"/>
        </w:rPr>
        <w:t xml:space="preserve">  27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99E42"/>
    <w:multiLevelType w:val="singleLevel"/>
    <w:tmpl w:val="D0699E42"/>
    <w:lvl w:ilvl="0" w:tentative="0">
      <w:start w:val="2"/>
      <w:numFmt w:val="decimal"/>
      <w:suff w:val="nothing"/>
      <w:lvlText w:val="%1、"/>
      <w:lvlJc w:val="left"/>
    </w:lvl>
  </w:abstractNum>
  <w:abstractNum w:abstractNumId="1">
    <w:nsid w:val="31718870"/>
    <w:multiLevelType w:val="singleLevel"/>
    <w:tmpl w:val="31718870"/>
    <w:lvl w:ilvl="0" w:tentative="0">
      <w:start w:val="4"/>
      <w:numFmt w:val="decimal"/>
      <w:lvlText w:val="%1."/>
      <w:lvlJc w:val="left"/>
      <w:pPr>
        <w:tabs>
          <w:tab w:val="left" w:pos="312"/>
        </w:tabs>
      </w:pPr>
    </w:lvl>
  </w:abstractNum>
  <w:abstractNum w:abstractNumId="2">
    <w:nsid w:val="4579C396"/>
    <w:multiLevelType w:val="singleLevel"/>
    <w:tmpl w:val="4579C396"/>
    <w:lvl w:ilvl="0" w:tentative="0">
      <w:start w:val="6"/>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0FA021B"/>
    <w:rsid w:val="2C222B9D"/>
    <w:rsid w:val="30B763A4"/>
    <w:rsid w:val="4D192582"/>
    <w:rsid w:val="5EB015AF"/>
    <w:rsid w:val="78682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textAlignment w:val="baseline"/>
    </w:pPr>
    <w:rPr>
      <w:color w:val="33CCCC"/>
      <w:kern w:val="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5"/>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2021-07-27T11:49:57Z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ED646F281E5F41328CC1541F873221DD</vt:lpwstr>
  </property>
</Properties>
</file>