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rFonts w:hint="eastAsia" w:eastAsia="宋体"/>
                <w:szCs w:val="21"/>
                <w:lang w:val="en-US" w:eastAsia="zh-CN"/>
              </w:rPr>
            </w:pPr>
            <w:r>
              <w:rPr>
                <w:rFonts w:hint="eastAsia"/>
                <w:szCs w:val="21"/>
              </w:rPr>
              <w:t>受审核部门：管理层     主管领导/陪同人员：</w:t>
            </w:r>
            <w:r>
              <w:rPr>
                <w:rFonts w:hint="eastAsia"/>
              </w:rPr>
              <w:t>张俊斌</w:t>
            </w:r>
            <w:r>
              <w:rPr>
                <w:rFonts w:hint="eastAsia"/>
                <w:lang w:val="en-US" w:eastAsia="zh-CN"/>
              </w:rPr>
              <w:t>/</w:t>
            </w:r>
            <w:r>
              <w:rPr>
                <w:rFonts w:hint="eastAsia" w:ascii="宋体" w:hAnsi="宋体"/>
                <w:b/>
                <w:color w:val="000000" w:themeColor="text1"/>
                <w:sz w:val="20"/>
                <w:szCs w:val="20"/>
                <w14:textFill>
                  <w14:solidFill>
                    <w14:schemeClr w14:val="tx1"/>
                  </w14:solidFill>
                </w14:textFill>
              </w:rPr>
              <w:t xml:space="preserve">郭鲲 </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审核员：李雅静   审核时间：2021年07月26日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rFonts w:hint="eastAsia"/>
                <w:szCs w:val="21"/>
              </w:rPr>
            </w:pPr>
            <w:r>
              <w:rPr>
                <w:rFonts w:hint="eastAsia"/>
                <w:szCs w:val="21"/>
              </w:rPr>
              <w:t>审核条款：</w:t>
            </w:r>
          </w:p>
          <w:p>
            <w:pPr>
              <w:adjustRightInd w:val="0"/>
              <w:snapToGrid w:val="0"/>
              <w:spacing w:line="360" w:lineRule="auto"/>
              <w:rPr>
                <w:szCs w:val="21"/>
              </w:rPr>
            </w:pPr>
            <w:r>
              <w:rPr>
                <w:szCs w:val="21"/>
              </w:rPr>
              <w:t xml:space="preserve">Q:4.1/4.2/4.3/4.4/5.1/5.2/5.3/6.1/6.2/6.3/7.1.1/9.1.1/9.3/10.1/10.3 </w:t>
            </w:r>
          </w:p>
          <w:p>
            <w:pPr>
              <w:adjustRightInd w:val="0"/>
              <w:snapToGrid w:val="0"/>
              <w:spacing w:line="360" w:lineRule="auto"/>
              <w:rPr>
                <w:szCs w:val="21"/>
              </w:rPr>
            </w:pPr>
            <w:r>
              <w:rPr>
                <w:rFonts w:hint="eastAsia"/>
                <w:szCs w:val="21"/>
              </w:rPr>
              <w:t>资质验证/范围再确认/一阶段问题验证/投诉或事故/政府主管部门监督抽查情况</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资质</w:t>
            </w:r>
          </w:p>
        </w:tc>
        <w:tc>
          <w:tcPr>
            <w:tcW w:w="960" w:type="dxa"/>
            <w:vAlign w:val="center"/>
          </w:tcPr>
          <w:p>
            <w:pPr>
              <w:rPr>
                <w:szCs w:val="21"/>
              </w:rPr>
            </w:pPr>
          </w:p>
        </w:tc>
        <w:tc>
          <w:tcPr>
            <w:tcW w:w="10004" w:type="dxa"/>
            <w:vAlign w:val="center"/>
          </w:tcPr>
          <w:p>
            <w:pPr>
              <w:spacing w:line="276" w:lineRule="auto"/>
              <w:jc w:val="left"/>
              <w:rPr>
                <w:rFonts w:ascii="宋体" w:hAnsi="宋体"/>
                <w:szCs w:val="21"/>
              </w:rPr>
            </w:pPr>
            <w:r>
              <w:rPr>
                <w:rFonts w:hint="eastAsia" w:ascii="宋体" w:hAnsi="宋体"/>
                <w:szCs w:val="21"/>
              </w:rPr>
              <w:t>查看营业执照原件：</w:t>
            </w:r>
          </w:p>
          <w:p>
            <w:pPr>
              <w:spacing w:line="276" w:lineRule="auto"/>
              <w:jc w:val="left"/>
              <w:rPr>
                <w:rFonts w:ascii="宋体" w:hAnsi="宋体"/>
                <w:szCs w:val="21"/>
              </w:rPr>
            </w:pPr>
            <w:r>
              <w:rPr>
                <w:rFonts w:ascii="宋体" w:hAnsi="宋体"/>
                <w:szCs w:val="21"/>
              </w:rPr>
              <w:t>营业执照</w:t>
            </w:r>
            <w:r>
              <w:rPr>
                <w:rFonts w:hint="eastAsia" w:ascii="宋体" w:hAnsi="宋体"/>
                <w:szCs w:val="21"/>
              </w:rPr>
              <w:t>（</w:t>
            </w:r>
            <w:r>
              <w:rPr>
                <w:rFonts w:ascii="宋体" w:hAnsi="宋体"/>
                <w:szCs w:val="21"/>
              </w:rPr>
              <w:t>91110116348401921F</w:t>
            </w:r>
            <w:r>
              <w:rPr>
                <w:rFonts w:hint="eastAsia" w:ascii="宋体" w:hAnsi="宋体"/>
                <w:szCs w:val="21"/>
              </w:rPr>
              <w:t>）   成立日期：</w:t>
            </w:r>
            <w:r>
              <w:rPr>
                <w:rFonts w:ascii="宋体" w:hAnsi="宋体"/>
                <w:szCs w:val="21"/>
              </w:rPr>
              <w:t>2015-07-16</w:t>
            </w:r>
            <w:r>
              <w:rPr>
                <w:rFonts w:hint="eastAsia" w:ascii="宋体" w:hAnsi="宋体"/>
                <w:szCs w:val="21"/>
              </w:rPr>
              <w:t xml:space="preserve">    有效期：2035年07月15</w:t>
            </w:r>
          </w:p>
          <w:p>
            <w:pPr>
              <w:rPr>
                <w:szCs w:val="21"/>
              </w:rPr>
            </w:pPr>
            <w:r>
              <w:rPr>
                <w:rFonts w:hint="eastAsia" w:ascii="宋体" w:hAnsi="宋体"/>
                <w:szCs w:val="21"/>
              </w:rPr>
              <w:t>认证范围在经营范围内，符合要求。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组织及其环境</w:t>
            </w:r>
          </w:p>
          <w:p>
            <w:pPr>
              <w:rPr>
                <w:szCs w:val="21"/>
              </w:rPr>
            </w:pPr>
            <w:r>
              <w:rPr>
                <w:rFonts w:hint="eastAsia"/>
                <w:szCs w:val="21"/>
              </w:rPr>
              <w:t>风险与机遇控制</w:t>
            </w:r>
          </w:p>
        </w:tc>
        <w:tc>
          <w:tcPr>
            <w:tcW w:w="960" w:type="dxa"/>
            <w:vAlign w:val="center"/>
          </w:tcPr>
          <w:p>
            <w:pPr>
              <w:rPr>
                <w:szCs w:val="21"/>
              </w:rPr>
            </w:pPr>
            <w:r>
              <w:rPr>
                <w:szCs w:val="21"/>
              </w:rPr>
              <w:t>4.1</w:t>
            </w:r>
          </w:p>
          <w:p>
            <w:pPr>
              <w:rPr>
                <w:szCs w:val="21"/>
              </w:rPr>
            </w:pPr>
            <w:r>
              <w:rPr>
                <w:rFonts w:hint="eastAsia"/>
                <w:szCs w:val="21"/>
              </w:rPr>
              <w:t>6.1</w:t>
            </w:r>
          </w:p>
        </w:tc>
        <w:tc>
          <w:tcPr>
            <w:tcW w:w="10004" w:type="dxa"/>
            <w:vAlign w:val="center"/>
          </w:tcPr>
          <w:p>
            <w:pPr>
              <w:rPr>
                <w:rFonts w:hint="eastAsia"/>
                <w:szCs w:val="21"/>
              </w:rPr>
            </w:pPr>
            <w:r>
              <w:rPr>
                <w:rFonts w:hint="eastAsia"/>
                <w:szCs w:val="21"/>
              </w:rPr>
              <w:t>总经理：张俊斌     人员状况：8</w:t>
            </w:r>
          </w:p>
          <w:p>
            <w:pPr>
              <w:pStyle w:val="2"/>
              <w:rPr>
                <w:rFonts w:hint="eastAsia"/>
              </w:rPr>
            </w:pPr>
            <w:r>
              <w:rPr>
                <w:rFonts w:hint="eastAsia"/>
              </w:rPr>
              <w:t>组织情况：企业于2015年7月16日成立，是一家以知识管理为核心，专业服务于国家电网，以企业培训、企业管理咨询及相关定制化服务的知识智力型服务公司。公司始终为企业提供更实用、更贴近市场的培训与管理咨询解决方案的服务，为他们提供更具有针对性的辅导服务，公司在服务过程中，始终以深入对客户和市场的深刻调研为基础，并以结果为导向，适合进行调整和优化，确保企业能够解决存在的实际问题，帮助企业优化职业化管理平台，提升企业服务水平。</w:t>
            </w:r>
          </w:p>
          <w:p>
            <w:pPr>
              <w:pStyle w:val="2"/>
              <w:rPr>
                <w:rFonts w:hint="eastAsia"/>
              </w:rPr>
            </w:pPr>
            <w:r>
              <w:rPr>
                <w:rFonts w:hint="eastAsia"/>
              </w:rPr>
              <w:t>懋润咨询以“务实、创新、高效、共赢”为使命，为电力客户提供最合适的培训解决方案。我们通过顾问式服务，从需求分析、方案设计、培训实施和总结反馈四个过程全面管控，帮助企业更全面、更快捷、更专业的管理培训工作。</w:t>
            </w:r>
          </w:p>
          <w:p>
            <w:pPr>
              <w:rPr>
                <w:szCs w:val="21"/>
              </w:rPr>
            </w:pPr>
            <w:r>
              <w:rPr>
                <w:rFonts w:hint="eastAsia"/>
                <w:szCs w:val="21"/>
              </w:rPr>
              <w:t>公司通过多种来源获得内外部因素的信息，包括国家和国际新闻、网站、行业协会等。</w:t>
            </w:r>
          </w:p>
          <w:p>
            <w:pPr>
              <w:rPr>
                <w:szCs w:val="21"/>
              </w:rPr>
            </w:pPr>
            <w:r>
              <w:rPr>
                <w:rFonts w:hint="eastAsia"/>
                <w:szCs w:val="21"/>
              </w:rPr>
              <w:t>管理层识别、确定了与战略、目标相关、影响实现管理体系预期结果的内、外部因素，并且实时关注、评审不断变化的内外部信息。</w:t>
            </w:r>
          </w:p>
          <w:p>
            <w:pPr>
              <w:rPr>
                <w:szCs w:val="21"/>
              </w:rPr>
            </w:pPr>
            <w:r>
              <w:rPr>
                <w:rFonts w:hint="eastAsia"/>
                <w:szCs w:val="21"/>
              </w:rPr>
              <w:t>企业识别内部环境因素和对策主要有：外部环境：政治环境、法律环境、社会文化环境等</w:t>
            </w:r>
          </w:p>
          <w:p>
            <w:pPr>
              <w:rPr>
                <w:szCs w:val="21"/>
              </w:rPr>
            </w:pPr>
            <w:r>
              <w:rPr>
                <w:rFonts w:hint="eastAsia"/>
                <w:szCs w:val="21"/>
              </w:rPr>
              <w:t>内部环境：企业文化、公司价值观、知识积累、.绩效、资源环境、人力环境等</w:t>
            </w:r>
          </w:p>
          <w:p>
            <w:pPr>
              <w:rPr>
                <w:szCs w:val="21"/>
              </w:rPr>
            </w:pPr>
            <w:r>
              <w:rPr>
                <w:rFonts w:hint="eastAsia"/>
                <w:szCs w:val="21"/>
              </w:rPr>
              <w:t>编制：李彦轻  批准：张俊斌     日期：</w:t>
            </w:r>
            <w:r>
              <w:rPr>
                <w:szCs w:val="21"/>
              </w:rPr>
              <w:t>2021.1.25</w:t>
            </w:r>
          </w:p>
          <w:p>
            <w:pPr>
              <w:rPr>
                <w:rFonts w:hint="eastAsia"/>
                <w:szCs w:val="21"/>
              </w:rPr>
            </w:pPr>
            <w:r>
              <w:rPr>
                <w:rFonts w:hint="eastAsia"/>
                <w:szCs w:val="21"/>
              </w:rPr>
              <w:t>提供风险和机遇应对措施表：</w:t>
            </w:r>
          </w:p>
          <w:p>
            <w:pPr>
              <w:pStyle w:val="2"/>
              <w:rPr>
                <w:rFonts w:hint="eastAsia"/>
              </w:rPr>
            </w:pPr>
            <w:r>
              <w:rPr>
                <w:rFonts w:hint="eastAsia"/>
              </w:rPr>
              <w:t>风险/机遇：物价上涨导致价格波动，公司资金充足</w:t>
            </w:r>
          </w:p>
          <w:p>
            <w:pPr>
              <w:pStyle w:val="2"/>
            </w:pPr>
            <w:r>
              <w:rPr>
                <w:rFonts w:hint="eastAsia"/>
              </w:rPr>
              <w:t>应对措施：积极关注市场变化，拓展货源渠道，设立安全库存；控制产品采购时机</w:t>
            </w:r>
          </w:p>
          <w:p>
            <w:pPr>
              <w:rPr>
                <w:szCs w:val="21"/>
              </w:rPr>
            </w:pPr>
            <w:r>
              <w:rPr>
                <w:rFonts w:hint="eastAsia"/>
                <w:szCs w:val="21"/>
              </w:rPr>
              <w:t>风险/机遇：市场竞争加剧，与主要客户有多年合作基础</w:t>
            </w:r>
          </w:p>
          <w:p>
            <w:pPr>
              <w:rPr>
                <w:szCs w:val="21"/>
              </w:rPr>
            </w:pPr>
            <w:r>
              <w:rPr>
                <w:rFonts w:hint="eastAsia"/>
                <w:szCs w:val="21"/>
              </w:rPr>
              <w:t>应对措施：工程部加强市场分析和调查；，关注同行竞争者动态；严控产品质量，提高销售及售后服务质量水平，提升竞争力</w:t>
            </w:r>
          </w:p>
          <w:p>
            <w:pPr>
              <w:rPr>
                <w:rFonts w:hint="eastAsia"/>
                <w:szCs w:val="21"/>
              </w:rPr>
            </w:pPr>
            <w:r>
              <w:rPr>
                <w:rFonts w:hint="eastAsia"/>
                <w:szCs w:val="21"/>
              </w:rPr>
              <w:t>风险/机遇：技术投入增加，成本增加，积极发展</w:t>
            </w:r>
          </w:p>
          <w:p>
            <w:pPr>
              <w:rPr>
                <w:szCs w:val="21"/>
              </w:rPr>
            </w:pPr>
            <w:r>
              <w:rPr>
                <w:rFonts w:hint="eastAsia"/>
                <w:szCs w:val="21"/>
              </w:rPr>
              <w:t>应对措施：积极学习安全、环保新技术；加大人员培训技术；积极响应拓展市场。</w:t>
            </w:r>
          </w:p>
          <w:p>
            <w:r>
              <w:rPr>
                <w:rFonts w:hint="eastAsia"/>
                <w:szCs w:val="21"/>
              </w:rPr>
              <w:t>措施：</w:t>
            </w:r>
            <w:r>
              <w:rPr>
                <w:rFonts w:hint="eastAsia"/>
              </w:rPr>
              <w:t>主要职能部门按照要求定期收集法律法规</w:t>
            </w:r>
          </w:p>
          <w:p>
            <w:r>
              <w:rPr>
                <w:rFonts w:hint="eastAsia"/>
              </w:rPr>
              <w:t>业务部门加大市场开拓</w:t>
            </w:r>
          </w:p>
          <w:p>
            <w:pPr>
              <w:rPr>
                <w:szCs w:val="21"/>
              </w:rPr>
            </w:pPr>
            <w:r>
              <w:rPr>
                <w:rFonts w:hint="eastAsia"/>
                <w:szCs w:val="21"/>
              </w:rPr>
              <w:t>"1、加强与客户进行质量标准制定的的沟通，同意双方的标准和检查方法。</w:t>
            </w:r>
          </w:p>
          <w:p>
            <w:pPr>
              <w:rPr>
                <w:szCs w:val="21"/>
              </w:rPr>
            </w:pPr>
            <w:r>
              <w:rPr>
                <w:rFonts w:hint="eastAsia"/>
                <w:szCs w:val="21"/>
              </w:rPr>
              <w:t>2、业务部加大客户交流沟通，及时处理客户的需求和意见"</w:t>
            </w:r>
          </w:p>
          <w:p>
            <w:pPr>
              <w:rPr>
                <w:szCs w:val="21"/>
              </w:rPr>
            </w:pPr>
            <w:r>
              <w:rPr>
                <w:rFonts w:hint="eastAsia"/>
                <w:szCs w:val="21"/>
              </w:rPr>
              <w:t>对公司影响较大的大宗原材料做好年度采购计划。。。。。。。</w:t>
            </w:r>
          </w:p>
          <w:p>
            <w:pPr>
              <w:rPr>
                <w:szCs w:val="21"/>
              </w:rPr>
            </w:pPr>
            <w:r>
              <w:rPr>
                <w:rFonts w:hint="eastAsia"/>
                <w:szCs w:val="21"/>
              </w:rPr>
              <w:t>风险与机遇识别基本充分，有效。</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相关方的需求和期望</w:t>
            </w:r>
          </w:p>
        </w:tc>
        <w:tc>
          <w:tcPr>
            <w:tcW w:w="960" w:type="dxa"/>
            <w:vAlign w:val="center"/>
          </w:tcPr>
          <w:p>
            <w:pPr>
              <w:rPr>
                <w:szCs w:val="21"/>
              </w:rPr>
            </w:pPr>
            <w:r>
              <w:rPr>
                <w:szCs w:val="21"/>
              </w:rPr>
              <w:t>4.2</w:t>
            </w:r>
          </w:p>
        </w:tc>
        <w:tc>
          <w:tcPr>
            <w:tcW w:w="10004" w:type="dxa"/>
            <w:vAlign w:val="center"/>
          </w:tcPr>
          <w:p>
            <w:pPr>
              <w:rPr>
                <w:szCs w:val="21"/>
                <w:u w:val="single"/>
              </w:rPr>
            </w:pPr>
            <w:r>
              <w:rPr>
                <w:rFonts w:hint="eastAsia"/>
                <w:szCs w:val="21"/>
              </w:rPr>
              <w:t>企业明确了影响企业绩效或受到企业经营影响的相关：如客户、外部供方、员工等，通过调查、访谈了解相关方的需求和期望。通过回访、网站等渠道获取相关方的信息，并持续与相关方沟通，了解相关方要求。</w:t>
            </w:r>
          </w:p>
          <w:p>
            <w:pPr>
              <w:rPr>
                <w:szCs w:val="21"/>
              </w:rPr>
            </w:pPr>
            <w:r>
              <w:rPr>
                <w:rFonts w:hint="eastAsia"/>
                <w:szCs w:val="21"/>
              </w:rPr>
              <w:t>提供相关方列表：</w:t>
            </w:r>
          </w:p>
          <w:p>
            <w:pPr>
              <w:rPr>
                <w:szCs w:val="21"/>
              </w:rPr>
            </w:pPr>
            <w:r>
              <w:rPr>
                <w:rFonts w:hint="eastAsia"/>
                <w:szCs w:val="21"/>
              </w:rPr>
              <w:t>客户需求：</w:t>
            </w:r>
          </w:p>
          <w:p>
            <w:pPr>
              <w:rPr>
                <w:szCs w:val="21"/>
              </w:rPr>
            </w:pPr>
            <w:r>
              <w:rPr>
                <w:rFonts w:hint="eastAsia"/>
                <w:szCs w:val="21"/>
              </w:rPr>
              <w:t>提供的产品和服务满足约定要求，提供高质量、价格适宜的产品和及时、高满意的售后服务（措施：1、建立实施和保持管理体系，保证产品和服务质量2、充分识别顾客/最终消费者的要求，增强顾客满意度3、监视顾客感受，增强售后服务，及时解决顾客问题反馈4、提高效率，降低成本，为顾客提供高质、低价和安全的产品5、提高企业质量风险意识，增强企业的产品和服务抗风险能力）</w:t>
            </w:r>
          </w:p>
          <w:p>
            <w:pPr>
              <w:rPr>
                <w:szCs w:val="21"/>
              </w:rPr>
            </w:pPr>
            <w:r>
              <w:rPr>
                <w:rFonts w:hint="eastAsia"/>
                <w:szCs w:val="21"/>
              </w:rPr>
              <w:t>员工：稳定增长的收入和福利、职业 成长、良好的工作环境场所（措施：1、加强员工技能培训，建立良好的激励机制和晋升机制2、建立良好企业文化和公司氛围，注重环境管理，提升员工的归属感，保障员工的合法权益）</w:t>
            </w:r>
          </w:p>
          <w:p>
            <w:pPr>
              <w:rPr>
                <w:szCs w:val="21"/>
              </w:rPr>
            </w:pPr>
            <w:r>
              <w:rPr>
                <w:szCs w:val="21"/>
              </w:rPr>
              <w:t>另抽</w:t>
            </w:r>
            <w:r>
              <w:rPr>
                <w:rFonts w:hint="eastAsia"/>
                <w:szCs w:val="21"/>
              </w:rPr>
              <w:t>供方、</w:t>
            </w:r>
            <w:r>
              <w:rPr>
                <w:szCs w:val="21"/>
              </w:rPr>
              <w:t>员工需求及相对措施</w:t>
            </w:r>
            <w:r>
              <w:rPr>
                <w:rFonts w:hint="eastAsia"/>
                <w:szCs w:val="21"/>
              </w:rPr>
              <w:t>，</w:t>
            </w:r>
            <w:r>
              <w:rPr>
                <w:szCs w:val="21"/>
              </w:rPr>
              <w:t>均保存完好</w:t>
            </w:r>
            <w:r>
              <w:rPr>
                <w:rFonts w:hint="eastAsia"/>
                <w:szCs w:val="21"/>
              </w:rPr>
              <w:t>，</w:t>
            </w:r>
            <w:r>
              <w:rPr>
                <w:szCs w:val="21"/>
              </w:rPr>
              <w:t>符合要求</w:t>
            </w:r>
            <w:r>
              <w:rPr>
                <w:rFonts w:hint="eastAsia"/>
                <w:szCs w:val="21"/>
              </w:rPr>
              <w:t>。</w:t>
            </w:r>
            <w:r>
              <w:rPr>
                <w:szCs w:val="21"/>
              </w:rPr>
              <w:t>相关方需求识别充分</w:t>
            </w:r>
            <w:r>
              <w:rPr>
                <w:rFonts w:hint="eastAsia"/>
                <w:szCs w:val="21"/>
              </w:rPr>
              <w:t>，</w:t>
            </w:r>
            <w:r>
              <w:rPr>
                <w:szCs w:val="21"/>
              </w:rPr>
              <w:t>目前未发生相关方投诉事件</w:t>
            </w:r>
            <w:r>
              <w:rPr>
                <w:rFonts w:hint="eastAsia"/>
                <w:szCs w:val="21"/>
              </w:rPr>
              <w:t>。</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质量管理体系的范围</w:t>
            </w:r>
          </w:p>
        </w:tc>
        <w:tc>
          <w:tcPr>
            <w:tcW w:w="960" w:type="dxa"/>
            <w:vAlign w:val="center"/>
          </w:tcPr>
          <w:p>
            <w:pPr>
              <w:rPr>
                <w:szCs w:val="21"/>
              </w:rPr>
            </w:pPr>
            <w:r>
              <w:rPr>
                <w:rFonts w:hint="eastAsia"/>
                <w:szCs w:val="21"/>
              </w:rPr>
              <w:t>4.3</w:t>
            </w:r>
          </w:p>
        </w:tc>
        <w:tc>
          <w:tcPr>
            <w:tcW w:w="10004" w:type="dxa"/>
            <w:vAlign w:val="center"/>
          </w:tcPr>
          <w:p>
            <w:pPr>
              <w:rPr>
                <w:szCs w:val="21"/>
              </w:rPr>
            </w:pPr>
            <w:r>
              <w:rPr>
                <w:rFonts w:hint="eastAsia"/>
                <w:szCs w:val="21"/>
              </w:rPr>
              <w:t>公司按照标准要求编写了体系文件，于2021年01月25日发布、实施，管理体系文件包括管理手册、程序文件、管理制度和记录表格等内容，管理手册中包括了管理方针和管理目标，并给出了各级文件的接口。质量手册中明确了体系的范围，管理手册可获得并得到保持。</w:t>
            </w:r>
          </w:p>
          <w:p>
            <w:pPr>
              <w:rPr>
                <w:szCs w:val="21"/>
              </w:rPr>
            </w:pPr>
            <w:r>
              <w:rPr>
                <w:rFonts w:hint="eastAsia"/>
                <w:szCs w:val="21"/>
              </w:rPr>
              <w:t>公司明确了质量管理体系的边界：</w:t>
            </w:r>
            <w:bookmarkStart w:id="0" w:name="生产地址"/>
            <w:r>
              <w:rPr>
                <w:rFonts w:hint="eastAsia"/>
                <w:szCs w:val="21"/>
              </w:rPr>
              <w:t>北京市朝阳区霄云路28号院网信大厦16层</w:t>
            </w:r>
            <w:bookmarkEnd w:id="0"/>
            <w:bookmarkStart w:id="1" w:name="组织名称"/>
            <w:r>
              <w:rPr>
                <w:color w:val="000000"/>
                <w:szCs w:val="21"/>
              </w:rPr>
              <w:t>华港京和荟（北京）物业管理有限公司</w:t>
            </w:r>
            <w:bookmarkEnd w:id="1"/>
            <w:r>
              <w:rPr>
                <w:rFonts w:hint="eastAsia"/>
                <w:color w:val="000000"/>
                <w:szCs w:val="21"/>
              </w:rPr>
              <w:t>及项目地</w:t>
            </w:r>
          </w:p>
          <w:p>
            <w:pPr>
              <w:rPr>
                <w:szCs w:val="21"/>
              </w:rPr>
            </w:pPr>
            <w:r>
              <w:rPr>
                <w:rFonts w:hint="eastAsia"/>
                <w:szCs w:val="21"/>
              </w:rPr>
              <w:t>注册地址：</w:t>
            </w:r>
            <w:bookmarkStart w:id="2" w:name="注册地址"/>
            <w:r>
              <w:rPr>
                <w:rFonts w:hint="eastAsia"/>
                <w:szCs w:val="21"/>
              </w:rPr>
              <w:t>北京市</w:t>
            </w:r>
            <w:bookmarkEnd w:id="2"/>
            <w:r>
              <w:rPr>
                <w:rFonts w:hint="eastAsia"/>
                <w:szCs w:val="21"/>
              </w:rPr>
              <w:t>房山区卓秀北街6号院7号楼7层703</w:t>
            </w:r>
          </w:p>
          <w:p>
            <w:pPr>
              <w:rPr>
                <w:szCs w:val="21"/>
              </w:rPr>
            </w:pPr>
            <w:r>
              <w:rPr>
                <w:rFonts w:hint="eastAsia"/>
                <w:szCs w:val="21"/>
              </w:rPr>
              <w:t>范围：电力咨询服务、计算机技术培训、技术转让、技术咨询、企业管理咨询</w:t>
            </w:r>
          </w:p>
          <w:p>
            <w:pPr>
              <w:rPr>
                <w:szCs w:val="21"/>
              </w:rPr>
            </w:pPr>
            <w:r>
              <w:rPr>
                <w:rFonts w:hint="eastAsia"/>
                <w:szCs w:val="21"/>
              </w:rPr>
              <w:t>不适用条款：8.3  活动均按照国家或行业的相关规定及顾客要求实施。服务模式固定，确定本公司不涉及产品和服务的设计和开发，故对标准中的8.3条款的内容不适用。不适用后不影响组织提供满足顾客要求和适用法律法规要求的产品的能力或责任</w:t>
            </w:r>
          </w:p>
          <w:p>
            <w:pPr>
              <w:rPr>
                <w:szCs w:val="21"/>
              </w:rPr>
            </w:pPr>
            <w:r>
              <w:rPr>
                <w:rFonts w:hint="eastAsia"/>
                <w:szCs w:val="21"/>
              </w:rPr>
              <w:t>外包过程：培训教师外包</w:t>
            </w:r>
          </w:p>
          <w:p>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质量管理体系及其过程</w:t>
            </w:r>
          </w:p>
        </w:tc>
        <w:tc>
          <w:tcPr>
            <w:tcW w:w="960" w:type="dxa"/>
            <w:vAlign w:val="center"/>
          </w:tcPr>
          <w:p>
            <w:pPr>
              <w:rPr>
                <w:szCs w:val="21"/>
              </w:rPr>
            </w:pPr>
            <w:r>
              <w:rPr>
                <w:rFonts w:hint="eastAsia"/>
                <w:szCs w:val="21"/>
              </w:rPr>
              <w:t>4.4</w:t>
            </w:r>
          </w:p>
        </w:tc>
        <w:tc>
          <w:tcPr>
            <w:tcW w:w="10004" w:type="dxa"/>
            <w:vAlign w:val="center"/>
          </w:tcPr>
          <w:p>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p>
            <w:pPr>
              <w:rPr>
                <w:szCs w:val="21"/>
              </w:rPr>
            </w:pPr>
            <w:r>
              <w:rPr>
                <w:rFonts w:hint="eastAsia"/>
                <w:szCs w:val="21"/>
              </w:rPr>
              <w:t>不适用条款：8.3  活动均按照国家或行业的相关规定及顾客要求实施。服务模式固定，确定本公司不涉及产品和服务的设计和开发，故对标准中的8.3条款的内容不适用。不适用后不影响组织提供满足顾客要求和适用法律法规要求的产品的能力或责任</w:t>
            </w:r>
          </w:p>
          <w:p>
            <w:pPr>
              <w:rPr>
                <w:szCs w:val="21"/>
              </w:rPr>
            </w:pPr>
            <w:r>
              <w:rPr>
                <w:rFonts w:hint="eastAsia"/>
                <w:szCs w:val="21"/>
              </w:rPr>
              <w:t>外包过程：培训教师外包</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领导作用和承诺</w:t>
            </w:r>
          </w:p>
          <w:p>
            <w:pPr>
              <w:rPr>
                <w:szCs w:val="21"/>
              </w:rPr>
            </w:pPr>
            <w:r>
              <w:rPr>
                <w:rFonts w:hint="eastAsia"/>
                <w:szCs w:val="21"/>
              </w:rPr>
              <w:t>总则</w:t>
            </w:r>
          </w:p>
          <w:p>
            <w:pPr>
              <w:rPr>
                <w:szCs w:val="21"/>
              </w:rPr>
            </w:pPr>
          </w:p>
          <w:p>
            <w:pPr>
              <w:rPr>
                <w:szCs w:val="21"/>
              </w:rPr>
            </w:pPr>
            <w:r>
              <w:rPr>
                <w:rFonts w:hint="eastAsia"/>
                <w:szCs w:val="21"/>
              </w:rPr>
              <w:t>组织的角色、职责的权限</w:t>
            </w:r>
          </w:p>
        </w:tc>
        <w:tc>
          <w:tcPr>
            <w:tcW w:w="960" w:type="dxa"/>
            <w:vAlign w:val="center"/>
          </w:tcPr>
          <w:p>
            <w:pPr>
              <w:rPr>
                <w:szCs w:val="21"/>
              </w:rPr>
            </w:pPr>
            <w:r>
              <w:rPr>
                <w:rFonts w:hint="eastAsia"/>
                <w:szCs w:val="21"/>
              </w:rPr>
              <w:t>5.1.1</w:t>
            </w:r>
          </w:p>
          <w:p>
            <w:pPr>
              <w:rPr>
                <w:szCs w:val="21"/>
              </w:rPr>
            </w:pPr>
            <w:r>
              <w:rPr>
                <w:rFonts w:hint="eastAsia"/>
                <w:szCs w:val="21"/>
              </w:rPr>
              <w:t>5.3</w:t>
            </w:r>
          </w:p>
        </w:tc>
        <w:tc>
          <w:tcPr>
            <w:tcW w:w="10004" w:type="dxa"/>
            <w:vAlign w:val="center"/>
          </w:tcPr>
          <w:p>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pPr>
              <w:rPr>
                <w:szCs w:val="21"/>
              </w:rPr>
            </w:pPr>
            <w:r>
              <w:rPr>
                <w:rFonts w:hint="eastAsia"/>
                <w:szCs w:val="21"/>
              </w:rPr>
              <w:t>成立了组织机构：设置了技术咨询部，营销部等部门，并对各部门的作用、职责、权限进行了划分“ 岗位任职要求”中对各部门职责权限进行了描述，各部门作用、职责、权限界定基本清楚，并与实际情况基本相符。审核发现组织的角色、职责和权限基本得到有效沟通和贯彻实施。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以顾客为关注焦点</w:t>
            </w:r>
          </w:p>
        </w:tc>
        <w:tc>
          <w:tcPr>
            <w:tcW w:w="960" w:type="dxa"/>
            <w:vAlign w:val="center"/>
          </w:tcPr>
          <w:p>
            <w:pPr>
              <w:rPr>
                <w:szCs w:val="21"/>
              </w:rPr>
            </w:pPr>
            <w:r>
              <w:rPr>
                <w:rFonts w:hint="eastAsia"/>
                <w:szCs w:val="21"/>
              </w:rPr>
              <w:t>5.1.2</w:t>
            </w:r>
          </w:p>
        </w:tc>
        <w:tc>
          <w:tcPr>
            <w:tcW w:w="10004" w:type="dxa"/>
            <w:vAlign w:val="center"/>
          </w:tcPr>
          <w:p>
            <w:pPr>
              <w:rPr>
                <w:szCs w:val="21"/>
              </w:rPr>
            </w:pPr>
            <w:r>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p>
            <w:pPr>
              <w:rPr>
                <w:szCs w:val="21"/>
              </w:rPr>
            </w:pPr>
            <w:r>
              <w:rPr>
                <w:rFonts w:hint="eastAsia"/>
                <w:szCs w:val="21"/>
              </w:rPr>
              <w:t>公司通过投标、熟人介绍等方式了解顾客的需求，确定他们关心的产品特性，特别是产品的关键特性。通过定期对顾客满意度进行测量、售后服务了解顾客对产品的意见。</w:t>
            </w:r>
          </w:p>
          <w:p>
            <w:pPr>
              <w:rPr>
                <w:szCs w:val="21"/>
              </w:rPr>
            </w:pPr>
            <w:r>
              <w:rPr>
                <w:rFonts w:hint="eastAsia"/>
                <w:szCs w:val="21"/>
              </w:rPr>
              <w:t>在确定顾客的需求和期望时，公司同时考虑与产品有关的义务和法律法规要求，并采取措施，使其得到落实。</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方针</w:t>
            </w:r>
          </w:p>
        </w:tc>
        <w:tc>
          <w:tcPr>
            <w:tcW w:w="960" w:type="dxa"/>
            <w:vAlign w:val="center"/>
          </w:tcPr>
          <w:p>
            <w:pPr>
              <w:rPr>
                <w:szCs w:val="21"/>
              </w:rPr>
            </w:pPr>
            <w:r>
              <w:rPr>
                <w:rFonts w:hint="eastAsia"/>
                <w:szCs w:val="21"/>
              </w:rPr>
              <w:t>5.2</w:t>
            </w:r>
          </w:p>
        </w:tc>
        <w:tc>
          <w:tcPr>
            <w:tcW w:w="10004" w:type="dxa"/>
            <w:vAlign w:val="center"/>
          </w:tcPr>
          <w:p>
            <w:pPr>
              <w:rPr>
                <w:szCs w:val="21"/>
              </w:rPr>
            </w:pPr>
            <w:r>
              <w:rPr>
                <w:rFonts w:hint="eastAsia"/>
                <w:szCs w:val="21"/>
              </w:rPr>
              <w:t>企业策划并制定了质量方针：</w:t>
            </w:r>
          </w:p>
          <w:p>
            <w:pPr>
              <w:rPr>
                <w:szCs w:val="21"/>
              </w:rPr>
            </w:pPr>
            <w:r>
              <w:rPr>
                <w:rFonts w:hint="eastAsia"/>
                <w:szCs w:val="21"/>
              </w:rPr>
              <w:t>“以质量求生存</w:t>
            </w:r>
            <w:r>
              <w:rPr>
                <w:rFonts w:hint="eastAsia"/>
                <w:szCs w:val="21"/>
              </w:rPr>
              <w:tab/>
            </w:r>
            <w:r>
              <w:rPr>
                <w:rFonts w:hint="eastAsia"/>
                <w:szCs w:val="21"/>
              </w:rPr>
              <w:t>以信誉求发展 持续改进质量管理体系</w:t>
            </w:r>
            <w:r>
              <w:rPr>
                <w:rFonts w:hint="eastAsia"/>
                <w:szCs w:val="21"/>
              </w:rPr>
              <w:tab/>
            </w:r>
            <w:r>
              <w:rPr>
                <w:rFonts w:hint="eastAsia"/>
                <w:szCs w:val="21"/>
              </w:rPr>
              <w:t>增进顾客满意”</w:t>
            </w:r>
          </w:p>
          <w:p>
            <w:pPr>
              <w:rPr>
                <w:szCs w:val="21"/>
              </w:rPr>
            </w:pPr>
            <w:r>
              <w:rPr>
                <w:rFonts w:hint="eastAsia"/>
                <w:szCs w:val="21"/>
              </w:rPr>
              <w:t>方针在质量手册中予以规定，经总经理批准实施。</w:t>
            </w:r>
          </w:p>
          <w:p>
            <w:pPr>
              <w:rPr>
                <w:szCs w:val="21"/>
              </w:rPr>
            </w:pPr>
            <w:r>
              <w:rPr>
                <w:rFonts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质量目标及其实现的策划</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公司总的质量目标为：</w:t>
            </w:r>
          </w:p>
          <w:p>
            <w:pPr>
              <w:rPr>
                <w:rFonts w:hint="eastAsia"/>
                <w:szCs w:val="21"/>
              </w:rPr>
            </w:pPr>
            <w:r>
              <w:rPr>
                <w:rFonts w:hint="eastAsia"/>
                <w:szCs w:val="21"/>
              </w:rPr>
              <w:t>项目一次交验合格率≥98%，</w:t>
            </w:r>
          </w:p>
          <w:p>
            <w:pPr>
              <w:rPr>
                <w:rFonts w:hint="eastAsia"/>
                <w:szCs w:val="21"/>
              </w:rPr>
            </w:pPr>
            <w:r>
              <w:rPr>
                <w:rFonts w:hint="eastAsia"/>
                <w:szCs w:val="21"/>
              </w:rPr>
              <w:t>顾客满意度95分以上。</w:t>
            </w:r>
          </w:p>
          <w:p>
            <w:pPr>
              <w:rPr>
                <w:szCs w:val="21"/>
              </w:rPr>
            </w:pPr>
            <w:r>
              <w:rPr>
                <w:rFonts w:hint="eastAsia"/>
                <w:szCs w:val="21"/>
              </w:rPr>
              <w:t xml:space="preserve">2021年1-5月目标完成情况：均完成 </w:t>
            </w:r>
          </w:p>
          <w:p>
            <w:pPr>
              <w:rPr>
                <w:szCs w:val="21"/>
              </w:rPr>
            </w:pPr>
            <w:r>
              <w:rPr>
                <w:rFonts w:hint="eastAsia"/>
                <w:szCs w:val="21"/>
              </w:rPr>
              <w:t>公司的质量目标已分解到相关职能部门。</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变更的策划</w:t>
            </w:r>
          </w:p>
        </w:tc>
        <w:tc>
          <w:tcPr>
            <w:tcW w:w="960" w:type="dxa"/>
            <w:vAlign w:val="center"/>
          </w:tcPr>
          <w:p>
            <w:pPr>
              <w:rPr>
                <w:szCs w:val="21"/>
              </w:rPr>
            </w:pPr>
            <w:r>
              <w:rPr>
                <w:rFonts w:hint="eastAsia"/>
                <w:szCs w:val="21"/>
              </w:rPr>
              <w:t>6.3</w:t>
            </w:r>
          </w:p>
        </w:tc>
        <w:tc>
          <w:tcPr>
            <w:tcW w:w="10004" w:type="dxa"/>
            <w:vAlign w:val="center"/>
          </w:tcPr>
          <w:p>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rPr>
                <w:szCs w:val="21"/>
              </w:rPr>
            </w:pPr>
            <w:r>
              <w:rPr>
                <w:rFonts w:hint="eastAsia"/>
                <w:szCs w:val="21"/>
              </w:rPr>
              <w:t>体系运行以来，暂无变更情况发生。</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资源总则</w:t>
            </w:r>
          </w:p>
        </w:tc>
        <w:tc>
          <w:tcPr>
            <w:tcW w:w="960" w:type="dxa"/>
            <w:vAlign w:val="center"/>
          </w:tcPr>
          <w:p>
            <w:pPr>
              <w:rPr>
                <w:szCs w:val="21"/>
              </w:rPr>
            </w:pPr>
            <w:r>
              <w:rPr>
                <w:rFonts w:hint="eastAsia"/>
                <w:szCs w:val="21"/>
              </w:rPr>
              <w:t>7.1.1</w:t>
            </w:r>
          </w:p>
        </w:tc>
        <w:tc>
          <w:tcPr>
            <w:tcW w:w="10004" w:type="dxa"/>
            <w:vAlign w:val="center"/>
          </w:tcPr>
          <w:p>
            <w:pPr>
              <w:rPr>
                <w:szCs w:val="21"/>
              </w:rPr>
            </w:pPr>
            <w:r>
              <w:rPr>
                <w:rFonts w:hint="eastAsia"/>
                <w:szCs w:val="21"/>
              </w:rPr>
              <w:t>1)企业目前主要工作人员8名，包括管理、咨询技术人员等。可满足产品和服务控制需要。巡视办公室用于物业公司办公面积约150平米左右，符合要求。配备了电话，电脑、打印机、复印机、空调、办公桌椅等办公和通讯等及</w:t>
            </w:r>
            <w:r>
              <w:rPr>
                <w:rFonts w:hint="eastAsia" w:ascii="宋体" w:hAnsi="宋体" w:cs="宋体"/>
              </w:rPr>
              <w:t>拖把、电动车等</w:t>
            </w:r>
            <w:r>
              <w:rPr>
                <w:rFonts w:hint="eastAsia"/>
                <w:szCs w:val="21"/>
              </w:rPr>
              <w:t>设备/设施。</w:t>
            </w:r>
          </w:p>
          <w:p>
            <w:pPr>
              <w:rPr>
                <w:szCs w:val="21"/>
              </w:rPr>
            </w:pPr>
            <w:r>
              <w:rPr>
                <w:rFonts w:hint="eastAsia"/>
                <w:szCs w:val="21"/>
              </w:rPr>
              <w:t>2)外部资源，如供方、客户等相关方。</w:t>
            </w:r>
          </w:p>
          <w:p>
            <w:pPr>
              <w:rPr>
                <w:szCs w:val="21"/>
              </w:rPr>
            </w:pPr>
            <w:r>
              <w:rPr>
                <w:rFonts w:hint="eastAsia"/>
                <w:szCs w:val="21"/>
              </w:rPr>
              <w:t>目前企业所提供的内外部资源基本能满足管理体系运行的需要。</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w:t>
            </w:r>
          </w:p>
          <w:p>
            <w:pPr>
              <w:rPr>
                <w:szCs w:val="21"/>
              </w:rPr>
            </w:pPr>
            <w:r>
              <w:rPr>
                <w:rFonts w:hint="eastAsia"/>
                <w:szCs w:val="21"/>
              </w:rPr>
              <w:t>分析与评价</w:t>
            </w:r>
          </w:p>
        </w:tc>
        <w:tc>
          <w:tcPr>
            <w:tcW w:w="960" w:type="dxa"/>
            <w:vAlign w:val="center"/>
          </w:tcPr>
          <w:p>
            <w:pPr>
              <w:rPr>
                <w:szCs w:val="21"/>
              </w:rPr>
            </w:pPr>
            <w:r>
              <w:rPr>
                <w:rFonts w:hint="eastAsia"/>
                <w:szCs w:val="21"/>
              </w:rPr>
              <w:t>9.1.1</w:t>
            </w:r>
          </w:p>
        </w:tc>
        <w:tc>
          <w:tcPr>
            <w:tcW w:w="10004" w:type="dxa"/>
            <w:vAlign w:val="center"/>
          </w:tcPr>
          <w:p>
            <w:pPr>
              <w:rPr>
                <w:szCs w:val="21"/>
              </w:rPr>
            </w:pPr>
            <w:r>
              <w:rPr>
                <w:rFonts w:hint="eastAsia"/>
                <w:szCs w:val="21"/>
              </w:rPr>
              <w:t>公司通过质量目标考核、内审、管理评审等对体系的有效性进行评价。</w:t>
            </w:r>
          </w:p>
          <w:p>
            <w:pPr>
              <w:rPr>
                <w:szCs w:val="21"/>
              </w:rPr>
            </w:pPr>
            <w:r>
              <w:rPr>
                <w:rFonts w:hint="eastAsia"/>
                <w:szCs w:val="21"/>
              </w:rPr>
              <w:t>1）提供了顾客满意调查表，并进行了分析。</w:t>
            </w:r>
          </w:p>
          <w:p>
            <w:pPr>
              <w:rPr>
                <w:szCs w:val="21"/>
              </w:rPr>
            </w:pPr>
            <w:r>
              <w:rPr>
                <w:rFonts w:hint="eastAsia"/>
                <w:szCs w:val="21"/>
              </w:rPr>
              <w:t>2）对过程产品质量进行了考核、统计分析</w:t>
            </w:r>
          </w:p>
          <w:p>
            <w:pPr>
              <w:rPr>
                <w:szCs w:val="21"/>
              </w:rPr>
            </w:pPr>
            <w:r>
              <w:rPr>
                <w:rFonts w:hint="eastAsia"/>
                <w:szCs w:val="21"/>
              </w:rPr>
              <w:t>3）对采购物资进行验证、合格率100%。根据验收结果，证明供方提供的产品质量是稳定的.</w:t>
            </w:r>
          </w:p>
          <w:p>
            <w:pPr>
              <w:rPr>
                <w:szCs w:val="21"/>
              </w:rPr>
            </w:pPr>
            <w:r>
              <w:rPr>
                <w:rFonts w:hint="eastAsia"/>
                <w:szCs w:val="21"/>
              </w:rPr>
              <w:t>4）通过内审中发现的不符合，确定改进措施并实施。</w:t>
            </w:r>
          </w:p>
          <w:p>
            <w:pPr>
              <w:rPr>
                <w:szCs w:val="21"/>
              </w:rPr>
            </w:pPr>
            <w:r>
              <w:rPr>
                <w:rFonts w:hint="eastAsia"/>
                <w:szCs w:val="21"/>
              </w:rPr>
              <w:t>5）通过管理评审，提出改进措施，以便发现改进方向。</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管理评审</w:t>
            </w:r>
          </w:p>
        </w:tc>
        <w:tc>
          <w:tcPr>
            <w:tcW w:w="960" w:type="dxa"/>
            <w:vAlign w:val="center"/>
          </w:tcPr>
          <w:p>
            <w:pPr>
              <w:rPr>
                <w:szCs w:val="21"/>
              </w:rPr>
            </w:pPr>
            <w:r>
              <w:rPr>
                <w:rFonts w:hint="eastAsia"/>
                <w:szCs w:val="21"/>
              </w:rPr>
              <w:t>9.3</w:t>
            </w:r>
          </w:p>
        </w:tc>
        <w:tc>
          <w:tcPr>
            <w:tcW w:w="10004" w:type="dxa"/>
            <w:vAlign w:val="center"/>
          </w:tcPr>
          <w:p>
            <w:pPr>
              <w:rPr>
                <w:szCs w:val="21"/>
              </w:rPr>
            </w:pPr>
            <w:r>
              <w:rPr>
                <w:rFonts w:hint="eastAsia"/>
                <w:szCs w:val="21"/>
              </w:rPr>
              <w:t>公司制定了编号：《管理评审控制程序》，文件规定每年至少进行一次管理评审。总经理于2021年6月10日组织进行了一次管理评审。</w:t>
            </w:r>
          </w:p>
          <w:p>
            <w:pPr>
              <w:rPr>
                <w:szCs w:val="21"/>
              </w:rPr>
            </w:pPr>
            <w:r>
              <w:rPr>
                <w:rFonts w:hint="eastAsia"/>
                <w:szCs w:val="21"/>
              </w:rPr>
              <w:t>查《管理评审计划》写明了时间、地点、参与人员、评审内容等。总经理批准。</w:t>
            </w:r>
          </w:p>
          <w:p>
            <w:pPr>
              <w:rPr>
                <w:szCs w:val="21"/>
              </w:rPr>
            </w:pPr>
            <w:r>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pPr>
              <w:rPr>
                <w:szCs w:val="21"/>
              </w:rPr>
            </w:pPr>
            <w:r>
              <w:rPr>
                <w:rFonts w:hint="eastAsia"/>
                <w:szCs w:val="21"/>
              </w:rPr>
              <w:t>提管理供《评审报告》，对评审情况进行了总结，各部门对各过程和活动进行了总结和讨论。</w:t>
            </w:r>
          </w:p>
          <w:p>
            <w:pPr>
              <w:rPr>
                <w:szCs w:val="21"/>
              </w:rPr>
            </w:pPr>
            <w:r>
              <w:rPr>
                <w:rFonts w:hint="eastAsia"/>
                <w:szCs w:val="21"/>
              </w:rPr>
              <w:t>评审结论：通过本次评审，最终得出本公司管理体系是适宜的、充分的、有效的，方针和目标是适宜的和有效的。但为了更好的运行体系，特提出以下要求：</w:t>
            </w:r>
          </w:p>
          <w:p>
            <w:pPr>
              <w:rPr>
                <w:szCs w:val="21"/>
              </w:rPr>
            </w:pPr>
            <w:r>
              <w:rPr>
                <w:rFonts w:hint="eastAsia"/>
                <w:szCs w:val="21"/>
              </w:rPr>
              <w:t>体系运行过程中全体人员都有责任对体系文件的不适宜之处提出修改建议，来进一步完善体系文件。</w:t>
            </w:r>
          </w:p>
          <w:p>
            <w:pPr>
              <w:rPr>
                <w:szCs w:val="21"/>
              </w:rPr>
            </w:pPr>
            <w:r>
              <w:rPr>
                <w:rFonts w:hint="eastAsia"/>
                <w:szCs w:val="21"/>
              </w:rPr>
              <w:t>做出如下改进决定：</w:t>
            </w:r>
          </w:p>
          <w:p>
            <w:pPr>
              <w:rPr>
                <w:rFonts w:eastAsia="方正北魏楷书简体"/>
                <w:kern w:val="0"/>
                <w:sz w:val="20"/>
                <w:szCs w:val="24"/>
              </w:rPr>
            </w:pPr>
            <w:r>
              <w:rPr>
                <w:rFonts w:hint="eastAsia" w:eastAsia="方正北魏楷书简体"/>
                <w:kern w:val="0"/>
                <w:sz w:val="20"/>
                <w:szCs w:val="24"/>
              </w:rPr>
              <w:t>1、提高公司咨询技术部的工艺要求，提高分析、解决问题的能力。公司咨询技术部制定更细致的工艺要要求，已于2021年4月底之前完成</w:t>
            </w:r>
          </w:p>
          <w:p>
            <w:pPr>
              <w:rPr>
                <w:szCs w:val="21"/>
              </w:rPr>
            </w:pPr>
            <w:r>
              <w:rPr>
                <w:rFonts w:hint="eastAsia" w:eastAsia="方正北魏楷书简体"/>
                <w:kern w:val="0"/>
                <w:sz w:val="20"/>
                <w:szCs w:val="24"/>
              </w:rPr>
              <w:t>2、对项目部服务过程强化服务意识和规范，加强对过程检查，对不合格输出采取有效的纠正或纠正措施</w:t>
            </w:r>
            <w:r>
              <w:rPr>
                <w:rFonts w:hint="eastAsia"/>
                <w:szCs w:val="21"/>
              </w:rPr>
              <w:t>；</w:t>
            </w:r>
          </w:p>
          <w:p>
            <w:pPr>
              <w:rPr>
                <w:szCs w:val="21"/>
              </w:rPr>
            </w:pPr>
            <w:r>
              <w:rPr>
                <w:rFonts w:hint="eastAsia"/>
                <w:szCs w:val="21"/>
              </w:rPr>
              <w:t>抽改进措施实施整改情况：已完成，查看培训记录，符合要求。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改进  总则</w:t>
            </w:r>
          </w:p>
        </w:tc>
        <w:tc>
          <w:tcPr>
            <w:tcW w:w="960" w:type="dxa"/>
            <w:vAlign w:val="center"/>
          </w:tcPr>
          <w:p>
            <w:pPr>
              <w:rPr>
                <w:szCs w:val="21"/>
              </w:rPr>
            </w:pPr>
            <w:r>
              <w:rPr>
                <w:rFonts w:hint="eastAsia"/>
                <w:szCs w:val="21"/>
              </w:rPr>
              <w:t>10.1</w:t>
            </w:r>
          </w:p>
        </w:tc>
        <w:tc>
          <w:tcPr>
            <w:tcW w:w="10004" w:type="dxa"/>
            <w:vAlign w:val="center"/>
          </w:tcPr>
          <w:p>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rPr>
                <w:szCs w:val="21"/>
              </w:rPr>
            </w:pPr>
            <w:r>
              <w:rPr>
                <w:rFonts w:hint="eastAsia"/>
                <w:szCs w:val="21"/>
              </w:rPr>
              <w:t>企业有充分识别和评价存在的改进机会，以持续满足顾客和相关方要求改进的方法措施包括：</w:t>
            </w:r>
          </w:p>
          <w:p>
            <w:pPr>
              <w:rPr>
                <w:szCs w:val="21"/>
              </w:rPr>
            </w:pPr>
            <w:r>
              <w:rPr>
                <w:rFonts w:hint="eastAsia"/>
                <w:szCs w:val="21"/>
              </w:rPr>
              <w:t>1）引导创新、修改和改进现有过程或实施新过程的突破项目；</w:t>
            </w:r>
          </w:p>
          <w:p>
            <w:pPr>
              <w:rPr>
                <w:szCs w:val="21"/>
              </w:rPr>
            </w:pPr>
            <w:r>
              <w:rPr>
                <w:rFonts w:hint="eastAsia"/>
                <w:szCs w:val="21"/>
              </w:rPr>
              <w:t>2）在现有过程中开展渐进、持续的改进活动；</w:t>
            </w:r>
          </w:p>
          <w:p>
            <w:pPr>
              <w:rPr>
                <w:szCs w:val="21"/>
              </w:rPr>
            </w:pPr>
            <w:r>
              <w:rPr>
                <w:rFonts w:hint="eastAsia"/>
                <w:szCs w:val="21"/>
              </w:rPr>
              <w:t>3）纠正所存在不符合的原因等。</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改进</w:t>
            </w:r>
          </w:p>
        </w:tc>
        <w:tc>
          <w:tcPr>
            <w:tcW w:w="960" w:type="dxa"/>
            <w:vAlign w:val="center"/>
          </w:tcPr>
          <w:p>
            <w:pPr>
              <w:rPr>
                <w:szCs w:val="21"/>
              </w:rPr>
            </w:pPr>
            <w:r>
              <w:rPr>
                <w:rFonts w:hint="eastAsia"/>
                <w:szCs w:val="21"/>
              </w:rPr>
              <w:t>10.3</w:t>
            </w:r>
          </w:p>
        </w:tc>
        <w:tc>
          <w:tcPr>
            <w:tcW w:w="10004" w:type="dxa"/>
            <w:vAlign w:val="center"/>
          </w:tcPr>
          <w:p>
            <w:pPr>
              <w:rPr>
                <w:szCs w:val="21"/>
              </w:rPr>
            </w:pPr>
            <w:r>
              <w:rPr>
                <w:rFonts w:hint="eastAsia"/>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szCs w:val="21"/>
              </w:rPr>
            </w:pP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p>
        </w:tc>
        <w:tc>
          <w:tcPr>
            <w:tcW w:w="960" w:type="dxa"/>
            <w:vAlign w:val="center"/>
          </w:tcPr>
          <w:p>
            <w:pPr>
              <w:rPr>
                <w:szCs w:val="21"/>
              </w:rPr>
            </w:pPr>
          </w:p>
        </w:tc>
        <w:tc>
          <w:tcPr>
            <w:tcW w:w="10004" w:type="dxa"/>
            <w:vAlign w:val="center"/>
          </w:tcPr>
          <w:p>
            <w:pPr>
              <w:rPr>
                <w:szCs w:val="21"/>
              </w:rPr>
            </w:pPr>
            <w:r>
              <w:rPr>
                <w:rFonts w:hint="eastAsia"/>
                <w:szCs w:val="21"/>
              </w:rPr>
              <w:t>上级检查情况：未发生</w:t>
            </w:r>
          </w:p>
          <w:p>
            <w:pPr>
              <w:rPr>
                <w:szCs w:val="21"/>
              </w:rPr>
            </w:pPr>
            <w:r>
              <w:rPr>
                <w:rFonts w:hint="eastAsia"/>
                <w:szCs w:val="21"/>
              </w:rPr>
              <w:t>顾客投诉情况：无</w:t>
            </w:r>
          </w:p>
          <w:p>
            <w:pPr>
              <w:rPr>
                <w:szCs w:val="21"/>
              </w:rPr>
            </w:pPr>
            <w:r>
              <w:rPr>
                <w:rFonts w:hint="eastAsia"/>
                <w:szCs w:val="21"/>
              </w:rPr>
              <w:t>变更情况：无</w:t>
            </w:r>
          </w:p>
          <w:p>
            <w:pPr>
              <w:rPr>
                <w:szCs w:val="21"/>
              </w:rPr>
            </w:pPr>
            <w:r>
              <w:rPr>
                <w:rFonts w:hint="eastAsia"/>
                <w:szCs w:val="21"/>
              </w:rPr>
              <w:t>一阶段未开书面不符合</w:t>
            </w:r>
          </w:p>
        </w:tc>
        <w:tc>
          <w:tcPr>
            <w:tcW w:w="1585" w:type="dxa"/>
          </w:tcPr>
          <w:p>
            <w:pPr>
              <w:rPr>
                <w:szCs w:val="21"/>
              </w:rPr>
            </w:pPr>
            <w:r>
              <w:rPr>
                <w:rFonts w:hint="eastAsia"/>
                <w:szCs w:val="21"/>
              </w:rPr>
              <w:t>Y</w:t>
            </w:r>
          </w:p>
        </w:tc>
      </w:tr>
    </w:tbl>
    <w:p>
      <w:pPr>
        <w:pStyle w:val="7"/>
        <w:rPr>
          <w:sz w:val="21"/>
          <w:szCs w:val="20"/>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pPr>
    </w:p>
    <w:p>
      <w:pPr>
        <w:pStyle w:val="7"/>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受审核部门：办公室     主管领导/陪同人员：李彦轻</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审核员：李雅静      审核时间：2021年07月26日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rFonts w:hint="eastAsia"/>
                <w:szCs w:val="21"/>
              </w:rPr>
            </w:pPr>
            <w:r>
              <w:rPr>
                <w:rFonts w:hint="eastAsia"/>
                <w:szCs w:val="21"/>
              </w:rPr>
              <w:t>审核条款：</w:t>
            </w:r>
          </w:p>
          <w:p>
            <w:pPr>
              <w:adjustRightInd w:val="0"/>
              <w:snapToGrid w:val="0"/>
              <w:spacing w:line="360" w:lineRule="auto"/>
              <w:rPr>
                <w:rFonts w:hint="eastAsia"/>
                <w:szCs w:val="21"/>
              </w:rPr>
            </w:pPr>
            <w:r>
              <w:rPr>
                <w:szCs w:val="21"/>
              </w:rPr>
              <w:t>Q:5.3/6.1/6.2/7.5/7.1.2/7.1.6/7.2/7.3/7.4//7.5/9.1.3/9.2/10.2/10.3</w:t>
            </w:r>
          </w:p>
          <w:p>
            <w:pPr>
              <w:adjustRightInd w:val="0"/>
              <w:snapToGrid w:val="0"/>
              <w:spacing w:line="360" w:lineRule="auto"/>
              <w:rPr>
                <w:szCs w:val="21"/>
              </w:rPr>
            </w:pP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 xml:space="preserve">部门主要职责如下：   </w:t>
            </w:r>
          </w:p>
          <w:p>
            <w:pPr>
              <w:rPr>
                <w:szCs w:val="21"/>
              </w:rPr>
            </w:pPr>
            <w:r>
              <w:rPr>
                <w:rFonts w:hint="eastAsia"/>
                <w:szCs w:val="21"/>
              </w:rPr>
              <w:t>负责人力资源、文件记录控制；负责意识的培养；负责内外部沟通；负责分析总结、负责内审；提供岗位职责与任职要求，对岗位职责和任职条件进行了描述。职责和权限与手册描述基本一致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szCs w:val="21"/>
              </w:rPr>
            </w:pPr>
            <w:r>
              <w:rPr>
                <w:rFonts w:hint="eastAsia"/>
                <w:szCs w:val="21"/>
              </w:rPr>
              <w:t>应对风险和机遇的措施</w:t>
            </w:r>
          </w:p>
        </w:tc>
        <w:tc>
          <w:tcPr>
            <w:tcW w:w="960" w:type="dxa"/>
            <w:vAlign w:val="center"/>
          </w:tcPr>
          <w:p>
            <w:pPr>
              <w:rPr>
                <w:rFonts w:hint="eastAsia"/>
                <w:szCs w:val="21"/>
              </w:rPr>
            </w:pPr>
            <w:r>
              <w:rPr>
                <w:rFonts w:hint="eastAsia"/>
                <w:szCs w:val="21"/>
              </w:rPr>
              <w:t>6.1</w:t>
            </w:r>
          </w:p>
        </w:tc>
        <w:tc>
          <w:tcPr>
            <w:tcW w:w="10004" w:type="dxa"/>
            <w:vAlign w:val="center"/>
          </w:tcPr>
          <w:p>
            <w:pPr>
              <w:rPr>
                <w:rFonts w:hint="eastAsia"/>
                <w:szCs w:val="21"/>
              </w:rPr>
            </w:pPr>
            <w:r>
              <w:rPr>
                <w:rFonts w:hint="eastAsia"/>
                <w:szCs w:val="21"/>
              </w:rPr>
              <w:t>在策划管理体系时考虑了风险和机遇以及相应的应对措施，明确风险和机遇事件的识别方法/途径、风险和机遇事件的评估方式、制定主要风险和机遇事件的应对措施的要求、评价这些措施有效性的方法。</w:t>
            </w:r>
          </w:p>
          <w:p>
            <w:pPr>
              <w:rPr>
                <w:rFonts w:hint="eastAsia"/>
                <w:szCs w:val="21"/>
              </w:rPr>
            </w:pPr>
            <w:r>
              <w:rPr>
                <w:rFonts w:hint="eastAsia"/>
                <w:szCs w:val="21"/>
              </w:rPr>
              <w:t>提供了“风险和机遇评估分析表”，将需要应对的风险和机遇进行风险分析确定风险级别（一般风险、高风险），在管理体系所确定的过程（客户开发、供应商的要求等）中，整合制定针对性管理措施（如程序控制等）。提供了“经营环境分析及对策”，已认真交流风险如战略失误、安全投入及人力资源成本上升、竞争不断加剧等。</w:t>
            </w:r>
          </w:p>
          <w:p>
            <w:pPr>
              <w:rPr>
                <w:rFonts w:hint="eastAsia"/>
                <w:szCs w:val="21"/>
              </w:rPr>
            </w:pPr>
            <w:r>
              <w:rPr>
                <w:rFonts w:hint="eastAsia"/>
                <w:szCs w:val="21"/>
              </w:rPr>
              <w:t>主要措施确定战略加强设计研发环节环保、安全风险控制；通过差异化策略提高竞争力。效果待观察。机遇主要是现在国内市场需求不断增多。</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分解到该部门的质量目标及完成情况如下：</w:t>
            </w:r>
          </w:p>
          <w:p>
            <w:pPr>
              <w:rPr>
                <w:rFonts w:hint="eastAsia"/>
                <w:szCs w:val="21"/>
              </w:rPr>
            </w:pPr>
            <w:r>
              <w:rPr>
                <w:rFonts w:hint="eastAsia"/>
                <w:szCs w:val="21"/>
              </w:rPr>
              <w:t>培训计划执行率100%</w:t>
            </w:r>
          </w:p>
          <w:p>
            <w:pPr>
              <w:rPr>
                <w:rFonts w:hint="eastAsia"/>
                <w:szCs w:val="21"/>
              </w:rPr>
            </w:pPr>
            <w:r>
              <w:rPr>
                <w:rFonts w:hint="eastAsia"/>
                <w:szCs w:val="21"/>
              </w:rPr>
              <w:t>受控文件发放率100%</w:t>
            </w:r>
          </w:p>
          <w:p>
            <w:pPr>
              <w:rPr>
                <w:rFonts w:hint="eastAsia"/>
                <w:szCs w:val="21"/>
              </w:rPr>
            </w:pPr>
            <w:r>
              <w:rPr>
                <w:rFonts w:hint="eastAsia"/>
                <w:szCs w:val="21"/>
              </w:rPr>
              <w:t>采购验收合格率≥98%</w:t>
            </w:r>
          </w:p>
          <w:p>
            <w:pPr>
              <w:rPr>
                <w:szCs w:val="21"/>
              </w:rPr>
            </w:pPr>
            <w:r>
              <w:rPr>
                <w:rFonts w:hint="eastAsia"/>
                <w:szCs w:val="21"/>
              </w:rPr>
              <w:t>体系运行资金保障率100%</w:t>
            </w:r>
          </w:p>
          <w:p>
            <w:pPr>
              <w:rPr>
                <w:szCs w:val="21"/>
              </w:rPr>
            </w:pPr>
            <w:r>
              <w:rPr>
                <w:szCs w:val="21"/>
              </w:rPr>
              <w:t>2021.1-2021.5</w:t>
            </w:r>
            <w:r>
              <w:rPr>
                <w:rFonts w:hint="eastAsia"/>
                <w:szCs w:val="21"/>
              </w:rPr>
              <w:t xml:space="preserve">质量目标完成情况：已完成    </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人员</w:t>
            </w:r>
          </w:p>
        </w:tc>
        <w:tc>
          <w:tcPr>
            <w:tcW w:w="960" w:type="dxa"/>
            <w:vAlign w:val="center"/>
          </w:tcPr>
          <w:p>
            <w:pPr>
              <w:rPr>
                <w:szCs w:val="21"/>
              </w:rPr>
            </w:pPr>
            <w:r>
              <w:rPr>
                <w:rFonts w:hint="eastAsia"/>
                <w:szCs w:val="21"/>
              </w:rPr>
              <w:t>7.1.2</w:t>
            </w:r>
          </w:p>
        </w:tc>
        <w:tc>
          <w:tcPr>
            <w:tcW w:w="10004" w:type="dxa"/>
            <w:vAlign w:val="center"/>
          </w:tcPr>
          <w:p>
            <w:pPr>
              <w:rPr>
                <w:szCs w:val="21"/>
              </w:rPr>
            </w:pPr>
            <w:r>
              <w:rPr>
                <w:rFonts w:hint="eastAsia"/>
                <w:szCs w:val="21"/>
              </w:rPr>
              <w:t>已识别与QMS相关人员：各部门负责人、服务人员、内审员，提供了岗位职责与任职要求。新进员工已制定岗前培训计划。</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基础设备</w:t>
            </w:r>
          </w:p>
        </w:tc>
        <w:tc>
          <w:tcPr>
            <w:tcW w:w="960" w:type="dxa"/>
            <w:vAlign w:val="center"/>
          </w:tcPr>
          <w:p>
            <w:pPr>
              <w:rPr>
                <w:szCs w:val="21"/>
              </w:rPr>
            </w:pPr>
            <w:r>
              <w:rPr>
                <w:rFonts w:hint="eastAsia"/>
                <w:szCs w:val="21"/>
              </w:rPr>
              <w:t>7.1.3</w:t>
            </w:r>
          </w:p>
        </w:tc>
        <w:tc>
          <w:tcPr>
            <w:tcW w:w="10004" w:type="dxa"/>
            <w:vAlign w:val="center"/>
          </w:tcPr>
          <w:p>
            <w:pPr>
              <w:rPr>
                <w:rFonts w:cs="Lucida Sans"/>
                <w:bCs/>
                <w:color w:val="000000" w:themeColor="text1"/>
                <w14:textFill>
                  <w14:solidFill>
                    <w14:schemeClr w14:val="tx1"/>
                  </w14:solidFill>
                </w14:textFill>
              </w:rPr>
            </w:pPr>
            <w:r>
              <w:rPr>
                <w:rFonts w:cs="Lucida Sans"/>
                <w:bCs/>
                <w:color w:val="000000" w:themeColor="text1"/>
                <w14:textFill>
                  <w14:solidFill>
                    <w14:schemeClr w14:val="tx1"/>
                  </w14:solidFill>
                </w14:textFill>
              </w:rPr>
              <w:t>基础设施</w:t>
            </w:r>
          </w:p>
          <w:p>
            <w:pPr>
              <w:pStyle w:val="2"/>
              <w:rPr>
                <w:rFonts w:cs="Lucida Sans"/>
                <w:color w:val="000000" w:themeColor="text1"/>
                <w14:textFill>
                  <w14:solidFill>
                    <w14:schemeClr w14:val="tx1"/>
                  </w14:solidFill>
                </w14:textFill>
              </w:rPr>
            </w:pPr>
            <w:r>
              <w:rPr>
                <w:rFonts w:hint="eastAsia" w:cs="Lucida Sans"/>
                <w:color w:val="000000" w:themeColor="text1"/>
                <w14:textFill>
                  <w14:solidFill>
                    <w14:schemeClr w14:val="tx1"/>
                  </w14:solidFill>
                </w14:textFill>
              </w:rPr>
              <w:t>巡视办公室，用于公司办公面积约150平米左右</w:t>
            </w:r>
          </w:p>
          <w:p>
            <w:pPr>
              <w:rPr>
                <w:rStyle w:val="22"/>
                <w:rFonts w:ascii="Arial" w:hAnsi="Arial" w:cs="Arial"/>
                <w:bCs/>
                <w:color w:val="000000" w:themeColor="text1"/>
                <w:shd w:val="clear" w:color="auto" w:fill="FFFFFF"/>
                <w14:textFill>
                  <w14:solidFill>
                    <w14:schemeClr w14:val="tx1"/>
                  </w14:solidFill>
                </w14:textFill>
              </w:rPr>
            </w:pPr>
            <w:r>
              <w:rPr>
                <w:rStyle w:val="22"/>
                <w:rFonts w:hint="eastAsia" w:ascii="Arial" w:hAnsi="Arial" w:cs="Arial"/>
                <w:bCs/>
                <w:color w:val="000000" w:themeColor="text1"/>
                <w:shd w:val="clear" w:color="auto" w:fill="FFFFFF"/>
                <w14:textFill>
                  <w14:solidFill>
                    <w14:schemeClr w14:val="tx1"/>
                  </w14:solidFill>
                </w14:textFill>
              </w:rPr>
              <w:t>办公设备：电脑、电话、打印机等</w:t>
            </w:r>
          </w:p>
          <w:p>
            <w:pPr>
              <w:pStyle w:val="2"/>
              <w:rPr>
                <w:rStyle w:val="22"/>
                <w:rFonts w:ascii="Arial" w:hAnsi="Arial" w:cs="Arial"/>
                <w:color w:val="000000" w:themeColor="text1"/>
                <w:spacing w:val="0"/>
                <w:shd w:val="clear" w:color="auto" w:fill="FFFFFF"/>
                <w14:textFill>
                  <w14:solidFill>
                    <w14:schemeClr w14:val="tx1"/>
                  </w14:solidFill>
                </w14:textFill>
              </w:rPr>
            </w:pPr>
            <w:r>
              <w:rPr>
                <w:rStyle w:val="22"/>
                <w:rFonts w:hint="eastAsia" w:ascii="Arial" w:hAnsi="Arial" w:cs="Arial"/>
                <w:color w:val="000000" w:themeColor="text1"/>
                <w:spacing w:val="0"/>
                <w:shd w:val="clear" w:color="auto" w:fill="FFFFFF"/>
                <w14:textFill>
                  <w14:solidFill>
                    <w14:schemeClr w14:val="tx1"/>
                  </w14:solidFill>
                </w14:textFill>
              </w:rPr>
              <w:t>环保设备：垃圾桶</w:t>
            </w:r>
          </w:p>
          <w:p>
            <w:pPr>
              <w:pStyle w:val="2"/>
              <w:rPr>
                <w:rStyle w:val="22"/>
                <w:rFonts w:ascii="Arial" w:hAnsi="Arial" w:cs="Arial"/>
                <w:color w:val="000000" w:themeColor="text1"/>
                <w:spacing w:val="0"/>
                <w:shd w:val="clear" w:color="auto" w:fill="FFFFFF"/>
                <w14:textFill>
                  <w14:solidFill>
                    <w14:schemeClr w14:val="tx1"/>
                  </w14:solidFill>
                </w14:textFill>
              </w:rPr>
            </w:pPr>
            <w:r>
              <w:rPr>
                <w:rStyle w:val="22"/>
                <w:rFonts w:hint="eastAsia" w:ascii="Arial" w:hAnsi="Arial" w:cs="Arial"/>
                <w:color w:val="000000" w:themeColor="text1"/>
                <w:spacing w:val="0"/>
                <w:shd w:val="clear" w:color="auto" w:fill="FFFFFF"/>
                <w14:textFill>
                  <w14:solidFill>
                    <w14:schemeClr w14:val="tx1"/>
                  </w14:solidFill>
                </w14:textFill>
              </w:rPr>
              <w:t>消防设施：消防栓、应急灯等</w:t>
            </w:r>
          </w:p>
          <w:p>
            <w:pPr>
              <w:rPr>
                <w:rFonts w:cs="Lucida Sans"/>
                <w:bCs/>
                <w:color w:val="000000" w:themeColor="text1"/>
                <w14:textFill>
                  <w14:solidFill>
                    <w14:schemeClr w14:val="tx1"/>
                  </w14:solidFill>
                </w14:textFill>
              </w:rPr>
            </w:pPr>
            <w:r>
              <w:rPr>
                <w:rFonts w:hint="eastAsia" w:cs="Lucida Sans"/>
                <w:bCs/>
                <w:color w:val="000000" w:themeColor="text1"/>
                <w14:textFill>
                  <w14:solidFill>
                    <w14:schemeClr w14:val="tx1"/>
                  </w14:solidFill>
                </w14:textFill>
              </w:rPr>
              <w:t>期维护与保养。公司根据办公的需要，配备了办公用房及通讯、信息系统等基础设施</w:t>
            </w:r>
            <w:r>
              <w:rPr>
                <w:rFonts w:cs="Lucida Sans"/>
                <w:bCs/>
                <w:color w:val="000000" w:themeColor="text1"/>
                <w14:textFill>
                  <w14:solidFill>
                    <w14:schemeClr w14:val="tx1"/>
                  </w14:solidFill>
                </w14:textFill>
              </w:rPr>
              <w:t>。公司编制了《</w:t>
            </w:r>
            <w:r>
              <w:rPr>
                <w:rFonts w:hint="eastAsia" w:ascii="宋体" w:hAnsi="宋体" w:cs="宋体"/>
                <w:bCs/>
                <w:color w:val="000000" w:themeColor="text1"/>
                <w:sz w:val="24"/>
                <w14:textFill>
                  <w14:solidFill>
                    <w14:schemeClr w14:val="tx1"/>
                  </w14:solidFill>
                </w14:textFill>
              </w:rPr>
              <w:t>基础设施控制程序</w:t>
            </w:r>
            <w:r>
              <w:rPr>
                <w:rFonts w:cs="Lucida Sans"/>
                <w:bCs/>
                <w:color w:val="000000" w:themeColor="text1"/>
                <w14:textFill>
                  <w14:solidFill>
                    <w14:schemeClr w14:val="tx1"/>
                  </w14:solidFill>
                </w14:textFill>
              </w:rPr>
              <w:t>》 并配备有办</w:t>
            </w:r>
            <w:r>
              <w:rPr>
                <w:rFonts w:hint="eastAsia" w:cs="Lucida Sans"/>
                <w:bCs/>
                <w:color w:val="000000" w:themeColor="text1"/>
                <w14:textFill>
                  <w14:solidFill>
                    <w14:schemeClr w14:val="tx1"/>
                  </w14:solidFill>
                </w14:textFill>
              </w:rPr>
              <w:t>公桌椅，水电、空调、会议室、消防设施设备，并有电脑、打印机、电话、传真机、复印机等办公设备；满足办公需要。</w:t>
            </w:r>
          </w:p>
          <w:p>
            <w:pPr>
              <w:ind w:firstLine="420" w:firstLineChars="200"/>
              <w:rPr>
                <w:rFonts w:cs="Lucida Sans"/>
                <w:bCs/>
                <w:color w:val="000000" w:themeColor="text1"/>
                <w14:textFill>
                  <w14:solidFill>
                    <w14:schemeClr w14:val="tx1"/>
                  </w14:solidFill>
                </w14:textFill>
              </w:rPr>
            </w:pPr>
            <w:r>
              <w:rPr>
                <w:rFonts w:hint="eastAsia" w:cs="Lucida Sans"/>
                <w:bCs/>
                <w:color w:val="000000" w:themeColor="text1"/>
                <w14:textFill>
                  <w14:solidFill>
                    <w14:schemeClr w14:val="tx1"/>
                  </w14:solidFill>
                </w14:textFill>
              </w:rPr>
              <w:t>抽：《设备维修保养计划》</w:t>
            </w:r>
          </w:p>
          <w:p>
            <w:pPr>
              <w:ind w:firstLine="420" w:firstLineChars="200"/>
              <w:rPr>
                <w:rFonts w:cs="Lucida Sans"/>
                <w:b/>
                <w:color w:val="000000" w:themeColor="text1"/>
                <w14:textFill>
                  <w14:solidFill>
                    <w14:schemeClr w14:val="tx1"/>
                  </w14:solidFill>
                </w14:textFill>
              </w:rPr>
            </w:pPr>
            <w:r>
              <w:rPr>
                <w:rFonts w:hint="eastAsia" w:cs="Lucida Sans"/>
                <w:bCs/>
                <w:color w:val="000000" w:themeColor="text1"/>
                <w14:textFill>
                  <w14:solidFill>
                    <w14:schemeClr w14:val="tx1"/>
                  </w14:solidFill>
                </w14:textFill>
              </w:rPr>
              <w:t>依照计划进行设备设施的升级、维护、更换、配备，相关设施配备和管理比较完善。提供电脑打印机设备清单及维修保养记录。检查人：李彦轻</w:t>
            </w:r>
          </w:p>
          <w:p>
            <w:pPr>
              <w:spacing w:before="120" w:line="160" w:lineRule="exact"/>
              <w:rPr>
                <w:szCs w:val="21"/>
              </w:rPr>
            </w:pPr>
          </w:p>
        </w:tc>
        <w:tc>
          <w:tcPr>
            <w:tcW w:w="1585" w:type="dxa"/>
          </w:tcPr>
          <w:p>
            <w:pPr>
              <w:rPr>
                <w:szCs w:val="21"/>
              </w:rPr>
            </w:pPr>
            <w:r>
              <w:rPr>
                <w:rFonts w:hint="eastAsia"/>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能力</w:t>
            </w:r>
          </w:p>
        </w:tc>
        <w:tc>
          <w:tcPr>
            <w:tcW w:w="960" w:type="dxa"/>
            <w:vAlign w:val="center"/>
          </w:tcPr>
          <w:p>
            <w:pPr>
              <w:rPr>
                <w:szCs w:val="21"/>
              </w:rPr>
            </w:pPr>
            <w:r>
              <w:rPr>
                <w:rFonts w:hint="eastAsia"/>
                <w:szCs w:val="21"/>
              </w:rPr>
              <w:t>7.2</w:t>
            </w:r>
          </w:p>
        </w:tc>
        <w:tc>
          <w:tcPr>
            <w:tcW w:w="10004" w:type="dxa"/>
            <w:vAlign w:val="center"/>
          </w:tcPr>
          <w:p>
            <w:pPr>
              <w:rPr>
                <w:szCs w:val="21"/>
              </w:rPr>
            </w:pPr>
            <w:r>
              <w:rPr>
                <w:rFonts w:hint="eastAsia"/>
                <w:szCs w:val="21"/>
              </w:rPr>
              <w:t>企业编制了《人力资源管理程序》，对人力资源管理进行了规定</w:t>
            </w:r>
          </w:p>
          <w:p>
            <w:pPr>
              <w:rPr>
                <w:szCs w:val="21"/>
              </w:rPr>
            </w:pPr>
            <w:r>
              <w:rPr>
                <w:rFonts w:hint="eastAsia"/>
                <w:szCs w:val="21"/>
              </w:rPr>
              <w:t>编制了任职条件：</w:t>
            </w:r>
          </w:p>
          <w:p>
            <w:pPr>
              <w:spacing w:line="400" w:lineRule="exact"/>
              <w:rPr>
                <w:szCs w:val="21"/>
              </w:rPr>
            </w:pPr>
            <w:r>
              <w:rPr>
                <w:rFonts w:hint="eastAsia"/>
                <w:szCs w:val="21"/>
              </w:rPr>
              <w:t>抽对管理部工作权限与内容、经验知识个人素质、专业技能要求。</w:t>
            </w:r>
          </w:p>
          <w:p>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抽岗位人员任职要求与评价表 </w:t>
            </w:r>
          </w:p>
          <w:p>
            <w:pP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营销</w:t>
            </w:r>
            <w:r>
              <w:rPr>
                <w:rFonts w:hint="eastAsia" w:ascii="Times New Roman" w:hAnsi="Times New Roman" w:eastAsia="宋体" w:cs="Times New Roman"/>
                <w:szCs w:val="21"/>
              </w:rPr>
              <w:t>部主任：本科、1.熟悉文件的管理和发放；2.熟悉公司人员的管理；类似工作5年以上；</w:t>
            </w:r>
          </w:p>
          <w:p>
            <w:pPr>
              <w:rPr>
                <w:rFonts w:hint="eastAsia" w:ascii="Times New Roman" w:hAnsi="Times New Roman" w:eastAsia="宋体" w:cs="Times New Roman"/>
                <w:szCs w:val="21"/>
              </w:rPr>
            </w:pPr>
            <w:r>
              <w:rPr>
                <w:rFonts w:hint="eastAsia" w:ascii="Times New Roman" w:hAnsi="Times New Roman" w:eastAsia="宋体" w:cs="Times New Roman"/>
                <w:szCs w:val="21"/>
              </w:rPr>
              <w:t>。。。。。。</w:t>
            </w:r>
          </w:p>
          <w:p>
            <w:pPr>
              <w:rPr>
                <w:rFonts w:hint="eastAsia" w:ascii="Times New Roman" w:hAnsi="Times New Roman" w:eastAsia="宋体" w:cs="Times New Roman"/>
                <w:szCs w:val="21"/>
              </w:rPr>
            </w:pPr>
            <w:r>
              <w:rPr>
                <w:rFonts w:hint="eastAsia" w:ascii="Times New Roman" w:hAnsi="Times New Roman" w:eastAsia="宋体" w:cs="Times New Roman"/>
                <w:szCs w:val="21"/>
              </w:rPr>
              <w:t>询问</w:t>
            </w:r>
            <w:r>
              <w:rPr>
                <w:rFonts w:hint="eastAsia" w:ascii="Times New Roman" w:hAnsi="Times New Roman" w:eastAsia="宋体" w:cs="Times New Roman"/>
                <w:szCs w:val="21"/>
                <w:lang w:val="en-US" w:eastAsia="zh-CN"/>
              </w:rPr>
              <w:t>咨询技术</w:t>
            </w:r>
            <w:r>
              <w:rPr>
                <w:rFonts w:hint="eastAsia" w:ascii="Times New Roman" w:hAnsi="Times New Roman" w:eastAsia="宋体" w:cs="Times New Roman"/>
                <w:szCs w:val="21"/>
              </w:rPr>
              <w:t>部负责人学历、工作经验等情况，均符合要求。</w:t>
            </w:r>
          </w:p>
          <w:p>
            <w:pPr>
              <w:rPr>
                <w:rFonts w:hint="eastAsia" w:ascii="Times New Roman" w:hAnsi="Times New Roman" w:eastAsia="宋体" w:cs="Times New Roman"/>
                <w:szCs w:val="21"/>
              </w:rPr>
            </w:pPr>
            <w:r>
              <w:rPr>
                <w:rFonts w:hint="eastAsia" w:ascii="Times New Roman" w:hAnsi="Times New Roman" w:eastAsia="宋体" w:cs="Times New Roman"/>
                <w:szCs w:val="21"/>
              </w:rPr>
              <w:t>查有内审员任命书，写明内审员的任职要求和审核要求。</w:t>
            </w:r>
          </w:p>
          <w:p>
            <w:pPr>
              <w:rPr>
                <w:rFonts w:hint="eastAsia" w:ascii="Times New Roman" w:hAnsi="Times New Roman" w:eastAsia="宋体" w:cs="Times New Roman"/>
                <w:szCs w:val="21"/>
              </w:rPr>
            </w:pPr>
            <w:r>
              <w:rPr>
                <w:rFonts w:hint="eastAsia" w:ascii="Times New Roman" w:hAnsi="Times New Roman" w:eastAsia="宋体" w:cs="Times New Roman"/>
                <w:szCs w:val="21"/>
              </w:rPr>
              <w:t>抽人员资质证书：</w:t>
            </w:r>
          </w:p>
          <w:p>
            <w:pPr>
              <w:rPr>
                <w:rFonts w:hint="eastAsia" w:ascii="Times New Roman" w:hAnsi="Times New Roman" w:eastAsia="宋体" w:cs="Times New Roman"/>
                <w:szCs w:val="21"/>
              </w:rPr>
            </w:pPr>
          </w:p>
          <w:p>
            <w:r>
              <w:drawing>
                <wp:inline distT="0" distB="0" distL="114300" distR="114300">
                  <wp:extent cx="4725035" cy="2051050"/>
                  <wp:effectExtent l="0" t="0" r="1206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725035" cy="2051050"/>
                          </a:xfrm>
                          <a:prstGeom prst="rect">
                            <a:avLst/>
                          </a:prstGeom>
                          <a:noFill/>
                          <a:ln>
                            <a:noFill/>
                          </a:ln>
                        </pic:spPr>
                      </pic:pic>
                    </a:graphicData>
                  </a:graphic>
                </wp:inline>
              </w:drawing>
            </w:r>
          </w:p>
          <w:p>
            <w:pPr>
              <w:pStyle w:val="2"/>
              <w:rPr>
                <w:rFonts w:hint="eastAsia"/>
              </w:rPr>
            </w:pPr>
            <w:r>
              <w:drawing>
                <wp:inline distT="0" distB="0" distL="114300" distR="114300">
                  <wp:extent cx="6210935" cy="2047240"/>
                  <wp:effectExtent l="0" t="0" r="1206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6210935" cy="2047240"/>
                          </a:xfrm>
                          <a:prstGeom prst="rect">
                            <a:avLst/>
                          </a:prstGeom>
                          <a:noFill/>
                          <a:ln>
                            <a:noFill/>
                          </a:ln>
                        </pic:spPr>
                      </pic:pic>
                    </a:graphicData>
                  </a:graphic>
                </wp:inline>
              </w:drawing>
            </w:r>
          </w:p>
          <w:p>
            <w:pPr>
              <w:rPr>
                <w:rFonts w:hint="eastAsia" w:ascii="Times New Roman" w:hAnsi="Times New Roman" w:eastAsia="宋体" w:cs="Times New Roman"/>
                <w:szCs w:val="21"/>
              </w:rPr>
            </w:pPr>
            <w:r>
              <w:rPr>
                <w:rFonts w:hint="eastAsia" w:ascii="Times New Roman" w:hAnsi="Times New Roman" w:eastAsia="宋体" w:cs="Times New Roman"/>
                <w:szCs w:val="21"/>
              </w:rPr>
              <w:t>　</w:t>
            </w:r>
          </w:p>
          <w:p>
            <w:pPr>
              <w:rPr>
                <w:rFonts w:hint="eastAsia" w:ascii="Times New Roman" w:hAnsi="Times New Roman" w:eastAsia="宋体" w:cs="Times New Roman"/>
                <w:szCs w:val="21"/>
              </w:rPr>
            </w:pPr>
            <w:r>
              <w:rPr>
                <w:rFonts w:hint="eastAsia" w:ascii="Times New Roman" w:hAnsi="Times New Roman" w:eastAsia="宋体" w:cs="Times New Roman"/>
                <w:szCs w:val="21"/>
              </w:rPr>
              <w:t>另抽其他人员资质证书，保存完好，符合要求。</w:t>
            </w:r>
          </w:p>
          <w:p>
            <w:pPr>
              <w:rPr>
                <w:rFonts w:hint="eastAsia" w:ascii="Times New Roman" w:hAnsi="Times New Roman" w:eastAsia="宋体" w:cs="Times New Roman"/>
                <w:szCs w:val="21"/>
              </w:rPr>
            </w:pPr>
            <w:r>
              <w:rPr>
                <w:rFonts w:hint="eastAsia" w:ascii="Times New Roman" w:hAnsi="Times New Roman" w:eastAsia="宋体" w:cs="Times New Roman"/>
                <w:szCs w:val="21"/>
              </w:rPr>
              <w:t>查见《20２</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年度培训计划》</w:t>
            </w:r>
          </w:p>
          <w:p>
            <w:pPr>
              <w:rPr>
                <w:rFonts w:hint="eastAsia" w:ascii="Times New Roman" w:hAnsi="Times New Roman" w:eastAsia="宋体" w:cs="Times New Roman"/>
                <w:szCs w:val="21"/>
              </w:rPr>
            </w:pPr>
            <w:r>
              <w:rPr>
                <w:rFonts w:hint="eastAsia" w:ascii="Times New Roman" w:hAnsi="Times New Roman" w:eastAsia="宋体" w:cs="Times New Roman"/>
                <w:szCs w:val="21"/>
              </w:rPr>
              <w:t>策划实施内容有管理制度培训；法律法规培训、内审员；火灾预案、安全防火；技能培训；体系文件培训；新员工入职培训等。</w:t>
            </w:r>
          </w:p>
          <w:p>
            <w:pPr>
              <w:rPr>
                <w:rFonts w:hint="eastAsia" w:ascii="Times New Roman" w:hAnsi="Times New Roman" w:eastAsia="宋体" w:cs="Times New Roman"/>
                <w:szCs w:val="21"/>
              </w:rPr>
            </w:pPr>
            <w:r>
              <w:rPr>
                <w:rFonts w:hint="eastAsia" w:ascii="Times New Roman" w:hAnsi="Times New Roman" w:eastAsia="宋体" w:cs="Times New Roman"/>
                <w:szCs w:val="21"/>
              </w:rPr>
              <w:t>抽查202</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年</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月8日记录表</w:t>
            </w:r>
          </w:p>
          <w:p>
            <w:pPr>
              <w:rPr>
                <w:rFonts w:hint="eastAsia" w:ascii="Times New Roman" w:hAnsi="Times New Roman" w:eastAsia="宋体" w:cs="Times New Roman"/>
                <w:szCs w:val="21"/>
              </w:rPr>
            </w:pPr>
            <w:r>
              <w:rPr>
                <w:rFonts w:hint="eastAsia" w:ascii="Times New Roman" w:hAnsi="Times New Roman" w:eastAsia="宋体" w:cs="Times New Roman"/>
                <w:szCs w:val="21"/>
              </w:rPr>
              <w:t>内容：内审员培训</w:t>
            </w:r>
          </w:p>
          <w:p>
            <w:pPr>
              <w:rPr>
                <w:rFonts w:hint="eastAsia" w:ascii="Times New Roman" w:hAnsi="Times New Roman" w:eastAsia="宋体" w:cs="Times New Roman"/>
                <w:szCs w:val="21"/>
              </w:rPr>
            </w:pPr>
            <w:r>
              <w:rPr>
                <w:rFonts w:hint="eastAsia" w:ascii="Times New Roman" w:hAnsi="Times New Roman" w:eastAsia="宋体" w:cs="Times New Roman"/>
                <w:szCs w:val="21"/>
              </w:rPr>
              <w:t>内容包括培训时间地点、培训内容、参与人员签到，考核方式及评价等信息。</w:t>
            </w:r>
          </w:p>
          <w:p>
            <w:pPr>
              <w:rPr>
                <w:rFonts w:hint="eastAsia" w:ascii="Times New Roman" w:hAnsi="Times New Roman" w:eastAsia="宋体" w:cs="Times New Roman"/>
                <w:szCs w:val="21"/>
              </w:rPr>
            </w:pPr>
            <w:r>
              <w:rPr>
                <w:rFonts w:hint="eastAsia" w:ascii="Times New Roman" w:hAnsi="Times New Roman" w:eastAsia="宋体" w:cs="Times New Roman"/>
                <w:szCs w:val="21"/>
              </w:rPr>
              <w:t>202</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年</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月28法律法规、202</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年</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rPr>
              <w:t>月20日</w:t>
            </w:r>
            <w:r>
              <w:rPr>
                <w:rFonts w:hint="eastAsia" w:ascii="Times New Roman" w:hAnsi="Times New Roman" w:eastAsia="宋体" w:cs="Times New Roman"/>
                <w:szCs w:val="21"/>
                <w:lang w:val="en-US" w:eastAsia="zh-CN"/>
              </w:rPr>
              <w:t>内审员培训</w:t>
            </w:r>
            <w:bookmarkStart w:id="3" w:name="_GoBack"/>
            <w:bookmarkEnd w:id="3"/>
            <w:r>
              <w:rPr>
                <w:rFonts w:hint="eastAsia" w:ascii="Times New Roman" w:hAnsi="Times New Roman" w:eastAsia="宋体" w:cs="Times New Roman"/>
                <w:szCs w:val="21"/>
              </w:rPr>
              <w:t>等培训，有记录表，内容包括培训时间地点、培训内容、参与人员签到，考核方式及评价等信息。</w:t>
            </w:r>
          </w:p>
          <w:p>
            <w:pPr>
              <w:rPr>
                <w:szCs w:val="21"/>
              </w:rPr>
            </w:pPr>
            <w:r>
              <w:rPr>
                <w:rFonts w:hint="eastAsia" w:ascii="Times New Roman" w:hAnsi="Times New Roman" w:eastAsia="宋体" w:cs="Times New Roman"/>
                <w:szCs w:val="21"/>
              </w:rPr>
              <w:t>另抽其他培训记录，均保存完好，符合要求。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意识</w:t>
            </w:r>
          </w:p>
        </w:tc>
        <w:tc>
          <w:tcPr>
            <w:tcW w:w="960" w:type="dxa"/>
            <w:vAlign w:val="center"/>
          </w:tcPr>
          <w:p>
            <w:pPr>
              <w:rPr>
                <w:szCs w:val="21"/>
              </w:rPr>
            </w:pPr>
            <w:r>
              <w:rPr>
                <w:rFonts w:hint="eastAsia"/>
                <w:szCs w:val="21"/>
              </w:rPr>
              <w:t>7.3</w:t>
            </w:r>
          </w:p>
        </w:tc>
        <w:tc>
          <w:tcPr>
            <w:tcW w:w="10004" w:type="dxa"/>
            <w:vAlign w:val="center"/>
          </w:tcPr>
          <w:p>
            <w:pPr>
              <w:rPr>
                <w:szCs w:val="21"/>
              </w:rPr>
            </w:pPr>
            <w:r>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szCs w:val="21"/>
              </w:rPr>
            </w:pPr>
            <w:r>
              <w:rPr>
                <w:rFonts w:hint="eastAsia"/>
                <w:szCs w:val="21"/>
              </w:rPr>
              <w:t>抽查一名员工，询问公司质量方针和目标，及对方针的了解，能够正确回答。</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沟通</w:t>
            </w:r>
          </w:p>
        </w:tc>
        <w:tc>
          <w:tcPr>
            <w:tcW w:w="960" w:type="dxa"/>
            <w:vAlign w:val="center"/>
          </w:tcPr>
          <w:p>
            <w:pPr>
              <w:rPr>
                <w:szCs w:val="21"/>
              </w:rPr>
            </w:pPr>
            <w:r>
              <w:rPr>
                <w:rFonts w:hint="eastAsia"/>
                <w:szCs w:val="21"/>
              </w:rPr>
              <w:t>7.4</w:t>
            </w:r>
          </w:p>
        </w:tc>
        <w:tc>
          <w:tcPr>
            <w:tcW w:w="10004" w:type="dxa"/>
            <w:vAlign w:val="center"/>
          </w:tcPr>
          <w:p>
            <w:pPr>
              <w:rPr>
                <w:szCs w:val="21"/>
              </w:rPr>
            </w:pPr>
            <w:r>
              <w:rPr>
                <w:rFonts w:hint="eastAsia"/>
                <w:szCs w:val="21"/>
              </w:rPr>
              <w:t>企业主要通过以下措施实施内部、外部的信息交流和信息沟通：</w:t>
            </w:r>
          </w:p>
          <w:p>
            <w:pPr>
              <w:rPr>
                <w:szCs w:val="21"/>
              </w:rPr>
            </w:pPr>
            <w:r>
              <w:rPr>
                <w:rFonts w:hint="eastAsia"/>
                <w:szCs w:val="21"/>
              </w:rPr>
              <w:t>1）内部沟通：a)通过各种列会传达、通报质量管理情况（如工作例会、经营会议等)；b)各部门内部会议等；c)内部文件的学习和传递；d)公司宣传栏等方式。</w:t>
            </w:r>
          </w:p>
          <w:p>
            <w:pPr>
              <w:rPr>
                <w:szCs w:val="21"/>
              </w:rPr>
            </w:pPr>
            <w:r>
              <w:rPr>
                <w:rFonts w:hint="eastAsia"/>
                <w:szCs w:val="21"/>
              </w:rPr>
              <w:t>2）外部沟通：a)与供方沟通采购产品信息，产品质量和交货信息等；b)与顾客沟通产品信息信息、产品质量、交付情况和服务方面等；c)与当地政府主管部门进行交流沟通。</w:t>
            </w:r>
          </w:p>
          <w:p>
            <w:pPr>
              <w:rPr>
                <w:szCs w:val="21"/>
              </w:rPr>
            </w:pPr>
            <w:r>
              <w:rPr>
                <w:rFonts w:hint="eastAsia"/>
                <w:szCs w:val="21"/>
              </w:rPr>
              <w:t>内外部信息交流/沟通方式可行、有效。</w:t>
            </w:r>
          </w:p>
          <w:p>
            <w:pPr>
              <w:rPr>
                <w:szCs w:val="21"/>
              </w:rPr>
            </w:pPr>
            <w:r>
              <w:rPr>
                <w:rFonts w:hint="eastAsia"/>
                <w:szCs w:val="21"/>
              </w:rPr>
              <w:t>公司沟通机制已经建立，基本有效。</w:t>
            </w:r>
          </w:p>
          <w:p>
            <w:pPr>
              <w:rPr>
                <w:szCs w:val="21"/>
              </w:rPr>
            </w:pPr>
            <w:r>
              <w:rPr>
                <w:rFonts w:hint="eastAsia"/>
                <w:szCs w:val="21"/>
              </w:rPr>
              <w:t>尚未发生因交流、沟通不畅而导致体系运行受阻现象影响。</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文件化信息</w:t>
            </w:r>
          </w:p>
        </w:tc>
        <w:tc>
          <w:tcPr>
            <w:tcW w:w="960" w:type="dxa"/>
            <w:vAlign w:val="center"/>
          </w:tcPr>
          <w:p>
            <w:pPr>
              <w:rPr>
                <w:szCs w:val="21"/>
              </w:rPr>
            </w:pPr>
            <w:r>
              <w:rPr>
                <w:rFonts w:hint="eastAsia"/>
                <w:szCs w:val="21"/>
              </w:rPr>
              <w:t>7.5</w:t>
            </w:r>
          </w:p>
        </w:tc>
        <w:tc>
          <w:tcPr>
            <w:tcW w:w="10004" w:type="dxa"/>
            <w:vAlign w:val="center"/>
          </w:tcPr>
          <w:p>
            <w:pPr>
              <w:rPr>
                <w:szCs w:val="21"/>
              </w:rPr>
            </w:pPr>
            <w:r>
              <w:rPr>
                <w:rFonts w:hint="eastAsia"/>
                <w:szCs w:val="21"/>
              </w:rPr>
              <w:t>执行公司《文件控制程序》《记录控制程序》</w:t>
            </w:r>
          </w:p>
          <w:p>
            <w:pPr>
              <w:rPr>
                <w:szCs w:val="21"/>
              </w:rPr>
            </w:pPr>
            <w:r>
              <w:rPr>
                <w:rFonts w:hint="eastAsia"/>
                <w:szCs w:val="21"/>
              </w:rPr>
              <w:t>公司质量管理体系文件包括：管理手册、程序文件、外来文件、记录等。已建立“受控文件清单”。</w:t>
            </w:r>
          </w:p>
          <w:p>
            <w:pPr>
              <w:rPr>
                <w:szCs w:val="21"/>
              </w:rPr>
            </w:pPr>
            <w:r>
              <w:rPr>
                <w:rFonts w:hint="eastAsia"/>
                <w:szCs w:val="21"/>
              </w:rPr>
              <w:t>查：公司质量《管理手册》、《程序文件》为依据GB/T19001-2016版编制，于2021年01月25日发布实施，目前版本为A版。</w:t>
            </w:r>
          </w:p>
          <w:p>
            <w:pPr>
              <w:rPr>
                <w:szCs w:val="21"/>
              </w:rPr>
            </w:pPr>
            <w:r>
              <w:rPr>
                <w:rFonts w:hint="eastAsia"/>
                <w:szCs w:val="21"/>
              </w:rPr>
              <w:t>由管理者代表审核，总经理批准后发布。</w:t>
            </w:r>
          </w:p>
          <w:p>
            <w:pPr>
              <w:rPr>
                <w:szCs w:val="21"/>
              </w:rPr>
            </w:pPr>
            <w:r>
              <w:rPr>
                <w:rFonts w:hint="eastAsia"/>
                <w:szCs w:val="21"/>
              </w:rPr>
              <w:t xml:space="preserve">查：“文 件 发 放 记 录”，内容涵盖：序号、文件名称、编号、发放记录、回收记录等。 </w:t>
            </w:r>
          </w:p>
          <w:p>
            <w:pPr>
              <w:rPr>
                <w:szCs w:val="21"/>
              </w:rPr>
            </w:pPr>
            <w:r>
              <w:rPr>
                <w:rFonts w:hint="eastAsia"/>
                <w:szCs w:val="21"/>
              </w:rPr>
              <w:t>质量手册、程序文件、作业文件已发放各部门，有签收部门确认。</w:t>
            </w:r>
          </w:p>
          <w:p>
            <w:pPr>
              <w:rPr>
                <w:szCs w:val="21"/>
              </w:rPr>
            </w:pPr>
            <w:r>
              <w:rPr>
                <w:rFonts w:hint="eastAsia"/>
                <w:szCs w:val="21"/>
              </w:rPr>
              <w:t>规定对所有失效文件，从使用场所回收并填写《文件销毁申请单》经总经理批准后要加盖“作废”印章，统一销毁。</w:t>
            </w:r>
          </w:p>
          <w:p>
            <w:pPr>
              <w:rPr>
                <w:szCs w:val="21"/>
              </w:rPr>
            </w:pPr>
            <w:r>
              <w:rPr>
                <w:rFonts w:hint="eastAsia"/>
                <w:szCs w:val="21"/>
              </w:rPr>
              <w:t>文件更改采用局部修改、换页、换版等方式。</w:t>
            </w:r>
          </w:p>
          <w:p>
            <w:pPr>
              <w:rPr>
                <w:szCs w:val="21"/>
              </w:rPr>
            </w:pPr>
            <w:r>
              <w:rPr>
                <w:rFonts w:hint="eastAsia"/>
                <w:szCs w:val="21"/>
              </w:rPr>
              <w:t>查：有“外来文件清单”记录了《产品质量法》等外来文件，控制分发，有专人负责。</w:t>
            </w:r>
          </w:p>
          <w:p>
            <w:pPr>
              <w:rPr>
                <w:szCs w:val="21"/>
              </w:rPr>
            </w:pPr>
            <w:r>
              <w:rPr>
                <w:rFonts w:hint="eastAsia"/>
                <w:szCs w:val="21"/>
              </w:rPr>
              <w:t>已建立“记录清单”内容含盖：序号、记录名称、记录编号、保存期限。</w:t>
            </w:r>
          </w:p>
          <w:p>
            <w:pPr>
              <w:rPr>
                <w:szCs w:val="21"/>
              </w:rPr>
            </w:pPr>
            <w:r>
              <w:rPr>
                <w:rFonts w:hint="eastAsia"/>
                <w:szCs w:val="21"/>
              </w:rPr>
              <w:t>查看，文件、记录保持清晰，保存完好。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监测、分析与评价</w:t>
            </w:r>
          </w:p>
        </w:tc>
        <w:tc>
          <w:tcPr>
            <w:tcW w:w="960" w:type="dxa"/>
            <w:vAlign w:val="center"/>
          </w:tcPr>
          <w:p>
            <w:pPr>
              <w:rPr>
                <w:szCs w:val="21"/>
              </w:rPr>
            </w:pPr>
            <w:r>
              <w:rPr>
                <w:rFonts w:hint="eastAsia"/>
                <w:szCs w:val="21"/>
              </w:rPr>
              <w:t>9.1.3</w:t>
            </w:r>
          </w:p>
        </w:tc>
        <w:tc>
          <w:tcPr>
            <w:tcW w:w="10004" w:type="dxa"/>
            <w:vAlign w:val="center"/>
          </w:tcPr>
          <w:p>
            <w:pPr>
              <w:rPr>
                <w:szCs w:val="21"/>
              </w:rPr>
            </w:pPr>
            <w:r>
              <w:rPr>
                <w:rFonts w:hint="eastAsia"/>
                <w:szCs w:val="21"/>
              </w:rPr>
              <w:t>通过对数据的收集、分析和处理提高顾客满意、产品和服务符合性、质量管理体系的绩效和有效性、过程、产品的特性及发展趋势等。</w:t>
            </w:r>
          </w:p>
          <w:p>
            <w:pPr>
              <w:rPr>
                <w:szCs w:val="21"/>
              </w:rPr>
            </w:pPr>
            <w:r>
              <w:rPr>
                <w:rFonts w:hint="eastAsia"/>
                <w:szCs w:val="21"/>
              </w:rPr>
              <w:t>查质量目标统计表，均满足策划的要求。</w:t>
            </w:r>
          </w:p>
          <w:p>
            <w:pPr>
              <w:rPr>
                <w:szCs w:val="21"/>
              </w:rPr>
            </w:pPr>
            <w:r>
              <w:rPr>
                <w:rFonts w:hint="eastAsia"/>
                <w:szCs w:val="21"/>
              </w:rPr>
              <w:t>根据对应对风险措施评价分析，公司各项指标虽然达到《管理手册》规定要求，仍需要加强人员的管理和培训，做到精益求精，加强内部管理，持续改进组织的质量管理体系。</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内审</w:t>
            </w:r>
          </w:p>
        </w:tc>
        <w:tc>
          <w:tcPr>
            <w:tcW w:w="960" w:type="dxa"/>
            <w:vAlign w:val="center"/>
          </w:tcPr>
          <w:p>
            <w:pPr>
              <w:rPr>
                <w:szCs w:val="21"/>
              </w:rPr>
            </w:pPr>
            <w:r>
              <w:rPr>
                <w:rFonts w:hint="eastAsia"/>
                <w:szCs w:val="21"/>
              </w:rPr>
              <w:t>9.2</w:t>
            </w:r>
          </w:p>
        </w:tc>
        <w:tc>
          <w:tcPr>
            <w:tcW w:w="10004" w:type="dxa"/>
            <w:vAlign w:val="center"/>
          </w:tcPr>
          <w:p>
            <w:pPr>
              <w:rPr>
                <w:szCs w:val="21"/>
              </w:rPr>
            </w:pPr>
            <w:r>
              <w:rPr>
                <w:rFonts w:hint="eastAsia"/>
                <w:szCs w:val="21"/>
              </w:rPr>
              <w:t>公司制定了《内部审核控制程序》，文件规定每年至少进行一次内部审核，间隔时间不超过12个月。规定了审核的策划、实施、形成记录以及报告结果的要求。</w:t>
            </w:r>
          </w:p>
          <w:p>
            <w:pPr>
              <w:rPr>
                <w:szCs w:val="21"/>
              </w:rPr>
            </w:pPr>
            <w:r>
              <w:rPr>
                <w:rFonts w:hint="eastAsia"/>
                <w:szCs w:val="21"/>
              </w:rPr>
              <w:t>提供了《审核实施计划》，审核目的，范围、依据、审核时间、受审部门、日程安排、审核组长和成员等内容。</w:t>
            </w:r>
          </w:p>
          <w:p>
            <w:pPr>
              <w:rPr>
                <w:szCs w:val="21"/>
              </w:rPr>
            </w:pPr>
            <w:r>
              <w:rPr>
                <w:rFonts w:hint="eastAsia"/>
                <w:szCs w:val="21"/>
              </w:rPr>
              <w:t>内审时间：2021年6月5日。</w:t>
            </w:r>
          </w:p>
          <w:p>
            <w:pPr>
              <w:rPr>
                <w:szCs w:val="21"/>
              </w:rPr>
            </w:pPr>
            <w:r>
              <w:rPr>
                <w:rFonts w:hint="eastAsia"/>
                <w:szCs w:val="21"/>
              </w:rPr>
              <w:t>依据GB/T19001-2016版标准，质量管理手册和体系其他文件。计划由总经理批准后实施。</w:t>
            </w:r>
          </w:p>
          <w:p>
            <w:pPr>
              <w:rPr>
                <w:szCs w:val="21"/>
              </w:rPr>
            </w:pPr>
            <w:r>
              <w:rPr>
                <w:rFonts w:hint="eastAsia"/>
                <w:szCs w:val="21"/>
              </w:rPr>
              <w:t>公司按计划实施了内审。</w:t>
            </w:r>
          </w:p>
          <w:p>
            <w:pPr>
              <w:rPr>
                <w:szCs w:val="21"/>
              </w:rPr>
            </w:pPr>
            <w:r>
              <w:rPr>
                <w:rFonts w:hint="eastAsia"/>
                <w:szCs w:val="21"/>
              </w:rPr>
              <w:t>审核组长：</w:t>
            </w:r>
            <w:r>
              <w:rPr>
                <w:rFonts w:hint="eastAsia" w:ascii="Arial" w:hAnsi="Arial" w:cs="Arial"/>
                <w:kern w:val="0"/>
                <w:szCs w:val="21"/>
              </w:rPr>
              <w:t>李彦轻</w:t>
            </w:r>
          </w:p>
          <w:p>
            <w:pPr>
              <w:rPr>
                <w:rFonts w:hint="eastAsia"/>
                <w:szCs w:val="21"/>
              </w:rPr>
            </w:pPr>
            <w:r>
              <w:rPr>
                <w:rFonts w:hint="eastAsia"/>
                <w:szCs w:val="21"/>
              </w:rPr>
              <w:t>审核组成员：温鹏</w:t>
            </w:r>
          </w:p>
          <w:p>
            <w:pPr>
              <w:rPr>
                <w:szCs w:val="21"/>
              </w:rPr>
            </w:pPr>
            <w:r>
              <w:rPr>
                <w:rFonts w:hint="eastAsia"/>
                <w:szCs w:val="21"/>
              </w:rPr>
              <w:t xml:space="preserve">提供了内审员任命书，写明了内审员任职要求及审核要求。内审员的安排考虑了审核过程的客观性和公正性，没有发现自己审核本部门的情况。  </w:t>
            </w:r>
          </w:p>
          <w:p>
            <w:pPr>
              <w:rPr>
                <w:szCs w:val="21"/>
              </w:rPr>
            </w:pPr>
            <w:r>
              <w:rPr>
                <w:rFonts w:hint="eastAsia"/>
                <w:szCs w:val="21"/>
              </w:rPr>
              <w:t>内审首末次会议签到（领导层、各部门负责人）；</w:t>
            </w:r>
          </w:p>
          <w:p>
            <w:pPr>
              <w:rPr>
                <w:szCs w:val="21"/>
              </w:rPr>
            </w:pPr>
            <w:r>
              <w:rPr>
                <w:rFonts w:hint="eastAsia"/>
                <w:szCs w:val="21"/>
              </w:rPr>
              <w:t>——内部审核检查表，审核按计划进行，没有遗漏标准条款及体系覆盖的部门和场所，内审员没有审核自己的工作</w:t>
            </w:r>
          </w:p>
          <w:p>
            <w:pPr>
              <w:rPr>
                <w:szCs w:val="21"/>
              </w:rPr>
            </w:pPr>
            <w:r>
              <w:rPr>
                <w:rFonts w:hint="eastAsia"/>
                <w:szCs w:val="21"/>
              </w:rPr>
              <w:t>内审不符合1项，已整改验收合格。</w:t>
            </w:r>
          </w:p>
          <w:p>
            <w:pPr>
              <w:rPr>
                <w:szCs w:val="21"/>
              </w:rPr>
            </w:pPr>
            <w:r>
              <w:rPr>
                <w:rFonts w:hint="eastAsia"/>
                <w:szCs w:val="21"/>
              </w:rPr>
              <w:t>内审结论：公司的管理体系基本上符合ISO9001:2015管理体系标准的要求，体系的运行有效，但仍属于起步阶段，今后还要继续努力进一步完善公司的质量管理体系同时使公司的质量管理体系工作做得更好。管理体系运行初步具有了符合性、有效性，目前，体系的有效运行对提高内部管理水平，满足顾客要求，减少环境污染，保证员工身心健康安全，强化满足顾客要求的意识起到了积极的指导作用。</w:t>
            </w:r>
          </w:p>
          <w:p>
            <w:pPr>
              <w:rPr>
                <w:szCs w:val="21"/>
              </w:rPr>
            </w:pPr>
            <w:r>
              <w:rPr>
                <w:rFonts w:hint="eastAsia"/>
                <w:szCs w:val="21"/>
              </w:rPr>
              <w:t>内审报告显示本公司的质量体系均运行良好。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不合格与纠正措施</w:t>
            </w:r>
          </w:p>
        </w:tc>
        <w:tc>
          <w:tcPr>
            <w:tcW w:w="960" w:type="dxa"/>
            <w:vAlign w:val="center"/>
          </w:tcPr>
          <w:p>
            <w:pPr>
              <w:rPr>
                <w:szCs w:val="21"/>
              </w:rPr>
            </w:pPr>
            <w:r>
              <w:rPr>
                <w:rFonts w:hint="eastAsia"/>
                <w:szCs w:val="21"/>
              </w:rPr>
              <w:t>10.2</w:t>
            </w:r>
          </w:p>
        </w:tc>
        <w:tc>
          <w:tcPr>
            <w:tcW w:w="10004" w:type="dxa"/>
            <w:vAlign w:val="center"/>
          </w:tcPr>
          <w:p>
            <w:pPr>
              <w:rPr>
                <w:rFonts w:hint="eastAsia"/>
                <w:szCs w:val="21"/>
              </w:rPr>
            </w:pPr>
            <w:r>
              <w:rPr>
                <w:rFonts w:hint="eastAsia"/>
                <w:szCs w:val="21"/>
              </w:rPr>
              <w:t>企业提供的《不合格项目情况服务管理控制程序》中规定了不合格项目情况的控制方法和要求，旨在防止非预期的使用或交付。</w:t>
            </w:r>
          </w:p>
          <w:p>
            <w:pPr>
              <w:rPr>
                <w:rFonts w:hint="eastAsia"/>
                <w:szCs w:val="21"/>
              </w:rPr>
            </w:pPr>
            <w:r>
              <w:rPr>
                <w:rFonts w:hint="eastAsia"/>
                <w:szCs w:val="21"/>
              </w:rPr>
              <w:t>当咨询技术部检验采购项目不合格时，由咨询技术部做出退(换)货处理决定。</w:t>
            </w:r>
          </w:p>
          <w:p>
            <w:pPr>
              <w:rPr>
                <w:rFonts w:hint="eastAsia"/>
                <w:szCs w:val="21"/>
              </w:rPr>
            </w:pPr>
            <w:r>
              <w:rPr>
                <w:rFonts w:hint="eastAsia"/>
                <w:szCs w:val="21"/>
              </w:rPr>
              <w:t>项目工人在自检中发现不合格项目情况，应隔离并报告检验员，等待处理。检验员在工序检验中发现不合格项目情况，如能判断可以返工，则通知操作者返工，返工后重新进行检验。如能判断报废，且数量较少，由检验员直接作报废处理。</w:t>
            </w:r>
          </w:p>
          <w:p>
            <w:pPr>
              <w:rPr>
                <w:rFonts w:hint="eastAsia"/>
                <w:szCs w:val="21"/>
              </w:rPr>
            </w:pPr>
            <w:r>
              <w:rPr>
                <w:rFonts w:hint="eastAsia"/>
                <w:szCs w:val="21"/>
              </w:rPr>
              <w:t>不合格项目情况报废数量超过5件或是不合格项目情况处理结果一时难以判定，应报告咨询技术部，由主管进行评审或组织相关人员评审作出结论。最终项目发现不合格均应填写《不合格项目情况报告》报告咨询技术部，由主管进行评审</w:t>
            </w:r>
          </w:p>
          <w:p>
            <w:pPr>
              <w:rPr>
                <w:rFonts w:hint="eastAsia"/>
                <w:szCs w:val="21"/>
              </w:rPr>
            </w:pPr>
          </w:p>
          <w:p>
            <w:pPr>
              <w:rPr>
                <w:szCs w:val="21"/>
              </w:rPr>
            </w:pPr>
            <w:r>
              <w:rPr>
                <w:rFonts w:hint="eastAsia"/>
                <w:szCs w:val="21"/>
              </w:rPr>
              <w:t xml:space="preserve">抽不符合记录：2021年4月20日培训过程记录未按要求规范填写。 </w:t>
            </w:r>
          </w:p>
          <w:p>
            <w:pPr>
              <w:rPr>
                <w:rFonts w:hint="eastAsia"/>
                <w:szCs w:val="21"/>
              </w:rPr>
            </w:pPr>
            <w:r>
              <w:rPr>
                <w:rFonts w:hint="eastAsia"/>
                <w:szCs w:val="21"/>
              </w:rPr>
              <w:t>1、要求相关员工按要求记录并保持项目过程监控记录；</w:t>
            </w:r>
          </w:p>
          <w:p>
            <w:pPr>
              <w:rPr>
                <w:rFonts w:hint="eastAsia"/>
                <w:szCs w:val="21"/>
              </w:rPr>
            </w:pPr>
            <w:r>
              <w:rPr>
                <w:rFonts w:hint="eastAsia"/>
                <w:szCs w:val="21"/>
              </w:rPr>
              <w:t>2、组织相关员工学习GB/T19001-2016标准8.5.1条款及项目和服务提供控制程序相关知识。</w:t>
            </w:r>
          </w:p>
          <w:p>
            <w:pPr>
              <w:rPr>
                <w:rFonts w:hint="eastAsia"/>
                <w:szCs w:val="21"/>
              </w:rPr>
            </w:pPr>
            <w:r>
              <w:rPr>
                <w:rFonts w:hint="eastAsia"/>
                <w:szCs w:val="21"/>
              </w:rPr>
              <w:t>处理：负责人安排人员处理</w:t>
            </w:r>
          </w:p>
          <w:p>
            <w:pPr>
              <w:rPr>
                <w:rFonts w:hint="eastAsia"/>
                <w:szCs w:val="21"/>
              </w:rPr>
            </w:pPr>
            <w:r>
              <w:rPr>
                <w:rFonts w:hint="eastAsia"/>
                <w:szCs w:val="21"/>
              </w:rPr>
              <w:t>验证：已整改</w:t>
            </w:r>
          </w:p>
          <w:p>
            <w:pPr>
              <w:rPr>
                <w:szCs w:val="21"/>
              </w:rPr>
            </w:pPr>
            <w:r>
              <w:rPr>
                <w:rFonts w:hint="eastAsia"/>
                <w:szCs w:val="21"/>
              </w:rPr>
              <w:t>内审过程中发现的不符合已经整改，符合要求。</w:t>
            </w:r>
          </w:p>
          <w:p>
            <w:pPr>
              <w:rPr>
                <w:szCs w:val="21"/>
              </w:rPr>
            </w:pPr>
            <w:r>
              <w:rPr>
                <w:rFonts w:hint="eastAsia"/>
                <w:szCs w:val="21"/>
              </w:rPr>
              <w:t xml:space="preserve">  服务过程监视和测量过程中有导入风险思维，主要有通过加强员工培训，加大监督和检查力度等措施，以达到预防措施的目的。</w:t>
            </w:r>
          </w:p>
          <w:p>
            <w:pPr>
              <w:rPr>
                <w:szCs w:val="21"/>
              </w:rPr>
            </w:pPr>
          </w:p>
        </w:tc>
        <w:tc>
          <w:tcPr>
            <w:tcW w:w="1585" w:type="dxa"/>
          </w:tcPr>
          <w:p>
            <w:pPr>
              <w:rPr>
                <w:szCs w:val="21"/>
              </w:rPr>
            </w:pPr>
          </w:p>
        </w:tc>
      </w:tr>
    </w:tbl>
    <w:p>
      <w:pPr>
        <w:rPr>
          <w:szCs w:val="21"/>
        </w:rPr>
      </w:pPr>
    </w:p>
    <w:p>
      <w:pPr>
        <w:rPr>
          <w:szCs w:val="21"/>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entury">
    <w:altName w:val="Times New Roman"/>
    <w:panose1 w:val="02040604050505020304"/>
    <w:charset w:val="00"/>
    <w:family w:val="roman"/>
    <w:pitch w:val="default"/>
    <w:sig w:usb0="00000000" w:usb1="00000000" w:usb2="00000000" w:usb3="00000000" w:csb0="0000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北魏楷书简体">
    <w:altName w:val="宋体"/>
    <w:panose1 w:val="00000000000000000000"/>
    <w:charset w:val="01"/>
    <w:family w:val="auto"/>
    <w:pitch w:val="default"/>
    <w:sig w:usb0="00000000" w:usb1="00000000" w:usb2="00000000"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5"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B44SF40QEAAI4DAAAOAAAAAAAAAAEAIAAA&#10;ACUBAABkcnMvZTJvRG9jLnhtbFBLBQYAAAAABgAGAFkBAABo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7"/>
        <w:rFonts w:hint="default"/>
        <w:w w:val="90"/>
      </w:rPr>
      <w:t>Beijing International Standard united Certification Co.,Ltd.</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06F62"/>
    <w:rsid w:val="00020ED0"/>
    <w:rsid w:val="000237F6"/>
    <w:rsid w:val="00033275"/>
    <w:rsid w:val="0003373A"/>
    <w:rsid w:val="000400E2"/>
    <w:rsid w:val="000414F2"/>
    <w:rsid w:val="000418A1"/>
    <w:rsid w:val="00062E46"/>
    <w:rsid w:val="00094EDE"/>
    <w:rsid w:val="0009581C"/>
    <w:rsid w:val="000B1367"/>
    <w:rsid w:val="000B2A8D"/>
    <w:rsid w:val="000C785E"/>
    <w:rsid w:val="000E1AC5"/>
    <w:rsid w:val="000E2E22"/>
    <w:rsid w:val="000F0C3A"/>
    <w:rsid w:val="000F2277"/>
    <w:rsid w:val="000F7EEE"/>
    <w:rsid w:val="001159A4"/>
    <w:rsid w:val="001222AC"/>
    <w:rsid w:val="00127533"/>
    <w:rsid w:val="00154F57"/>
    <w:rsid w:val="00164619"/>
    <w:rsid w:val="0017114D"/>
    <w:rsid w:val="001714C2"/>
    <w:rsid w:val="001936A1"/>
    <w:rsid w:val="001A2D7F"/>
    <w:rsid w:val="001A6746"/>
    <w:rsid w:val="001C3405"/>
    <w:rsid w:val="001C59B7"/>
    <w:rsid w:val="001D29DE"/>
    <w:rsid w:val="001D7AD8"/>
    <w:rsid w:val="001E3AC1"/>
    <w:rsid w:val="001F6E94"/>
    <w:rsid w:val="00200865"/>
    <w:rsid w:val="00265B8B"/>
    <w:rsid w:val="0027176D"/>
    <w:rsid w:val="00283698"/>
    <w:rsid w:val="0029051D"/>
    <w:rsid w:val="00291330"/>
    <w:rsid w:val="002939AD"/>
    <w:rsid w:val="002C15D2"/>
    <w:rsid w:val="002D3CE3"/>
    <w:rsid w:val="002D69F1"/>
    <w:rsid w:val="002E415C"/>
    <w:rsid w:val="002F3120"/>
    <w:rsid w:val="00301C0B"/>
    <w:rsid w:val="0030799E"/>
    <w:rsid w:val="00327574"/>
    <w:rsid w:val="00337922"/>
    <w:rsid w:val="00340867"/>
    <w:rsid w:val="003422FC"/>
    <w:rsid w:val="00345151"/>
    <w:rsid w:val="00352A00"/>
    <w:rsid w:val="003758C5"/>
    <w:rsid w:val="00380837"/>
    <w:rsid w:val="00381677"/>
    <w:rsid w:val="003A198A"/>
    <w:rsid w:val="003C0D6C"/>
    <w:rsid w:val="003C61F9"/>
    <w:rsid w:val="003D3EFB"/>
    <w:rsid w:val="003E452D"/>
    <w:rsid w:val="003F5D7B"/>
    <w:rsid w:val="00410914"/>
    <w:rsid w:val="00430600"/>
    <w:rsid w:val="004333D1"/>
    <w:rsid w:val="0043367C"/>
    <w:rsid w:val="00437401"/>
    <w:rsid w:val="00446D85"/>
    <w:rsid w:val="004524F1"/>
    <w:rsid w:val="004543CA"/>
    <w:rsid w:val="00455174"/>
    <w:rsid w:val="00460A12"/>
    <w:rsid w:val="00464F08"/>
    <w:rsid w:val="004A09DF"/>
    <w:rsid w:val="004B2C96"/>
    <w:rsid w:val="004B7712"/>
    <w:rsid w:val="004E04E5"/>
    <w:rsid w:val="00506EA4"/>
    <w:rsid w:val="00536930"/>
    <w:rsid w:val="005409D3"/>
    <w:rsid w:val="00564E53"/>
    <w:rsid w:val="00585068"/>
    <w:rsid w:val="005A0FB3"/>
    <w:rsid w:val="005C0D7C"/>
    <w:rsid w:val="005D5659"/>
    <w:rsid w:val="005D7600"/>
    <w:rsid w:val="005E6BA8"/>
    <w:rsid w:val="005F167C"/>
    <w:rsid w:val="005F175F"/>
    <w:rsid w:val="00600C20"/>
    <w:rsid w:val="0060365E"/>
    <w:rsid w:val="00605D66"/>
    <w:rsid w:val="00606ED8"/>
    <w:rsid w:val="006106AE"/>
    <w:rsid w:val="006406C5"/>
    <w:rsid w:val="00644FE2"/>
    <w:rsid w:val="006530C4"/>
    <w:rsid w:val="0067640C"/>
    <w:rsid w:val="006A5A0F"/>
    <w:rsid w:val="006D0998"/>
    <w:rsid w:val="006D0A30"/>
    <w:rsid w:val="006D76D3"/>
    <w:rsid w:val="006E3BD8"/>
    <w:rsid w:val="006E678B"/>
    <w:rsid w:val="00706D88"/>
    <w:rsid w:val="007206CB"/>
    <w:rsid w:val="00733E0F"/>
    <w:rsid w:val="00750F5A"/>
    <w:rsid w:val="00752B5B"/>
    <w:rsid w:val="00753BC2"/>
    <w:rsid w:val="00770998"/>
    <w:rsid w:val="007757F3"/>
    <w:rsid w:val="00787932"/>
    <w:rsid w:val="007B2935"/>
    <w:rsid w:val="007C51E8"/>
    <w:rsid w:val="007C6AF2"/>
    <w:rsid w:val="007E6AEB"/>
    <w:rsid w:val="007F637A"/>
    <w:rsid w:val="00800A7B"/>
    <w:rsid w:val="00817E36"/>
    <w:rsid w:val="00841CD7"/>
    <w:rsid w:val="008645E4"/>
    <w:rsid w:val="00870CC5"/>
    <w:rsid w:val="0089218D"/>
    <w:rsid w:val="00894ED4"/>
    <w:rsid w:val="008973EE"/>
    <w:rsid w:val="008A1F13"/>
    <w:rsid w:val="008A3B61"/>
    <w:rsid w:val="008E4F4A"/>
    <w:rsid w:val="008F766E"/>
    <w:rsid w:val="0091173F"/>
    <w:rsid w:val="00915831"/>
    <w:rsid w:val="009203B0"/>
    <w:rsid w:val="009230AA"/>
    <w:rsid w:val="00971600"/>
    <w:rsid w:val="009973B4"/>
    <w:rsid w:val="009A1388"/>
    <w:rsid w:val="009C28C1"/>
    <w:rsid w:val="009C3F78"/>
    <w:rsid w:val="009E3CE1"/>
    <w:rsid w:val="009F7EED"/>
    <w:rsid w:val="00A26D2E"/>
    <w:rsid w:val="00A4331E"/>
    <w:rsid w:val="00A43F56"/>
    <w:rsid w:val="00A56B4A"/>
    <w:rsid w:val="00A80636"/>
    <w:rsid w:val="00A913C4"/>
    <w:rsid w:val="00A9406E"/>
    <w:rsid w:val="00AB6352"/>
    <w:rsid w:val="00AC0AB7"/>
    <w:rsid w:val="00AC524D"/>
    <w:rsid w:val="00AE672A"/>
    <w:rsid w:val="00AF0AAB"/>
    <w:rsid w:val="00AF5FEF"/>
    <w:rsid w:val="00B06BFD"/>
    <w:rsid w:val="00B344E1"/>
    <w:rsid w:val="00B40743"/>
    <w:rsid w:val="00B64D31"/>
    <w:rsid w:val="00B85050"/>
    <w:rsid w:val="00BE0AE6"/>
    <w:rsid w:val="00BF597E"/>
    <w:rsid w:val="00C34BB6"/>
    <w:rsid w:val="00C428BE"/>
    <w:rsid w:val="00C50450"/>
    <w:rsid w:val="00C51A36"/>
    <w:rsid w:val="00C55228"/>
    <w:rsid w:val="00C67345"/>
    <w:rsid w:val="00CB7CE8"/>
    <w:rsid w:val="00CE315A"/>
    <w:rsid w:val="00D06F59"/>
    <w:rsid w:val="00D81823"/>
    <w:rsid w:val="00D8388C"/>
    <w:rsid w:val="00DB6586"/>
    <w:rsid w:val="00DC7BEE"/>
    <w:rsid w:val="00DD4921"/>
    <w:rsid w:val="00DD4DB0"/>
    <w:rsid w:val="00DE07D8"/>
    <w:rsid w:val="00DF7543"/>
    <w:rsid w:val="00E26BEC"/>
    <w:rsid w:val="00E2795C"/>
    <w:rsid w:val="00E31DDA"/>
    <w:rsid w:val="00E3202D"/>
    <w:rsid w:val="00E424E3"/>
    <w:rsid w:val="00E43F05"/>
    <w:rsid w:val="00E6224C"/>
    <w:rsid w:val="00E81A54"/>
    <w:rsid w:val="00E94028"/>
    <w:rsid w:val="00EA5E3D"/>
    <w:rsid w:val="00EB0164"/>
    <w:rsid w:val="00EC2ABA"/>
    <w:rsid w:val="00EC60A5"/>
    <w:rsid w:val="00ED0F62"/>
    <w:rsid w:val="00ED4E81"/>
    <w:rsid w:val="00EF05B3"/>
    <w:rsid w:val="00F106D5"/>
    <w:rsid w:val="00F1407C"/>
    <w:rsid w:val="00F20733"/>
    <w:rsid w:val="00F33AC4"/>
    <w:rsid w:val="00F62788"/>
    <w:rsid w:val="00F72797"/>
    <w:rsid w:val="00F85E5E"/>
    <w:rsid w:val="00FA66C4"/>
    <w:rsid w:val="00FB7865"/>
    <w:rsid w:val="01657A63"/>
    <w:rsid w:val="0187642E"/>
    <w:rsid w:val="019B6EB2"/>
    <w:rsid w:val="01C62C9D"/>
    <w:rsid w:val="0246253C"/>
    <w:rsid w:val="02786A10"/>
    <w:rsid w:val="028F0553"/>
    <w:rsid w:val="03A405DC"/>
    <w:rsid w:val="03AB0FD2"/>
    <w:rsid w:val="03D52670"/>
    <w:rsid w:val="041A1D0D"/>
    <w:rsid w:val="053339A1"/>
    <w:rsid w:val="056A1970"/>
    <w:rsid w:val="068A03CE"/>
    <w:rsid w:val="06CD4C01"/>
    <w:rsid w:val="06D11A3D"/>
    <w:rsid w:val="07E37166"/>
    <w:rsid w:val="082F6CF3"/>
    <w:rsid w:val="0902442F"/>
    <w:rsid w:val="09936A55"/>
    <w:rsid w:val="09953678"/>
    <w:rsid w:val="0AC62CAF"/>
    <w:rsid w:val="0ACE073B"/>
    <w:rsid w:val="0AD354F3"/>
    <w:rsid w:val="0B744B1A"/>
    <w:rsid w:val="0C1F70FD"/>
    <w:rsid w:val="0E4259E0"/>
    <w:rsid w:val="0E4303A2"/>
    <w:rsid w:val="0EB54DE4"/>
    <w:rsid w:val="0EDD278D"/>
    <w:rsid w:val="0EDF3011"/>
    <w:rsid w:val="0F0A2267"/>
    <w:rsid w:val="0F6A1D7D"/>
    <w:rsid w:val="0F967978"/>
    <w:rsid w:val="101E3686"/>
    <w:rsid w:val="105416D3"/>
    <w:rsid w:val="108219C2"/>
    <w:rsid w:val="11276277"/>
    <w:rsid w:val="113C7878"/>
    <w:rsid w:val="129103A2"/>
    <w:rsid w:val="12A336C1"/>
    <w:rsid w:val="12AB65C9"/>
    <w:rsid w:val="13883C03"/>
    <w:rsid w:val="13E35AE7"/>
    <w:rsid w:val="146344F7"/>
    <w:rsid w:val="149F5AED"/>
    <w:rsid w:val="151256A3"/>
    <w:rsid w:val="15D359CE"/>
    <w:rsid w:val="16A85179"/>
    <w:rsid w:val="1703646A"/>
    <w:rsid w:val="17E26AFA"/>
    <w:rsid w:val="17ED14D3"/>
    <w:rsid w:val="185C64D6"/>
    <w:rsid w:val="185D604F"/>
    <w:rsid w:val="18941F3A"/>
    <w:rsid w:val="1948253B"/>
    <w:rsid w:val="198A3BD4"/>
    <w:rsid w:val="199D73AD"/>
    <w:rsid w:val="1AE74D7C"/>
    <w:rsid w:val="1B4C23A8"/>
    <w:rsid w:val="1C9F326D"/>
    <w:rsid w:val="1CEC587F"/>
    <w:rsid w:val="1D3A662B"/>
    <w:rsid w:val="1D836D92"/>
    <w:rsid w:val="1D9A10E2"/>
    <w:rsid w:val="1DAA5AA7"/>
    <w:rsid w:val="1DAC2A4C"/>
    <w:rsid w:val="1E4F1F87"/>
    <w:rsid w:val="1F31641E"/>
    <w:rsid w:val="20DB5B88"/>
    <w:rsid w:val="20F34B18"/>
    <w:rsid w:val="2117054A"/>
    <w:rsid w:val="21954A2B"/>
    <w:rsid w:val="219E4F7E"/>
    <w:rsid w:val="21C14934"/>
    <w:rsid w:val="22C117FB"/>
    <w:rsid w:val="23923E7F"/>
    <w:rsid w:val="239C77C2"/>
    <w:rsid w:val="23CF51AF"/>
    <w:rsid w:val="23F72AE8"/>
    <w:rsid w:val="240000DA"/>
    <w:rsid w:val="248738FD"/>
    <w:rsid w:val="24C33B4D"/>
    <w:rsid w:val="25681C16"/>
    <w:rsid w:val="2762635C"/>
    <w:rsid w:val="27C73D0B"/>
    <w:rsid w:val="28562704"/>
    <w:rsid w:val="28A2497E"/>
    <w:rsid w:val="295144EF"/>
    <w:rsid w:val="297E7B48"/>
    <w:rsid w:val="29A85F35"/>
    <w:rsid w:val="29C6711B"/>
    <w:rsid w:val="2A5F7001"/>
    <w:rsid w:val="2B10233D"/>
    <w:rsid w:val="2B751116"/>
    <w:rsid w:val="2B93171B"/>
    <w:rsid w:val="2BB93ADD"/>
    <w:rsid w:val="2C335943"/>
    <w:rsid w:val="2C47564E"/>
    <w:rsid w:val="2CB47997"/>
    <w:rsid w:val="2E283BC8"/>
    <w:rsid w:val="2F1934D2"/>
    <w:rsid w:val="2F36787B"/>
    <w:rsid w:val="2F4E6D9C"/>
    <w:rsid w:val="2F927A4E"/>
    <w:rsid w:val="30681286"/>
    <w:rsid w:val="30C31CEA"/>
    <w:rsid w:val="31B04B61"/>
    <w:rsid w:val="3207117D"/>
    <w:rsid w:val="32716336"/>
    <w:rsid w:val="337B20BD"/>
    <w:rsid w:val="34FE7197"/>
    <w:rsid w:val="357E7E64"/>
    <w:rsid w:val="35B912AC"/>
    <w:rsid w:val="36F920FF"/>
    <w:rsid w:val="373F74F3"/>
    <w:rsid w:val="37BE579A"/>
    <w:rsid w:val="38AF1017"/>
    <w:rsid w:val="38E0018A"/>
    <w:rsid w:val="38F86AF1"/>
    <w:rsid w:val="39111CB5"/>
    <w:rsid w:val="39CD509A"/>
    <w:rsid w:val="3A7B6E55"/>
    <w:rsid w:val="3AF759E0"/>
    <w:rsid w:val="3C5A7CDE"/>
    <w:rsid w:val="3C5C639E"/>
    <w:rsid w:val="3C6A33CA"/>
    <w:rsid w:val="3CB267D0"/>
    <w:rsid w:val="3CB41354"/>
    <w:rsid w:val="3D281C23"/>
    <w:rsid w:val="3DC542F9"/>
    <w:rsid w:val="3DEF2E1E"/>
    <w:rsid w:val="3FA33F17"/>
    <w:rsid w:val="403A64C5"/>
    <w:rsid w:val="414830B0"/>
    <w:rsid w:val="41C10F14"/>
    <w:rsid w:val="42D2515E"/>
    <w:rsid w:val="42F356C8"/>
    <w:rsid w:val="431170CC"/>
    <w:rsid w:val="437B236A"/>
    <w:rsid w:val="43944A6C"/>
    <w:rsid w:val="43C96A0A"/>
    <w:rsid w:val="43E420EE"/>
    <w:rsid w:val="44B12215"/>
    <w:rsid w:val="44FA66FD"/>
    <w:rsid w:val="451746A9"/>
    <w:rsid w:val="45351FC7"/>
    <w:rsid w:val="457E5DBC"/>
    <w:rsid w:val="45A41779"/>
    <w:rsid w:val="45BD5105"/>
    <w:rsid w:val="46DB3775"/>
    <w:rsid w:val="48B2529B"/>
    <w:rsid w:val="49703356"/>
    <w:rsid w:val="4A7A6462"/>
    <w:rsid w:val="4A8171B5"/>
    <w:rsid w:val="4A8F14EA"/>
    <w:rsid w:val="4AD72B72"/>
    <w:rsid w:val="4B4B722D"/>
    <w:rsid w:val="4B613504"/>
    <w:rsid w:val="4C0D0EDF"/>
    <w:rsid w:val="4C123983"/>
    <w:rsid w:val="4C222451"/>
    <w:rsid w:val="4C464DF8"/>
    <w:rsid w:val="4CEC763E"/>
    <w:rsid w:val="4D7900FD"/>
    <w:rsid w:val="4DCE65D0"/>
    <w:rsid w:val="4E687FB5"/>
    <w:rsid w:val="4EC8217B"/>
    <w:rsid w:val="4F120B66"/>
    <w:rsid w:val="4FB14159"/>
    <w:rsid w:val="4FB62FDB"/>
    <w:rsid w:val="50E1539A"/>
    <w:rsid w:val="51107CAD"/>
    <w:rsid w:val="51432012"/>
    <w:rsid w:val="515C3ADE"/>
    <w:rsid w:val="51AF415F"/>
    <w:rsid w:val="523336FD"/>
    <w:rsid w:val="53227BC5"/>
    <w:rsid w:val="53A67598"/>
    <w:rsid w:val="564509A2"/>
    <w:rsid w:val="56B432F1"/>
    <w:rsid w:val="56F50063"/>
    <w:rsid w:val="58927B2A"/>
    <w:rsid w:val="58AA2505"/>
    <w:rsid w:val="59AF433F"/>
    <w:rsid w:val="5AAB0FDA"/>
    <w:rsid w:val="5B180DFE"/>
    <w:rsid w:val="5B55092F"/>
    <w:rsid w:val="5CB2606B"/>
    <w:rsid w:val="5D4C4676"/>
    <w:rsid w:val="5E40339C"/>
    <w:rsid w:val="5EA12B9A"/>
    <w:rsid w:val="5EB86F9E"/>
    <w:rsid w:val="5F690E5E"/>
    <w:rsid w:val="60411CBE"/>
    <w:rsid w:val="60D448AF"/>
    <w:rsid w:val="6120452B"/>
    <w:rsid w:val="621C14E6"/>
    <w:rsid w:val="62A9746C"/>
    <w:rsid w:val="631E5A75"/>
    <w:rsid w:val="637E3E1D"/>
    <w:rsid w:val="638E5029"/>
    <w:rsid w:val="63FE6EC8"/>
    <w:rsid w:val="64561E04"/>
    <w:rsid w:val="6671625F"/>
    <w:rsid w:val="667326C0"/>
    <w:rsid w:val="67340E52"/>
    <w:rsid w:val="678E4220"/>
    <w:rsid w:val="68097132"/>
    <w:rsid w:val="684624BA"/>
    <w:rsid w:val="68BD52BB"/>
    <w:rsid w:val="68D77C7E"/>
    <w:rsid w:val="69390C7C"/>
    <w:rsid w:val="69D65CF4"/>
    <w:rsid w:val="6B3432D4"/>
    <w:rsid w:val="6B631F6E"/>
    <w:rsid w:val="6B983632"/>
    <w:rsid w:val="6BC11584"/>
    <w:rsid w:val="6C7226FD"/>
    <w:rsid w:val="6DD76C53"/>
    <w:rsid w:val="6DFA0E9A"/>
    <w:rsid w:val="6E4545D9"/>
    <w:rsid w:val="6E802068"/>
    <w:rsid w:val="6EF00421"/>
    <w:rsid w:val="6EFB60AF"/>
    <w:rsid w:val="6F170907"/>
    <w:rsid w:val="6F1F357A"/>
    <w:rsid w:val="70116DA1"/>
    <w:rsid w:val="707C1C60"/>
    <w:rsid w:val="70F01603"/>
    <w:rsid w:val="71331509"/>
    <w:rsid w:val="72095826"/>
    <w:rsid w:val="7249661E"/>
    <w:rsid w:val="726A01DC"/>
    <w:rsid w:val="726D5708"/>
    <w:rsid w:val="72801CCB"/>
    <w:rsid w:val="73820933"/>
    <w:rsid w:val="7469358D"/>
    <w:rsid w:val="74B722CB"/>
    <w:rsid w:val="77063C9C"/>
    <w:rsid w:val="77494BFA"/>
    <w:rsid w:val="78EE4ACA"/>
    <w:rsid w:val="791951E5"/>
    <w:rsid w:val="797C0B4A"/>
    <w:rsid w:val="79842F26"/>
    <w:rsid w:val="79A213B9"/>
    <w:rsid w:val="7C1454F1"/>
    <w:rsid w:val="7CF117D9"/>
    <w:rsid w:val="7F41557D"/>
    <w:rsid w:val="7FEE6B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b/>
      <w:kern w:val="0"/>
      <w:sz w:val="27"/>
      <w:szCs w:val="27"/>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Indent"/>
    <w:basedOn w:val="1"/>
    <w:uiPriority w:val="0"/>
    <w:pPr>
      <w:ind w:firstLine="525" w:firstLineChars="210"/>
    </w:pPr>
    <w:rPr>
      <w:spacing w:val="20"/>
    </w:rPr>
  </w:style>
  <w:style w:type="paragraph" w:styleId="5">
    <w:name w:val="Plain Text"/>
    <w:basedOn w:val="1"/>
    <w:link w:val="20"/>
    <w:qFormat/>
    <w:uiPriority w:val="0"/>
    <w:rPr>
      <w:rFonts w:ascii="宋体" w:hAnsi="Courier New"/>
      <w:szCs w:val="21"/>
    </w:rPr>
  </w:style>
  <w:style w:type="paragraph" w:styleId="6">
    <w:name w:val="Balloon Text"/>
    <w:basedOn w:val="1"/>
    <w:link w:val="16"/>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next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Century"/>
      <w:kern w:val="0"/>
      <w:sz w:val="24"/>
    </w:rPr>
  </w:style>
  <w:style w:type="character" w:styleId="12">
    <w:name w:val="Strong"/>
    <w:basedOn w:val="11"/>
    <w:qFormat/>
    <w:uiPriority w:val="22"/>
    <w:rPr>
      <w:b/>
    </w:rPr>
  </w:style>
  <w:style w:type="character" w:styleId="13">
    <w:name w:val="page number"/>
    <w:basedOn w:val="11"/>
    <w:qFormat/>
    <w:uiPriority w:val="0"/>
  </w:style>
  <w:style w:type="character" w:customStyle="1" w:styleId="14">
    <w:name w:val="页眉 Char"/>
    <w:basedOn w:val="11"/>
    <w:link w:val="8"/>
    <w:qFormat/>
    <w:uiPriority w:val="99"/>
    <w:rPr>
      <w:rFonts w:ascii="Times New Roman" w:hAnsi="Times New Roman" w:eastAsia="宋体" w:cs="Times New Roman"/>
      <w:sz w:val="18"/>
      <w:szCs w:val="18"/>
    </w:rPr>
  </w:style>
  <w:style w:type="character" w:customStyle="1" w:styleId="15">
    <w:name w:val="页脚 Char"/>
    <w:basedOn w:val="11"/>
    <w:link w:val="7"/>
    <w:qFormat/>
    <w:uiPriority w:val="99"/>
    <w:rPr>
      <w:rFonts w:ascii="Times New Roman" w:hAnsi="Times New Roman" w:eastAsia="宋体" w:cs="Times New Roman"/>
      <w:sz w:val="18"/>
      <w:szCs w:val="18"/>
    </w:rPr>
  </w:style>
  <w:style w:type="character" w:customStyle="1" w:styleId="16">
    <w:name w:val="批注框文本 Char"/>
    <w:basedOn w:val="11"/>
    <w:link w:val="6"/>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unhideWhenUsed/>
    <w:qFormat/>
    <w:uiPriority w:val="99"/>
    <w:pPr>
      <w:ind w:firstLine="420" w:firstLineChars="200"/>
    </w:pPr>
  </w:style>
  <w:style w:type="paragraph" w:customStyle="1" w:styleId="19">
    <w:name w:val="Table Paragraph"/>
    <w:basedOn w:val="1"/>
    <w:unhideWhenUsed/>
    <w:qFormat/>
    <w:uiPriority w:val="1"/>
    <w:rPr>
      <w:sz w:val="24"/>
    </w:rPr>
  </w:style>
  <w:style w:type="character" w:customStyle="1" w:styleId="20">
    <w:name w:val="纯文本 Char"/>
    <w:link w:val="5"/>
    <w:qFormat/>
    <w:uiPriority w:val="0"/>
    <w:rPr>
      <w:rFonts w:ascii="宋体" w:hAnsi="Courier New"/>
      <w:szCs w:val="21"/>
    </w:rPr>
  </w:style>
  <w:style w:type="paragraph" w:styleId="21">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22">
    <w:name w:val="info-content-text"/>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F27314-6B80-4F06-9208-A9894627D38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1345</Words>
  <Characters>7671</Characters>
  <Lines>63</Lines>
  <Paragraphs>17</Paragraphs>
  <TotalTime>2</TotalTime>
  <ScaleCrop>false</ScaleCrop>
  <LinksUpToDate>false</LinksUpToDate>
  <CharactersWithSpaces>8999</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2021-07-27T11:38:24Z</dcterms:modified>
  <cp:revision>389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1FF112DF7E314B78ACA3E9E4D624722C</vt:lpwstr>
  </property>
</Properties>
</file>