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38"/>
        <w:gridCol w:w="203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北京懋润咨询有限公司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34.06.00,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37.05.04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荆伟峰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37.05.04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李京田、李雅静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1、计算机技术培训：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签订合同-培训方案的确定-采购收集培训所需物资、材料-培训实施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2、技术转让：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签订合同-准备技术转让相关材料-顾客验收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4、企业管理咨询：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签订合同-培训方案的确定-采购收集培训所需物资、材料-培训实施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79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教育服务实施的基本流程：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确定教育任务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教学设计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教育实施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教育效果评价等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教育服务过程控制要点：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教育、教学过程的控制重点是教育设计（策划）、教育实施过程、教育效果评价。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）教育设计：根据设计的要求不同，教育设计可分为宏观、中观、微观设计三个层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次进行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宏观教育设计，是同国家教育主管部门根据国家和社会发展要求，对教育培养的目标、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规格、层次、专业方向等进行的设计，其设计输出往往表面为国家提出的学校设计要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求、高等教育专业设置目录、培养要求等，对这一层次的教育设计，因其由体现国家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意志的教育主管部门负责实施。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经营和管理咨询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、经营和管理咨询服务过程主要包括三个部分。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）咨询洽谈阶段。主要有：了解企业情况，明确企业咨询目标，决定咨询课题。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）咨询准备阶段。主要有：组建咨询小组，进行相关的培训，收集相关资料和填写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相关的调查问卷等。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）咨询阶段：重点情况的了解；列出重要问题，拟订改进防案；讨论方案；确定方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案；提交方案，征求意见；改进方案；撰写项目报告书，召开咨询报告会；跟踪咨询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结果等。 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独立学院设置与管理办法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民办高等学校办学管理若干规定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国家教育考试违规处理办法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普通高等学校学生管理实施教育行政许可若干规定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中小学德育工作规程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中华人民共和国未成年人保护法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中华人民共和国义务教育法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中华人民共和国民办教育促进法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中华人民共和国高等教育法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中华人民共和国职业教育法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中华人民共和国老师法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中华人民共和国学位条例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中华人民共和国预防未成年人犯罪法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926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荆伟峰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2021.7.23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6AC27EA"/>
    <w:rsid w:val="739D274C"/>
    <w:rsid w:val="7C1C6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djustRightInd w:val="0"/>
      <w:spacing w:line="360" w:lineRule="atLeast"/>
      <w:textAlignment w:val="baseline"/>
    </w:pPr>
    <w:rPr>
      <w:color w:val="33CCCC"/>
      <w:kern w:val="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2021-07-27T12:04:02Z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519678164DDD4C84AD1709369DCC84E2</vt:lpwstr>
  </property>
</Properties>
</file>