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u w:val="none"/>
        </w:rPr>
      </w:pPr>
      <w:bookmarkStart w:id="0" w:name="合同编号"/>
      <w:r>
        <w:rPr>
          <w:rFonts w:hint="eastAsia"/>
          <w:b/>
          <w:bCs/>
          <w:sz w:val="24"/>
          <w:szCs w:val="24"/>
          <w:u w:val="none"/>
          <w:lang w:val="en-US" w:eastAsia="zh-CN"/>
        </w:rPr>
        <w:t>编号：</w:t>
      </w:r>
      <w:r>
        <w:rPr>
          <w:b/>
          <w:bCs/>
          <w:sz w:val="24"/>
          <w:szCs w:val="24"/>
          <w:u w:val="none"/>
        </w:rPr>
        <w:t>0736-2021-QEO</w:t>
      </w:r>
      <w:bookmarkEnd w:id="0"/>
      <w:r>
        <w:rPr>
          <w:rFonts w:hint="eastAsia" w:ascii="宋体" w:hAnsi="宋体"/>
          <w:b/>
          <w:bCs/>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四川佳鑫家具有限公司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pStyle w:val="12"/>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四川佳鑫家具有限公司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成都市青羊区日月大道一段978号3栋1单元7层730号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成都市郫都区郫筒镇郫华路299号1栋1单元11层20号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程佳梨</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18990420000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程佳梨</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程佳梨</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杨娟</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2021-01-11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eastAsia="宋体"/>
                <w:b/>
                <w:color w:val="000000" w:themeColor="text1"/>
                <w:sz w:val="20"/>
                <w:szCs w:val="20"/>
                <w:lang w:eastAsia="zh-CN"/>
              </w:rPr>
              <w:t>市场部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rFonts w:hint="eastAsia"/>
                <w:color w:val="000000"/>
                <w:lang w:eastAsia="zh-CN"/>
              </w:rPr>
            </w:pPr>
            <w:r>
              <w:rPr>
                <w:rFonts w:hint="eastAsia" w:ascii="宋体" w:hAnsi="宋体"/>
                <w:b/>
                <w:color w:val="000000" w:themeColor="text1"/>
                <w:spacing w:val="-2"/>
                <w:sz w:val="20"/>
                <w:szCs w:val="20"/>
                <w:lang w:eastAsia="zh-CN"/>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rFonts w:hint="eastAsia"/>
                <w:color w:val="000000"/>
                <w:lang w:eastAsia="zh-CN"/>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ascii="宋体" w:hAnsi="宋体"/>
                <w:szCs w:val="21"/>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pStyle w:val="3"/>
              <w:keepNext w:val="0"/>
              <w:keepLines w:val="0"/>
              <w:widowControl/>
              <w:suppressLineNumbers w:val="0"/>
              <w:shd w:val="clear" w:color="auto" w:fill="FFFFFF"/>
              <w:ind w:left="0" w:firstLine="0"/>
              <w:rPr>
                <w:rFonts w:hint="default"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家具力学性能试验 椅、凳类稳定性GB/T 10357.2-1989、家具力学性能试验 椅、凳类强度和耐久性GB/T 10357.3-1989、家具 桌、椅、凳类主要尺寸GB/T 3326-1997合同协议等。</w:t>
            </w:r>
          </w:p>
          <w:p>
            <w:pPr>
              <w:wordWrap w:val="0"/>
              <w:overflowPunct w:val="0"/>
              <w:autoSpaceDE w:val="0"/>
              <w:autoSpaceDN w:val="0"/>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rPr>
                <w:rFonts w:hint="eastAsia"/>
                <w:szCs w:val="21"/>
              </w:rPr>
            </w:pPr>
            <w:r>
              <w:rPr>
                <w:rFonts w:hint="eastAsia" w:ascii="宋体" w:hAnsi="宋体" w:cs="宋体"/>
                <w:b w:val="0"/>
                <w:bCs w:val="0"/>
                <w:sz w:val="24"/>
                <w:szCs w:val="24"/>
                <w:lang w:val="en-US" w:eastAsia="zh-CN"/>
              </w:rPr>
              <w:t xml:space="preserve"> </w:t>
            </w:r>
            <w:r>
              <w:rPr>
                <w:rFonts w:hint="eastAsia" w:ascii="宋体" w:hAnsi="宋体" w:eastAsia="宋体" w:cs="宋体"/>
                <w:bCs/>
                <w:szCs w:val="22"/>
                <w:lang w:eastAsia="zh-CN"/>
              </w:rPr>
              <w:t>四川佳鑫家具有限公司：成立于20</w:t>
            </w:r>
            <w:r>
              <w:rPr>
                <w:rFonts w:hint="eastAsia" w:ascii="宋体" w:hAnsi="宋体" w:eastAsia="宋体" w:cs="宋体"/>
                <w:bCs/>
                <w:szCs w:val="22"/>
                <w:lang w:val="en-US" w:eastAsia="zh-CN"/>
              </w:rPr>
              <w:t>12</w:t>
            </w:r>
            <w:r>
              <w:rPr>
                <w:rFonts w:hint="eastAsia" w:ascii="宋体" w:hAnsi="宋体" w:eastAsia="宋体" w:cs="宋体"/>
                <w:bCs/>
                <w:szCs w:val="22"/>
                <w:lang w:eastAsia="zh-CN"/>
              </w:rPr>
              <w:t>年，公司地址位于成都市青羊区日月大道一段978号3栋1单元7层730号。主要从事</w:t>
            </w:r>
            <w: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eastAsia" w:ascii="宋体" w:hAnsi="宋体" w:eastAsia="宋体" w:cs="宋体"/>
                <w:bCs/>
                <w:szCs w:val="22"/>
                <w:lang w:eastAsia="zh-CN"/>
              </w:rPr>
              <w:t>，产品自销售以来得到用户一致好评。</w:t>
            </w:r>
            <w:r>
              <w:rPr>
                <w:rFonts w:hint="eastAsia"/>
                <w:szCs w:val="21"/>
              </w:rPr>
              <w:t>现有员工</w:t>
            </w:r>
            <w:r>
              <w:rPr>
                <w:rFonts w:hint="eastAsia"/>
                <w:szCs w:val="21"/>
                <w:lang w:val="en-US" w:eastAsia="zh-CN"/>
              </w:rPr>
              <w:t>15</w:t>
            </w:r>
            <w:r>
              <w:rPr>
                <w:rFonts w:hint="eastAsia"/>
                <w:szCs w:val="21"/>
              </w:rPr>
              <w:t>人，目前经营情况良好。</w:t>
            </w:r>
          </w:p>
          <w:p>
            <w:pPr>
              <w:spacing w:line="240" w:lineRule="auto"/>
              <w:jc w:val="left"/>
              <w:rPr>
                <w:rFonts w:hint="default" w:ascii="宋体" w:hAnsi="宋体" w:eastAsia="宋体"/>
                <w:b/>
                <w:szCs w:val="21"/>
                <w:lang w:val="en-US" w:eastAsia="zh-CN"/>
              </w:rPr>
            </w:pPr>
            <w:r>
              <w:rPr>
                <w:rFonts w:hint="eastAsia" w:ascii="宋体" w:hAnsi="宋体"/>
                <w:szCs w:val="21"/>
              </w:rPr>
              <w:t>组织对内外部因素、相关方需求和期望进行了充分的识别，策划和实施有效。</w:t>
            </w:r>
            <w:r>
              <w:rPr>
                <w:rFonts w:hint="eastAsia" w:ascii="Times New Roman" w:hAnsi="Times New Roman" w:eastAsia="宋体" w:cs="Times New Roman"/>
                <w:szCs w:val="21"/>
                <w:highlight w:val="none"/>
              </w:rPr>
              <w:t>公司的产品按客户要求及相关标准进行采购，整个销售过程不涉及设计开发的内容。8.3条款的不适用不影响组织提供满足顾客要求及法律法规要求</w:t>
            </w:r>
            <w:r>
              <w:rPr>
                <w:rFonts w:hint="eastAsia" w:cs="Times New Roman"/>
                <w:szCs w:val="21"/>
                <w:highlight w:val="none"/>
                <w:lang w:val="en-US" w:eastAsia="zh-CN"/>
              </w:rPr>
              <w:t>的</w:t>
            </w:r>
            <w:r>
              <w:rPr>
                <w:rFonts w:hint="eastAsia" w:ascii="Times New Roman" w:hAnsi="Times New Roman" w:eastAsia="宋体" w:cs="Times New Roman"/>
                <w:szCs w:val="21"/>
                <w:highlight w:val="none"/>
              </w:rPr>
              <w:t>产品。</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质量第一    精益求精    顾客至上    持续改进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 全员参与　　遵守法规　　预防为主　　持续改进。</w:t>
            </w:r>
          </w:p>
          <w:p>
            <w:pPr>
              <w:rPr>
                <w:rFonts w:ascii="宋体" w:hAnsi="宋体"/>
                <w:b/>
                <w:szCs w:val="21"/>
              </w:rPr>
            </w:pPr>
            <w:r>
              <w:rPr>
                <w:rFonts w:hint="eastAsia" w:asciiTheme="minorEastAsia" w:hAnsiTheme="minorEastAsia" w:eastAsiaTheme="minorEastAsia" w:cstheme="minorEastAsia"/>
                <w:szCs w:val="21"/>
              </w:rPr>
              <w:t>职业健康安全管理方针：安全第一    预防为主    遵守法规    确保安康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hint="eastAsia" w:ascii="宋体" w:hAnsi="宋体" w:eastAsia="宋体"/>
                <w:b/>
                <w:szCs w:val="21"/>
                <w:lang w:eastAsia="zh-CN"/>
              </w:rPr>
            </w:pPr>
            <w:r>
              <w:rPr>
                <w:rFonts w:ascii="宋体" w:hAnsi="宋体"/>
                <w:b/>
                <w:szCs w:val="21"/>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Times New Roman" w:hAnsi="Times New Roman" w:eastAsia="宋体" w:cs="Times New Roman"/>
                <w:szCs w:val="21"/>
                <w:highlight w:val="none"/>
              </w:rPr>
              <w:t>公司的产品按客户要求及相关标准进行采购，整个销售过程不涉及设计开发的内容。8.3条款的不适用不影响组织提供满足顾客要求及法律法规要求</w:t>
            </w:r>
            <w:r>
              <w:rPr>
                <w:rFonts w:hint="eastAsia" w:cs="Times New Roman"/>
                <w:szCs w:val="21"/>
                <w:highlight w:val="none"/>
                <w:lang w:val="en-US" w:eastAsia="zh-CN"/>
              </w:rPr>
              <w:t>的</w:t>
            </w:r>
            <w:r>
              <w:rPr>
                <w:rFonts w:hint="eastAsia" w:ascii="Times New Roman" w:hAnsi="Times New Roman" w:eastAsia="宋体" w:cs="Times New Roman"/>
                <w:szCs w:val="21"/>
                <w:highlight w:val="none"/>
              </w:rPr>
              <w:t>产品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auto"/>
                <w:szCs w:val="21"/>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b/>
                <w:color w:val="auto"/>
                <w:szCs w:val="21"/>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火灾、触电等</w:t>
            </w:r>
            <w:r>
              <w:rPr>
                <w:rFonts w:hint="eastAsia" w:ascii="宋体" w:hAnsi="宋体" w:cs="宋体"/>
                <w:color w:val="auto"/>
                <w:szCs w:val="21"/>
              </w:rPr>
              <w:t>重要危险源，与之相关的过程有</w:t>
            </w:r>
            <w:r>
              <w:rPr>
                <w:rFonts w:hint="eastAsia" w:ascii="宋体" w:hAnsi="宋体" w:cs="宋体"/>
                <w:color w:val="auto"/>
                <w:szCs w:val="21"/>
                <w:lang w:eastAsia="zh-CN"/>
              </w:rPr>
              <w:t>采购</w:t>
            </w:r>
            <w:r>
              <w:rPr>
                <w:rFonts w:hint="eastAsia" w:ascii="宋体" w:hAnsi="宋体" w:cs="宋体"/>
                <w:color w:val="auto"/>
                <w:szCs w:val="21"/>
              </w:rPr>
              <w:t>、</w:t>
            </w:r>
            <w:r>
              <w:rPr>
                <w:rFonts w:hint="eastAsia" w:ascii="宋体" w:hAnsi="宋体" w:cs="宋体"/>
                <w:color w:val="auto"/>
                <w:szCs w:val="21"/>
                <w:lang w:eastAsia="zh-CN"/>
              </w:rPr>
              <w:t>销售</w:t>
            </w:r>
            <w:r>
              <w:rPr>
                <w:rFonts w:hint="eastAsia" w:ascii="宋体" w:hAnsi="宋体" w:cs="宋体"/>
                <w:color w:val="auto"/>
                <w:szCs w:val="21"/>
              </w:rPr>
              <w:t>、</w:t>
            </w:r>
            <w:r>
              <w:rPr>
                <w:rFonts w:hint="eastAsia" w:ascii="宋体" w:hAnsi="宋体" w:cs="宋体"/>
                <w:color w:val="auto"/>
                <w:szCs w:val="21"/>
                <w:lang w:val="en-US" w:eastAsia="zh-CN"/>
              </w:rPr>
              <w:t>售后服务</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lang w:eastAsia="zh-CN"/>
              </w:rPr>
            </w:pP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职业健康安全目标</w:t>
            </w:r>
            <w:r>
              <w:rPr>
                <w:rFonts w:hint="eastAsia"/>
                <w:lang w:eastAsia="zh-CN"/>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产品交付合格率≥100%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合同按时完成率≥100%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顾客满意率≥96分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办公、生活废弃物分类收集处理率100%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火灾发生为0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重大安全事故和伤亡事故为0</w:t>
            </w:r>
          </w:p>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b/>
                <w:szCs w:val="21"/>
              </w:rPr>
            </w:pPr>
            <w:r>
              <w:rPr>
                <w:rFonts w:hint="eastAsia" w:ascii="宋体" w:hAnsi="宋体" w:cs="宋体"/>
                <w:szCs w:val="21"/>
                <w:highlight w:val="none"/>
                <w:lang w:val="en-US" w:eastAsia="zh-CN"/>
              </w:rPr>
              <w:t>公司办公室面积50平，</w:t>
            </w:r>
            <w:r>
              <w:rPr>
                <w:rFonts w:hint="eastAsia" w:ascii="宋体" w:hAnsi="宋体"/>
                <w:szCs w:val="21"/>
                <w:highlight w:val="none"/>
                <w:lang w:eastAsia="zh-CN"/>
              </w:rPr>
              <w:t>无库房</w:t>
            </w:r>
            <w:r>
              <w:rPr>
                <w:rFonts w:hint="eastAsia" w:ascii="宋体" w:hAnsi="宋体"/>
                <w:szCs w:val="21"/>
                <w:highlight w:val="none"/>
                <w:lang w:val="en-US" w:eastAsia="zh-CN"/>
              </w:rPr>
              <w:t>。</w:t>
            </w:r>
            <w:r>
              <w:rPr>
                <w:rFonts w:hint="eastAsia" w:ascii="宋体" w:hAnsi="宋体"/>
                <w:sz w:val="21"/>
                <w:szCs w:val="21"/>
                <w:highlight w:val="none"/>
              </w:rPr>
              <w:t>公司采取开票销售的方式进行，</w:t>
            </w:r>
            <w:r>
              <w:rPr>
                <w:rFonts w:hint="eastAsia" w:ascii="宋体" w:hAnsi="宋体"/>
                <w:sz w:val="21"/>
                <w:szCs w:val="21"/>
                <w:highlight w:val="none"/>
                <w:lang w:eastAsia="zh-CN"/>
              </w:rPr>
              <w:t>销售商品由供应商</w:t>
            </w:r>
            <w:r>
              <w:rPr>
                <w:rFonts w:hint="eastAsia" w:ascii="宋体" w:hAnsi="宋体"/>
                <w:sz w:val="21"/>
                <w:szCs w:val="21"/>
                <w:highlight w:val="none"/>
              </w:rPr>
              <w:t>直接交付到</w:t>
            </w:r>
            <w:r>
              <w:rPr>
                <w:rFonts w:hint="eastAsia" w:ascii="宋体" w:hAnsi="宋体"/>
                <w:sz w:val="21"/>
                <w:szCs w:val="21"/>
                <w:highlight w:val="none"/>
                <w:lang w:eastAsia="zh-CN"/>
              </w:rPr>
              <w:t>顾客</w:t>
            </w:r>
            <w:r>
              <w:rPr>
                <w:rFonts w:hint="eastAsia" w:ascii="宋体" w:hAnsi="宋体"/>
                <w:sz w:val="21"/>
                <w:szCs w:val="21"/>
                <w:highlight w:val="none"/>
              </w:rPr>
              <w:t>，未设置库房等周转环节</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color w:val="auto"/>
                <w:szCs w:val="21"/>
              </w:rPr>
              <w:t>电脑</w:t>
            </w:r>
            <w:r>
              <w:rPr>
                <w:rFonts w:hint="eastAsia"/>
                <w:color w:val="auto"/>
                <w:szCs w:val="21"/>
                <w:lang w:eastAsia="zh-CN"/>
              </w:rPr>
              <w:t>及</w:t>
            </w:r>
            <w:r>
              <w:rPr>
                <w:rFonts w:hint="eastAsia"/>
                <w:color w:val="auto"/>
                <w:szCs w:val="21"/>
              </w:rPr>
              <w:t>办公设备</w:t>
            </w:r>
            <w:r>
              <w:rPr>
                <w:rStyle w:val="19"/>
                <w:rFonts w:hint="eastAsia" w:ascii="宋体" w:hAnsi="宋体"/>
                <w:color w:val="auto"/>
                <w:szCs w:val="21"/>
              </w:rPr>
              <w:t>等</w:t>
            </w:r>
            <w:r>
              <w:rPr>
                <w:rFonts w:hint="eastAsia" w:ascii="宋体" w:hAnsi="宋体" w:cs="宋体"/>
                <w:color w:val="auto"/>
                <w:szCs w:val="21"/>
              </w:rPr>
              <w:t>，可以</w:t>
            </w:r>
            <w:r>
              <w:rPr>
                <w:rFonts w:hint="eastAsia" w:ascii="宋体" w:hAnsi="宋体" w:cs="宋体"/>
                <w:color w:val="auto"/>
                <w:szCs w:val="21"/>
                <w:lang w:eastAsia="zh-CN"/>
              </w:rPr>
              <w:t>满足</w:t>
            </w:r>
            <w:r>
              <w:rPr>
                <w:rFonts w:hint="eastAsia" w:ascii="宋体" w:hAnsi="宋体" w:cs="宋体"/>
                <w:color w:val="auto"/>
                <w:szCs w:val="21"/>
                <w:lang w:val="en-US" w:eastAsia="zh-CN"/>
              </w:rPr>
              <w:t>各</w:t>
            </w:r>
            <w:r>
              <w:rPr>
                <w:rFonts w:hint="eastAsia" w:ascii="宋体" w:hAnsi="宋体" w:eastAsia="宋体" w:cs="Times New Roman"/>
                <w:sz w:val="21"/>
                <w:szCs w:val="21"/>
                <w:highlight w:val="none"/>
                <w:lang w:val="en-US" w:eastAsia="zh-CN"/>
              </w:rPr>
              <w:t>类家具</w:t>
            </w:r>
            <w:r>
              <w:rPr>
                <w:rFonts w:hint="eastAsia" w:ascii="宋体" w:hAnsi="宋体" w:eastAsia="宋体" w:cs="Times New Roman"/>
                <w:sz w:val="21"/>
                <w:szCs w:val="21"/>
                <w:highlight w:val="none"/>
              </w:rPr>
              <w:t>的销售。</w:t>
            </w:r>
            <w:r>
              <w:rPr>
                <w:rFonts w:hint="eastAsia" w:ascii="宋体" w:hAnsi="宋体" w:cs="宋体"/>
                <w:color w:val="auto"/>
                <w:szCs w:val="21"/>
              </w:rPr>
              <w:t>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b/>
                <w:szCs w:val="21"/>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w:t>
            </w:r>
            <w:r>
              <w:rPr>
                <w:rFonts w:hint="eastAsia" w:ascii="宋体" w:hAnsi="宋体" w:cs="宋体"/>
                <w:color w:val="000000"/>
                <w:szCs w:val="21"/>
                <w:lang w:val="en-US" w:eastAsia="zh-CN"/>
              </w:rPr>
              <w:t>销售</w:t>
            </w:r>
            <w:r>
              <w:rPr>
                <w:rFonts w:hint="eastAsia" w:ascii="宋体" w:hAnsi="宋体" w:cs="宋体"/>
                <w:color w:val="000000"/>
                <w:szCs w:val="21"/>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color w:val="auto"/>
                <w:szCs w:val="21"/>
              </w:rPr>
              <w:t>组织重要环境因素为潜在火灾、固废排放</w:t>
            </w:r>
            <w:r>
              <w:rPr>
                <w:rFonts w:hint="eastAsia"/>
                <w:color w:val="000000"/>
                <w:lang w:val="en-US" w:eastAsia="zh-CN"/>
              </w:rPr>
              <w:t>资源、能源的消耗</w:t>
            </w:r>
            <w:r>
              <w:rPr>
                <w:rFonts w:hint="eastAsia" w:asciiTheme="minorEastAsia" w:hAnsiTheme="minorEastAsia" w:eastAsiaTheme="minorEastAsia"/>
                <w:bCs/>
                <w:iCs/>
                <w:color w:val="auto"/>
                <w:szCs w:val="21"/>
              </w:rPr>
              <w:t>，需要应对的风险和机遇相关的过程为</w:t>
            </w:r>
            <w:r>
              <w:rPr>
                <w:rFonts w:hint="eastAsia" w:asciiTheme="minorEastAsia" w:hAnsiTheme="minorEastAsia" w:eastAsiaTheme="minorEastAsia"/>
                <w:bCs/>
                <w:iCs/>
                <w:color w:val="auto"/>
                <w:szCs w:val="21"/>
                <w:lang w:val="en-US" w:eastAsia="zh-CN"/>
              </w:rPr>
              <w:t>产品</w:t>
            </w:r>
            <w:r>
              <w:rPr>
                <w:rFonts w:hint="eastAsia" w:asciiTheme="minorEastAsia" w:hAnsiTheme="minorEastAsia" w:eastAsiaTheme="minorEastAsia"/>
                <w:bCs/>
                <w:iCs/>
                <w:color w:val="auto"/>
                <w:szCs w:val="21"/>
                <w:lang w:eastAsia="zh-CN"/>
              </w:rPr>
              <w:t>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val="en-US" w:eastAsia="zh-CN"/>
              </w:rPr>
              <w:t>处置</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rPr>
              <w:t>等），与之相关的过程有</w:t>
            </w:r>
            <w:r>
              <w:rPr>
                <w:rFonts w:hint="eastAsia" w:asciiTheme="minorEastAsia" w:hAnsiTheme="minorEastAsia" w:eastAsiaTheme="minorEastAsia"/>
                <w:bCs/>
                <w:iCs/>
                <w:color w:val="auto"/>
                <w:szCs w:val="21"/>
                <w:highlight w:val="none"/>
                <w:lang w:eastAsia="zh-CN"/>
              </w:rPr>
              <w:t>合同评审、</w:t>
            </w:r>
            <w:r>
              <w:rPr>
                <w:rFonts w:hint="eastAsia" w:asciiTheme="minorEastAsia" w:hAnsiTheme="minorEastAsia" w:eastAsiaTheme="minorEastAsia"/>
                <w:bCs/>
                <w:iCs/>
                <w:color w:val="auto"/>
                <w:szCs w:val="21"/>
                <w:highlight w:val="none"/>
                <w:lang w:val="en-US" w:eastAsia="zh-CN"/>
              </w:rPr>
              <w:t>销售产品的</w:t>
            </w:r>
            <w:r>
              <w:rPr>
                <w:rFonts w:hint="eastAsia" w:asciiTheme="minorEastAsia" w:hAnsiTheme="minorEastAsia" w:eastAsiaTheme="minorEastAsia"/>
                <w:bCs/>
                <w:iCs/>
                <w:color w:val="auto"/>
                <w:szCs w:val="21"/>
                <w:highlight w:val="none"/>
                <w:lang w:eastAsia="zh-CN"/>
              </w:rPr>
              <w:t>采购、销售</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cs="Times New Roman" w:asciiTheme="minorEastAsia" w:hAnsiTheme="minorEastAsia" w:eastAsiaTheme="minorEastAsia"/>
                <w:bCs/>
                <w:i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w:t>
            </w:r>
            <w:r>
              <w:rPr>
                <w:rFonts w:hint="eastAsia" w:cs="Times New Roman" w:asciiTheme="minorEastAsia" w:hAnsiTheme="minorEastAsia" w:eastAsiaTheme="minorEastAsia"/>
                <w:bCs/>
                <w:iCs/>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月实施，满意度评价9</w:t>
            </w:r>
            <w:r>
              <w:rPr>
                <w:rFonts w:hint="eastAsia" w:ascii="宋体" w:hAnsi="宋体" w:cs="宋体"/>
                <w:color w:val="auto"/>
                <w:szCs w:val="21"/>
                <w:lang w:val="en-US" w:eastAsia="zh-CN"/>
              </w:rPr>
              <w:t>8</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17日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eastAsia="宋体" w:cs="Times New Roman"/>
                <w:szCs w:val="21"/>
              </w:rPr>
              <w:t>涉及</w:t>
            </w:r>
            <w:r>
              <w:rPr>
                <w:rFonts w:hint="eastAsia" w:ascii="宋体" w:hAnsi="宋体" w:eastAsia="宋体" w:cs="Times New Roman"/>
                <w:szCs w:val="21"/>
                <w:lang w:eastAsia="zh-CN"/>
              </w:rPr>
              <w:t>行政部</w:t>
            </w:r>
            <w:r>
              <w:rPr>
                <w:rFonts w:hint="eastAsia" w:ascii="宋体" w:hAnsi="宋体" w:eastAsia="宋体" w:cs="Times New Roman"/>
                <w:szCs w:val="21"/>
              </w:rPr>
              <w:t>GB/T19001-2016</w:t>
            </w:r>
            <w:r>
              <w:rPr>
                <w:rFonts w:hint="eastAsia" w:ascii="宋体" w:hAnsi="宋体" w:eastAsia="宋体" w:cs="Times New Roman"/>
                <w:szCs w:val="21"/>
                <w:lang w:val="en-US" w:eastAsia="zh-CN"/>
              </w:rPr>
              <w:t>/</w:t>
            </w:r>
            <w:r>
              <w:rPr>
                <w:rFonts w:hint="eastAsia" w:ascii="宋体" w:hAnsi="宋体" w:eastAsia="宋体" w:cs="Times New Roman"/>
                <w:szCs w:val="21"/>
              </w:rPr>
              <w:t>GB/T24001-2016/ISO450</w:t>
            </w:r>
            <w:r>
              <w:rPr>
                <w:rFonts w:hint="eastAsia" w:ascii="宋体" w:hAnsi="宋体"/>
                <w:szCs w:val="21"/>
              </w:rPr>
              <w:t>01:2018标准</w:t>
            </w:r>
            <w:r>
              <w:rPr>
                <w:rFonts w:hint="eastAsia" w:ascii="宋体" w:hAnsi="宋体"/>
                <w:szCs w:val="21"/>
                <w:lang w:val="en-US" w:eastAsia="zh-CN"/>
              </w:rPr>
              <w:t>7</w:t>
            </w:r>
            <w:r>
              <w:rPr>
                <w:rFonts w:hint="eastAsia" w:ascii="宋体" w:hAnsi="宋体"/>
                <w:szCs w:val="21"/>
              </w:rPr>
              <w:t>.2条款</w:t>
            </w:r>
            <w:r>
              <w:rPr>
                <w:rFonts w:hint="eastAsia" w:ascii="宋体" w:hAnsi="宋体"/>
                <w:szCs w:val="21"/>
                <w:lang w:eastAsia="zh-CN"/>
              </w:rPr>
              <w:t>“</w:t>
            </w:r>
            <w:r>
              <w:rPr>
                <w:rFonts w:hint="eastAsia" w:ascii="宋体" w:hAnsi="宋体" w:eastAsia="宋体" w:cs="Times New Roman"/>
                <w:szCs w:val="21"/>
                <w:lang w:val="en-US" w:eastAsia="zh-CN"/>
              </w:rPr>
              <w:t>未能提供人员培训记录</w:t>
            </w:r>
            <w:r>
              <w:rPr>
                <w:rFonts w:hint="eastAsia" w:ascii="宋体" w:hAnsi="宋体" w:eastAsia="宋体" w:cs="Times New Roman"/>
                <w:szCs w:val="21"/>
              </w:rPr>
              <w:t>”及时进行统计和分析</w:t>
            </w:r>
            <w:r>
              <w:rPr>
                <w:rFonts w:hint="eastAsia" w:ascii="宋体" w:hAnsi="宋体"/>
                <w:szCs w:val="21"/>
                <w:highlight w:val="none"/>
              </w:rPr>
              <w:t>，</w:t>
            </w:r>
            <w:r>
              <w:rPr>
                <w:rFonts w:hint="eastAsia" w:ascii="宋体" w:hAnsi="宋体" w:cs="宋体"/>
                <w:szCs w:val="21"/>
                <w:highlight w:val="none"/>
              </w:rPr>
              <w:t>针对该不符合项，已及时采取纠正措</w:t>
            </w:r>
            <w:r>
              <w:rPr>
                <w:rFonts w:hint="eastAsia" w:ascii="宋体" w:hAnsi="宋体" w:cs="宋体"/>
                <w:szCs w:val="21"/>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b/>
                <w:color w:val="auto"/>
                <w:szCs w:val="21"/>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b/>
                <w:color w:val="auto"/>
                <w:szCs w:val="21"/>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color w:val="auto"/>
                <w:szCs w:val="21"/>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szCs w:val="20"/>
              </w:rPr>
            </w:pPr>
            <w:r>
              <w:rPr>
                <w:rFonts w:hint="eastAsia"/>
                <w:b/>
                <w:color w:val="auto"/>
                <w:sz w:val="20"/>
                <w:szCs w:val="20"/>
              </w:rPr>
              <w:t>3. 一阶段提出问题的整改情况?</w:t>
            </w:r>
          </w:p>
          <w:p>
            <w:pPr>
              <w:spacing w:line="240" w:lineRule="exact"/>
              <w:ind w:left="-105" w:leftChars="-50" w:firstLine="531" w:firstLineChars="252"/>
              <w:rPr>
                <w:rFonts w:hint="default" w:ascii="宋体" w:hAnsi="宋体" w:eastAsia="宋体"/>
                <w:b/>
                <w:szCs w:val="21"/>
                <w:lang w:val="en-US" w:eastAsia="zh-CN"/>
              </w:rPr>
            </w:pPr>
            <w:r>
              <w:rPr>
                <w:rFonts w:hint="eastAsia" w:ascii="宋体" w:hAnsi="宋体" w:eastAsia="宋体"/>
                <w:b/>
                <w:szCs w:val="21"/>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本次审核共开具不符合项报告1项；其中</w:t>
      </w:r>
      <w:r>
        <w:rPr>
          <w:b/>
          <w:color w:val="auto"/>
          <w:highlight w:val="none"/>
        </w:rPr>
        <w:pict>
          <v:line id="直接连接符 1" o:spid="_x0000_s2052" o:spt="20" style="position:absolute;left:0pt;margin-left:210pt;margin-top:16.2pt;height:0pt;width:0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highlight w:val="none"/>
        </w:rPr>
        <w:t>严重不符合 0项，一般不符合 1项，观察项</w:t>
      </w:r>
      <w:r>
        <w:rPr>
          <w:rFonts w:hint="eastAsia"/>
          <w:b/>
          <w:color w:val="auto"/>
          <w:highlight w:val="none"/>
          <w:lang w:val="en-US" w:eastAsia="zh-CN"/>
        </w:rPr>
        <w:t>0</w:t>
      </w:r>
      <w:r>
        <w:rPr>
          <w:rFonts w:hint="eastAsia"/>
          <w:b/>
          <w:color w:val="auto"/>
          <w:highlight w:val="none"/>
        </w:rPr>
        <w:t>项，</w:t>
      </w:r>
      <w:r>
        <w:rPr>
          <w:rFonts w:hint="eastAsia"/>
          <w:b/>
          <w:color w:val="auto"/>
          <w:highlight w:val="none"/>
          <w:lang w:val="en-US" w:eastAsia="zh-CN"/>
        </w:rPr>
        <w:t>不符合项</w:t>
      </w:r>
      <w:r>
        <w:rPr>
          <w:rFonts w:hint="eastAsia"/>
          <w:b/>
          <w:color w:val="auto"/>
          <w:highlight w:val="none"/>
        </w:rPr>
        <w:t>分布在</w:t>
      </w:r>
      <w:r>
        <w:rPr>
          <w:rFonts w:hint="eastAsia"/>
          <w:b/>
          <w:color w:val="auto"/>
          <w:highlight w:val="none"/>
          <w:lang w:val="en-US" w:eastAsia="zh-CN"/>
        </w:rPr>
        <w:t>市场部门Q8.5.1f</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80" w:type="dxa"/>
          </w:tcPr>
          <w:p>
            <w:pPr>
              <w:rPr>
                <w:b/>
                <w:color w:val="000000" w:themeColor="text1"/>
              </w:rPr>
            </w:pPr>
            <w:r>
              <w:rPr>
                <w:rFonts w:hint="eastAsia"/>
                <w:b/>
                <w:color w:val="000000" w:themeColor="text1"/>
              </w:rPr>
              <w:t>2.对审核范围适宜性结论</w:t>
            </w:r>
          </w:p>
          <w:p>
            <w:pPr>
              <w:ind w:left="-105" w:leftChars="-50"/>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t>□</w:t>
            </w:r>
            <w:r>
              <w:rPr>
                <w:rFonts w:hint="eastAsia"/>
                <w:b/>
                <w:color w:val="000000" w:themeColor="text1"/>
              </w:rPr>
              <w:t>审核范围变更</w:t>
            </w:r>
            <w:r>
              <w:rPr>
                <w:rFonts w:hint="eastAsia"/>
                <w:b/>
                <w:color w:val="000000" w:themeColor="text1"/>
                <w:lang w:eastAsia="zh-CN"/>
              </w:rPr>
              <w:t>为</w:t>
            </w:r>
            <w:r>
              <w:rPr>
                <w:rFonts w:hint="eastAsia"/>
                <w:b/>
                <w:color w:val="000000" w:themeColor="text1"/>
              </w:rPr>
              <w:t>，</w:t>
            </w:r>
          </w:p>
          <w:p>
            <w:pPr>
              <w:rPr>
                <w:rFonts w:hint="eastAsia" w:ascii="宋体" w:hAnsi="宋体" w:eastAsia="宋体" w:cs="Times New Roman"/>
                <w:sz w:val="21"/>
                <w:szCs w:val="21"/>
                <w:lang w:val="en-US" w:eastAsia="zh-CN"/>
              </w:rPr>
            </w:pPr>
            <w:r>
              <w:rPr>
                <w:rFonts w:hint="eastAsia" w:ascii="宋体" w:hAnsi="宋体"/>
                <w:sz w:val="21"/>
                <w:szCs w:val="21"/>
                <w:lang w:val="en-US" w:eastAsia="zh-CN"/>
              </w:rPr>
              <w:t>QMS：</w:t>
            </w:r>
            <w:r>
              <w:rPr>
                <w:rFonts w:hint="eastAsia" w:ascii="宋体" w:hAnsi="宋体" w:eastAsia="宋体" w:cs="Times New Roman"/>
                <w:sz w:val="21"/>
                <w:szCs w:val="21"/>
                <w:lang w:val="en-US"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spacing w:line="400" w:lineRule="exact"/>
              <w:jc w:val="both"/>
              <w:rPr>
                <w:rFonts w:hint="eastAsia" w:ascii="宋体" w:hAnsi="宋体"/>
                <w:sz w:val="21"/>
                <w:szCs w:val="21"/>
                <w:lang w:val="en-US" w:eastAsia="zh-CN"/>
              </w:rPr>
            </w:pPr>
            <w:r>
              <w:rPr>
                <w:rFonts w:hint="eastAsia" w:ascii="宋体" w:hAnsi="宋体"/>
                <w:sz w:val="21"/>
                <w:szCs w:val="21"/>
                <w:lang w:val="en-US" w:eastAsia="zh-CN"/>
              </w:rPr>
              <w:t>EMS：</w:t>
            </w:r>
            <w:r>
              <w:rPr>
                <w:rFonts w:hint="eastAsia" w:ascii="宋体" w:hAnsi="宋体" w:eastAsia="宋体" w:cs="Times New Roman"/>
                <w:sz w:val="21"/>
                <w:szCs w:val="21"/>
                <w:lang w:val="en-US"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default" w:ascii="宋体" w:hAnsi="宋体" w:eastAsia="宋体" w:cs="Times New Roman"/>
                <w:sz w:val="21"/>
                <w:szCs w:val="21"/>
                <w:lang w:val="en-US" w:eastAsia="zh-CN"/>
              </w:rPr>
              <w:t>所涉及场所的相关环境管理活动</w:t>
            </w:r>
            <w:r>
              <w:rPr>
                <w:rFonts w:hint="eastAsia" w:ascii="宋体" w:hAnsi="宋体"/>
                <w:sz w:val="21"/>
                <w:szCs w:val="21"/>
                <w:lang w:val="en-US" w:eastAsia="zh-CN"/>
              </w:rPr>
              <w:t>。</w:t>
            </w:r>
          </w:p>
          <w:p>
            <w:pPr>
              <w:rPr>
                <w:b/>
                <w:color w:val="000000" w:themeColor="text1"/>
                <w:spacing w:val="-10"/>
                <w:sz w:val="22"/>
                <w:szCs w:val="22"/>
              </w:rPr>
            </w:pPr>
            <w:r>
              <w:rPr>
                <w:rFonts w:hint="eastAsia" w:ascii="宋体" w:hAnsi="宋体"/>
                <w:sz w:val="21"/>
                <w:szCs w:val="21"/>
                <w:lang w:val="en-US" w:eastAsia="zh-CN"/>
              </w:rPr>
              <w:t>OHSMS：</w:t>
            </w:r>
            <w:r>
              <w:rPr>
                <w:rFonts w:hint="eastAsia" w:ascii="宋体" w:hAnsi="宋体" w:eastAsia="宋体" w:cs="Times New Roman"/>
                <w:szCs w:val="21"/>
                <w:lang w:val="en-US"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default" w:ascii="宋体" w:hAnsi="宋体" w:eastAsia="宋体" w:cs="Times New Roman"/>
                <w:szCs w:val="21"/>
                <w:lang w:val="en-US" w:eastAsia="zh-CN"/>
              </w:rPr>
              <w:t>所涉及场所的相关职业健康安全管理活动</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highlight w:val="none"/>
              </w:rPr>
            </w:pPr>
            <w:r>
              <w:rPr>
                <w:rFonts w:hint="eastAsia"/>
                <w:b/>
                <w:color w:val="000000" w:themeColor="text1"/>
                <w:spacing w:val="-10"/>
                <w:szCs w:val="21"/>
              </w:rPr>
              <w:t>□</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10"/>
                <w:sz w:val="22"/>
                <w:szCs w:val="22"/>
                <w:highlight w:val="none"/>
              </w:rPr>
            </w:pPr>
            <w:r>
              <w:rPr>
                <w:rFonts w:hint="eastAsia"/>
                <w:b/>
                <w:sz w:val="26"/>
                <w:szCs w:val="26"/>
                <w:highlight w:val="none"/>
              </w:rPr>
              <w:t>■</w:t>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ascii="仿宋" w:hAnsi="仿宋" w:eastAsia="宋体" w:cstheme="minorBidi"/>
          <w:b/>
          <w:bCs/>
          <w:color w:val="000000" w:themeColor="text1"/>
          <w:kern w:val="24"/>
          <w:sz w:val="28"/>
          <w:szCs w:val="28"/>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1" w:leftChars="-405" w:hanging="851" w:hangingChars="326"/>
        <w:rPr>
          <w:rFonts w:hint="eastAsia" w:eastAsia="宋体"/>
          <w:b/>
          <w:color w:val="000000" w:themeColor="text1"/>
          <w:sz w:val="26"/>
          <w:szCs w:val="26"/>
          <w:lang w:eastAsia="zh-CN"/>
        </w:rPr>
      </w:pPr>
    </w:p>
    <w:p>
      <w:pPr>
        <w:spacing w:beforeLines="50" w:afterLines="50"/>
        <w:ind w:left="1" w:leftChars="-405" w:hanging="851" w:hangingChars="326"/>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drawing>
          <wp:anchor distT="0" distB="0" distL="114300" distR="114300" simplePos="0" relativeHeight="251663360" behindDoc="0" locked="0" layoutInCell="1" allowOverlap="1">
            <wp:simplePos x="0" y="0"/>
            <wp:positionH relativeFrom="column">
              <wp:posOffset>1591310</wp:posOffset>
            </wp:positionH>
            <wp:positionV relativeFrom="paragraph">
              <wp:posOffset>269240</wp:posOffset>
            </wp:positionV>
            <wp:extent cx="845185" cy="528955"/>
            <wp:effectExtent l="0" t="0" r="8255" b="444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845185" cy="528955"/>
                    </a:xfrm>
                    <a:prstGeom prst="rect">
                      <a:avLst/>
                    </a:prstGeom>
                    <a:noFill/>
                    <a:ln w="9525">
                      <a:noFill/>
                      <a:miter lim="800000"/>
                      <a:headEnd/>
                      <a:tailEnd/>
                    </a:ln>
                  </pic:spPr>
                </pic:pic>
              </a:graphicData>
            </a:graphic>
          </wp:anchor>
        </w:drawing>
      </w:r>
      <w:r>
        <w:rPr>
          <w:rFonts w:hint="eastAsia" w:ascii="Times New Roman" w:hAnsi="Times New Roman" w:eastAsia="宋体" w:cs="Times New Roman"/>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0" w:firstLineChars="250"/>
        <w:rPr>
          <w:b/>
          <w:color w:val="000000" w:themeColor="text1"/>
        </w:rPr>
      </w:pPr>
      <w:bookmarkStart w:id="22" w:name="_GoBack"/>
      <w:bookmarkEnd w:id="22"/>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3230245</wp:posOffset>
            </wp:positionH>
            <wp:positionV relativeFrom="paragraph">
              <wp:posOffset>152400</wp:posOffset>
            </wp:positionV>
            <wp:extent cx="460375" cy="309880"/>
            <wp:effectExtent l="0" t="0" r="12065" b="1016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7"/>
                    <a:stretch>
                      <a:fillRect/>
                    </a:stretch>
                  </pic:blipFill>
                  <pic:spPr>
                    <a:xfrm>
                      <a:off x="0" y="0"/>
                      <a:ext cx="460375" cy="309880"/>
                    </a:xfrm>
                    <a:prstGeom prst="rect">
                      <a:avLst/>
                    </a:prstGeom>
                  </pic:spPr>
                </pic:pic>
              </a:graphicData>
            </a:graphic>
          </wp:anchor>
        </w:drawing>
      </w:r>
      <w:r>
        <w:rPr>
          <w:rFonts w:hint="eastAsia" w:eastAsia="宋体"/>
          <w:lang w:eastAsia="zh-CN"/>
        </w:rPr>
        <w:drawing>
          <wp:anchor distT="0" distB="0" distL="114300" distR="114300" simplePos="0" relativeHeight="251666432" behindDoc="0" locked="0" layoutInCell="1" allowOverlap="1">
            <wp:simplePos x="0" y="0"/>
            <wp:positionH relativeFrom="column">
              <wp:posOffset>2419985</wp:posOffset>
            </wp:positionH>
            <wp:positionV relativeFrom="paragraph">
              <wp:posOffset>149225</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683895" cy="3124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1572895</wp:posOffset>
            </wp:positionH>
            <wp:positionV relativeFrom="paragraph">
              <wp:posOffset>144780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a:srcRect l="7647" t="9871" r="7157" b="20799"/>
                    <a:stretch>
                      <a:fillRect/>
                    </a:stretch>
                  </pic:blipFill>
                  <pic:spPr>
                    <a:xfrm>
                      <a:off x="0" y="0"/>
                      <a:ext cx="812165" cy="275590"/>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sz w:val="21"/>
          <w:szCs w:val="21"/>
        </w:rPr>
        <w:t>202</w:t>
      </w:r>
      <w:r>
        <w:rPr>
          <w:rFonts w:hint="eastAsia"/>
          <w:b/>
          <w:color w:val="000000" w:themeColor="text1"/>
          <w:sz w:val="21"/>
          <w:szCs w:val="21"/>
          <w:lang w:val="en-US" w:eastAsia="zh-CN"/>
        </w:rPr>
        <w:t>1</w:t>
      </w:r>
      <w:r>
        <w:rPr>
          <w:rFonts w:hint="eastAsia"/>
          <w:b/>
          <w:color w:val="000000" w:themeColor="text1"/>
          <w:sz w:val="21"/>
          <w:szCs w:val="21"/>
        </w:rPr>
        <w:t xml:space="preserve"> </w:t>
      </w:r>
      <w:r>
        <w:rPr>
          <w:rFonts w:hint="eastAsia" w:asciiTheme="minorEastAsia" w:hAnsiTheme="minorEastAsia" w:eastAsiaTheme="minorEastAsia"/>
          <w:b/>
          <w:color w:val="000000" w:themeColor="text1"/>
          <w:sz w:val="21"/>
          <w:szCs w:val="21"/>
        </w:rPr>
        <w:t>年</w:t>
      </w:r>
      <w:r>
        <w:rPr>
          <w:rFonts w:hint="eastAsia" w:asciiTheme="minorEastAsia" w:hAnsiTheme="minorEastAsia" w:eastAsiaTheme="minorEastAsia"/>
          <w:b/>
          <w:color w:val="000000" w:themeColor="text1"/>
          <w:sz w:val="21"/>
          <w:szCs w:val="21"/>
          <w:lang w:val="en-US" w:eastAsia="zh-CN"/>
        </w:rPr>
        <w:t>7</w:t>
      </w:r>
      <w:r>
        <w:rPr>
          <w:rFonts w:hint="eastAsia" w:asciiTheme="minorEastAsia" w:hAnsiTheme="minorEastAsia" w:eastAsiaTheme="minorEastAsia"/>
          <w:b/>
          <w:color w:val="000000" w:themeColor="text1"/>
          <w:sz w:val="21"/>
          <w:szCs w:val="21"/>
        </w:rPr>
        <w:t>月</w:t>
      </w:r>
      <w:r>
        <w:rPr>
          <w:rFonts w:hint="eastAsia" w:asciiTheme="minorEastAsia" w:hAnsiTheme="minorEastAsia" w:eastAsiaTheme="minorEastAsia"/>
          <w:b/>
          <w:color w:val="000000" w:themeColor="text1"/>
          <w:sz w:val="21"/>
          <w:szCs w:val="21"/>
          <w:lang w:val="en-US" w:eastAsia="zh-CN"/>
        </w:rPr>
        <w:t>16</w:t>
      </w:r>
      <w:r>
        <w:rPr>
          <w:rFonts w:hint="eastAsia" w:asciiTheme="minorEastAsia" w:hAnsiTheme="minorEastAsia" w:eastAsiaTheme="minorEastAsia"/>
          <w:b/>
          <w:color w:val="000000" w:themeColor="text1"/>
          <w:sz w:val="21"/>
          <w:szCs w:val="21"/>
        </w:rPr>
        <w:t>日</w:t>
      </w:r>
    </w:p>
    <w:p>
      <w:pPr>
        <w:spacing w:beforeLines="50" w:afterLines="50"/>
        <w:ind w:left="1" w:leftChars="-405" w:hanging="851" w:hangingChars="326"/>
        <w:rPr>
          <w:b/>
          <w:color w:val="000000" w:themeColor="text1"/>
          <w:sz w:val="26"/>
          <w:szCs w:val="26"/>
          <w:highlight w:val="none"/>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QMS( 1 )个一般不符合，( 0 )个严重不符合，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EMS(</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OHSMS(</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721360</wp:posOffset>
            </wp:positionH>
            <wp:positionV relativeFrom="paragraph">
              <wp:posOffset>88265</wp:posOffset>
            </wp:positionV>
            <wp:extent cx="746760" cy="467360"/>
            <wp:effectExtent l="0" t="0" r="0" b="508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 xml:space="preserve">        日期:</w:t>
      </w:r>
      <w:r>
        <w:rPr>
          <w:rFonts w:hint="eastAsia"/>
          <w:b/>
          <w:color w:val="000000" w:themeColor="text1"/>
          <w:highlight w:val="none"/>
        </w:rPr>
        <w:t xml:space="preserve"> </w:t>
      </w:r>
      <w:r>
        <w:rPr>
          <w:rFonts w:hint="eastAsia"/>
          <w:b/>
          <w:color w:val="000000" w:themeColor="text1"/>
          <w:highlight w:val="none"/>
          <w:lang w:val="en-US" w:eastAsia="zh-CN"/>
        </w:rPr>
        <w:t xml:space="preserve"> </w:t>
      </w:r>
      <w:r>
        <w:rPr>
          <w:rFonts w:hint="eastAsia"/>
          <w:b/>
          <w:color w:val="000000" w:themeColor="text1"/>
          <w:highlight w:val="none"/>
        </w:rPr>
        <w:t>202</w:t>
      </w:r>
      <w:r>
        <w:rPr>
          <w:rFonts w:hint="eastAsia"/>
          <w:b/>
          <w:color w:val="000000" w:themeColor="text1"/>
          <w:highlight w:val="none"/>
          <w:lang w:val="en-US" w:eastAsia="zh-CN"/>
        </w:rPr>
        <w:t>1</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7</w:t>
      </w:r>
      <w:r>
        <w:rPr>
          <w:rFonts w:hint="eastAsia" w:asciiTheme="minorEastAsia" w:hAnsiTheme="minorEastAsia" w:eastAsiaTheme="minorEastAsia"/>
          <w:b/>
          <w:color w:val="000000" w:themeColor="text1"/>
          <w:highlight w:val="none"/>
        </w:rPr>
        <w:t>月</w:t>
      </w:r>
      <w:r>
        <w:rPr>
          <w:rFonts w:hint="eastAsia" w:asciiTheme="minorEastAsia" w:hAnsiTheme="minorEastAsia" w:eastAsiaTheme="minorEastAsia"/>
          <w:b/>
          <w:color w:val="000000" w:themeColor="text1"/>
          <w:highlight w:val="none"/>
          <w:lang w:val="en-US" w:eastAsia="zh-CN"/>
        </w:rPr>
        <w:t>19</w:t>
      </w:r>
      <w:r>
        <w:rPr>
          <w:rFonts w:hint="eastAsia" w:asciiTheme="minorEastAsia" w:hAnsiTheme="minorEastAsia" w:eastAsiaTheme="minorEastAsia"/>
          <w:b/>
          <w:color w:val="000000" w:themeColor="text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C48AF"/>
    <w:rsid w:val="6A591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2021-07-16T06:35:40Z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8F3247E4EE8640A782AF5F1543D42A5C</vt:lpwstr>
  </property>
</Properties>
</file>