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98"/>
        <w:gridCol w:w="1270"/>
        <w:gridCol w:w="870"/>
        <w:gridCol w:w="940"/>
        <w:gridCol w:w="1347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四川佳鑫家具有限公司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720" w:firstLineChars="300"/>
              <w:rPr>
                <w:rFonts w:hint="eastAsia"/>
                <w:lang w:val="en-US" w:eastAsia="zh-CN"/>
              </w:rPr>
            </w:pPr>
          </w:p>
          <w:p>
            <w:pPr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市场调研→签订协议→组织采购用户产品与验收→组织发货与交付→售后服务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销售产品风险：产品质量不合格、交付不准时，货款回收等风险；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销售过程中火灾、触电伤害风险；业务外出时交通意外伤害风险；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潜在火灾和固废排放，采取管理方案和应急处理方案控制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ind w:left="0" w:leftChars="0"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家具力学性能试验 椅、凳类稳定性GB/T 10357.2-1989、家具力学性能试验 椅、凳类强度和耐久性GB/T 10357.3-1989、家具 桌、椅、凳类主要尺寸GB/T 3326-1997合同协议等。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检验项目：材质、样式尺寸、装配及表面质量、包装质量等。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113030</wp:posOffset>
            </wp:positionV>
            <wp:extent cx="757555" cy="334645"/>
            <wp:effectExtent l="0" t="0" r="4445" b="825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397" b="5103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4445</wp:posOffset>
            </wp:positionV>
            <wp:extent cx="757555" cy="334645"/>
            <wp:effectExtent l="0" t="0" r="4445" b="825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397" b="5103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2021.7.16</w:t>
      </w:r>
      <w:r>
        <w:rPr>
          <w:rFonts w:hint="eastAsia" w:ascii="宋体"/>
          <w:b/>
          <w:sz w:val="21"/>
          <w:szCs w:val="21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 xml:space="preserve">2021.7.16 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521810"/>
    <w:rsid w:val="1BE56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2021-07-16T05:26:59Z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3FA569592C07431C8653445E4ED459F7</vt:lpwstr>
  </property>
</Properties>
</file>