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江西港滋源餐饮管理有限公司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明心楠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查危害控制计划时发现：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1、原辅料及接触材料描述中未涵盖标准8.5.1.2要求内容；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、危害分析中确定的CCP点与HACCP计划中的CCP点不一致；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、没有提供针对OPRP点的行动准则；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pStyle w:val="2"/>
              <w:ind w:firstLine="1767" w:firstLineChars="80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明心楠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</w:pPr>
            <w:r>
              <w:rPr>
                <w:rFonts w:hint="eastAsia"/>
              </w:rPr>
              <w:t>纠正措施验证（包括验证的主要内容和结果）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企业已对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危害控制计划进行了修改，提供了修改后的危害控制计划，修改内容基本涵盖了：1.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原辅料及接触材料描述中涵盖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了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标准8.5.1.2要求内容；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2.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危害分析中确定的CCP点与HACCP计划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表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中的CCP点一致；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3.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针对OPRP点的行动准则；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同时对产生此不符合项的原因进行了分析并对相关人员进行了培训，提供有培训记录表，此不符合项整改基本有效，可以关闭。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简体" w:eastAsia="方正仿宋简体"/>
                <w:b/>
              </w:rPr>
              <w:t>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2021-08-12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</w:p>
        </w:tc>
      </w:tr>
    </w:tbl>
    <w:p>
      <w:pPr>
        <w:rPr>
          <w:rFonts w:eastAsia="方正仿宋简体"/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57618E"/>
    <w:rsid w:val="0219679F"/>
    <w:rsid w:val="03D15A62"/>
    <w:rsid w:val="06384BC5"/>
    <w:rsid w:val="0AF65681"/>
    <w:rsid w:val="0CB440C5"/>
    <w:rsid w:val="0CB72D8D"/>
    <w:rsid w:val="0CBD28DE"/>
    <w:rsid w:val="0DAA318C"/>
    <w:rsid w:val="10201E8B"/>
    <w:rsid w:val="24271135"/>
    <w:rsid w:val="24AD0863"/>
    <w:rsid w:val="26444696"/>
    <w:rsid w:val="38F645B4"/>
    <w:rsid w:val="39003E31"/>
    <w:rsid w:val="3FBF6360"/>
    <w:rsid w:val="3FE35C7C"/>
    <w:rsid w:val="46702D27"/>
    <w:rsid w:val="49274256"/>
    <w:rsid w:val="4C4B3D4A"/>
    <w:rsid w:val="4E432D6E"/>
    <w:rsid w:val="56490EA0"/>
    <w:rsid w:val="62DB13F4"/>
    <w:rsid w:val="62E23031"/>
    <w:rsid w:val="72665875"/>
    <w:rsid w:val="749542CE"/>
    <w:rsid w:val="7C8D2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2021-08-12T03:30:57Z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620EB20329EB4BC2B0D5BD896B5D3421</vt:lpwstr>
  </property>
</Properties>
</file>