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960"/>
        <w:gridCol w:w="745"/>
        <w:gridCol w:w="9255"/>
        <w:gridCol w:w="1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4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1" w:type="dxa"/>
            <w:gridSpan w:val="3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受审核部门：领导层 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明心楠</w:t>
            </w:r>
          </w:p>
        </w:tc>
        <w:tc>
          <w:tcPr>
            <w:tcW w:w="158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4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1" w:type="dxa"/>
            <w:gridSpan w:val="3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审核员：邝</w:t>
            </w:r>
            <w:r>
              <w:rPr>
                <w:sz w:val="24"/>
                <w:szCs w:val="24"/>
              </w:rPr>
              <w:t>柏臣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rFonts w:hint="eastAsia"/>
                <w:sz w:val="24"/>
                <w:szCs w:val="24"/>
              </w:rPr>
              <w:t>1-07-23</w:t>
            </w:r>
          </w:p>
        </w:tc>
        <w:tc>
          <w:tcPr>
            <w:tcW w:w="158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4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1" w:type="dxa"/>
            <w:gridSpan w:val="3"/>
            <w:vAlign w:val="center"/>
          </w:tcPr>
          <w:p>
            <w:pPr>
              <w:tabs>
                <w:tab w:val="left" w:pos="709"/>
              </w:tabs>
              <w:ind w:right="57"/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Cs w:val="21"/>
              </w:rPr>
              <w:t xml:space="preserve"> FSMS：4.1/4.2/4.3/4.4/5.1/5.2/5.3/6.1/6.2/6.3/7.1.1/7.4/9.1.1/9.3/10.2</w:t>
            </w:r>
          </w:p>
        </w:tc>
        <w:tc>
          <w:tcPr>
            <w:tcW w:w="158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4" w:type="dxa"/>
            <w:vMerge w:val="restart"/>
          </w:tcPr>
          <w:p>
            <w:r>
              <w:rPr>
                <w:rFonts w:hint="eastAsia"/>
              </w:rPr>
              <w:t>理解组织及其环境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F4.1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管理手册第4.1条款、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《公司环境分析控制程序》、</w:t>
            </w:r>
            <w:r>
              <w:rPr/>
              <w:sym w:font="Wingdings" w:char="00A8"/>
            </w:r>
            <w:r>
              <w:rPr>
                <w:rFonts w:hint="eastAsia"/>
              </w:rPr>
              <w:t>组织内外部环境要素识别表</w:t>
            </w:r>
          </w:p>
        </w:tc>
        <w:tc>
          <w:tcPr>
            <w:tcW w:w="158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4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  <w:gridSpan w:val="2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与最高管理者沟通：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组织的环境：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7"/>
              <w:gridCol w:w="73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</w:rPr>
                    <w:t>外部环境</w:t>
                  </w:r>
                </w:p>
              </w:tc>
              <w:tc>
                <w:tcPr>
                  <w:tcW w:w="737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法律法规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技术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竞争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市场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文化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社会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经济环境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政治环境□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网络安全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食品欺诈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食品防护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蓄意污染 </w:t>
                  </w:r>
                  <w:r>
                    <w:rPr>
                      <w:rFonts w:hint="eastAsia"/>
                    </w:rPr>
                    <w:t>□其他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</w:rPr>
                    <w:t>列举主要的内容</w:t>
                  </w:r>
                </w:p>
              </w:tc>
              <w:tc>
                <w:tcPr>
                  <w:tcW w:w="7375" w:type="dxa"/>
                </w:tcPr>
                <w:p>
                  <w:r>
                    <w:rPr>
                      <w:rFonts w:hint="eastAsia"/>
                    </w:rPr>
                    <w:t>国家对学生的教育、饮食均衡、健康安全等方面更为关注，为企业提供了良好的发展方向。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</w:rPr>
                    <w:t>内部环境</w:t>
                  </w:r>
                </w:p>
              </w:tc>
              <w:tc>
                <w:tcPr>
                  <w:tcW w:w="737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价值观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文化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知识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绩效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工艺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</w:instrText>
                  </w:r>
                  <w:r>
                    <w:rPr>
                      <w:rFonts w:hint="eastAsia" w:ascii="宋体" w:hAnsi="宋体"/>
                      <w:position w:val="2"/>
                      <w:sz w:val="13"/>
                    </w:rPr>
                    <w:instrText xml:space="preserve">√</w:instrText>
                  </w:r>
                  <w:r>
                    <w:rPr>
                      <w:rFonts w:hint="eastAsia" w:ascii="宋体" w:hAnsi="宋体"/>
                    </w:rPr>
                    <w:instrText xml:space="preserve"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设备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人员能力 □其他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</w:rPr>
                    <w:t>列举主要的内容</w:t>
                  </w:r>
                </w:p>
              </w:tc>
              <w:tc>
                <w:tcPr>
                  <w:tcW w:w="737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提供传统菜肴，对工艺、设备、人员能力要求不高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组织优势说明</w:t>
                  </w:r>
                </w:p>
              </w:tc>
              <w:tc>
                <w:tcPr>
                  <w:tcW w:w="7375" w:type="dxa"/>
                </w:tcPr>
                <w:p>
                  <w:r>
                    <w:rPr>
                      <w:rFonts w:hint="eastAsia"/>
                    </w:rPr>
                    <w:t>领导层具备多年的餐饮行业管理经验，自有资金充足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组织劣势说明</w:t>
                  </w:r>
                </w:p>
              </w:tc>
              <w:tc>
                <w:tcPr>
                  <w:tcW w:w="7375" w:type="dxa"/>
                </w:tcPr>
                <w:p>
                  <w:pPr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人员整体知识水平需要不断提高，对食品安全、质量等方面的知识掌握程度需不断提高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主要风险的说明</w:t>
                  </w:r>
                </w:p>
              </w:tc>
              <w:tc>
                <w:tcPr>
                  <w:tcW w:w="7375" w:type="dxa"/>
                </w:tcPr>
                <w:p>
                  <w:r>
                    <w:rPr>
                      <w:rFonts w:hint="eastAsia"/>
                    </w:rPr>
                    <w:t>外部环境（学校或相关方）运行/异常/变化要求对本公司的威胁</w:t>
                  </w:r>
                </w:p>
                <w:p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国家关注食品安全，淘汰不规范的餐饮企业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机遇的说明</w:t>
                  </w:r>
                </w:p>
              </w:tc>
              <w:tc>
                <w:tcPr>
                  <w:tcW w:w="7375" w:type="dxa"/>
                </w:tcPr>
                <w:p>
                  <w:r>
                    <w:rPr>
                      <w:rFonts w:hint="eastAsia" w:ascii="宋体" w:hAnsi="宋体" w:cs="宋体"/>
                      <w:szCs w:val="21"/>
                    </w:rPr>
                    <w:t>现有消费者资源较稳定，行业经济政策较好，利用现有资源，开发及扩大市场，增加服务范围，不断开发新产品。</w:t>
                  </w:r>
                </w:p>
              </w:tc>
            </w:tr>
          </w:tbl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主要证据体现在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</w:t>
            </w:r>
            <w:r>
              <w:rPr>
                <w:rFonts w:hint="eastAsia"/>
              </w:rPr>
              <w:t>组织内外部环境要素识别表</w:t>
            </w:r>
            <w:r>
              <w:rPr>
                <w:rFonts w:hint="eastAsia" w:ascii="宋体" w:hAnsi="宋体"/>
              </w:rPr>
              <w:t>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《组织及其环境分析表》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《年度业务计划》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8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4" w:type="dxa"/>
            <w:vMerge w:val="restart"/>
          </w:tcPr>
          <w:p>
            <w:r>
              <w:rPr>
                <w:rFonts w:hint="eastAsia"/>
              </w:rPr>
              <w:t>理解相关方的需求和期望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F4.2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《相关方需求和期望控制程序》、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管理手册第4.2条款</w:t>
            </w:r>
          </w:p>
        </w:tc>
        <w:tc>
          <w:tcPr>
            <w:tcW w:w="158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2164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  <w:gridSpan w:val="2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tbl>
            <w:tblPr>
              <w:tblStyle w:val="7"/>
              <w:tblW w:w="891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81"/>
              <w:gridCol w:w="2701"/>
              <w:gridCol w:w="472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hint="eastAsia"/>
                    </w:rPr>
                    <w:t>重要的相关方</w:t>
                  </w:r>
                </w:p>
              </w:tc>
              <w:tc>
                <w:tcPr>
                  <w:tcW w:w="2701" w:type="dxa"/>
                </w:tcPr>
                <w:p>
                  <w:r>
                    <w:rPr>
                      <w:rFonts w:hint="eastAsia"/>
                    </w:rPr>
                    <w:t>相关方名称举例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hint="eastAsia"/>
                    </w:rPr>
                    <w:t>重要的相关方需求和希望（不必全选）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主管部门</w:t>
                  </w:r>
                </w:p>
              </w:tc>
              <w:tc>
                <w:tcPr>
                  <w:tcW w:w="2701" w:type="dxa"/>
                </w:tcPr>
                <w:p>
                  <w:r>
                    <w:rPr>
                      <w:rFonts w:hint="eastAsia"/>
                    </w:rPr>
                    <w:t>南昌</w:t>
                  </w:r>
                  <w:r>
                    <w:t>市</w:t>
                  </w:r>
                  <w:r>
                    <w:rPr>
                      <w:rFonts w:hint="eastAsia"/>
                    </w:rPr>
                    <w:t>青山</w:t>
                  </w:r>
                  <w:r>
                    <w:t>湖区</w:t>
                  </w:r>
                  <w:r>
                    <w:rPr>
                      <w:rFonts w:hint="eastAsia"/>
                    </w:rPr>
                    <w:t>市场</w:t>
                  </w:r>
                  <w:r>
                    <w:t>监</w:t>
                  </w:r>
                  <w:r>
                    <w:rPr>
                      <w:rFonts w:hint="eastAsia"/>
                    </w:rPr>
                    <w:t>督</w:t>
                  </w:r>
                  <w:r>
                    <w:t>管理局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遵守质量/食品安全相关的法律法规</w:t>
                  </w:r>
                </w:p>
                <w:p>
                  <w:r>
                    <w:rPr>
                      <w:rFonts w:hint="eastAsia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供方</w:t>
                  </w:r>
                </w:p>
              </w:tc>
              <w:tc>
                <w:tcPr>
                  <w:tcW w:w="2701" w:type="dxa"/>
                </w:tcPr>
                <w:p>
                  <w:r>
                    <w:rPr>
                      <w:rFonts w:hint="eastAsia"/>
                    </w:rPr>
                    <w:t>赣州</w:t>
                  </w:r>
                  <w:r>
                    <w:t>丰泰</w:t>
                  </w:r>
                  <w:r>
                    <w:rPr>
                      <w:rFonts w:hint="eastAsia"/>
                    </w:rPr>
                    <w:t>农</w:t>
                  </w:r>
                  <w:r>
                    <w:t>业</w:t>
                  </w:r>
                  <w:r>
                    <w:rPr>
                      <w:rFonts w:hint="eastAsia"/>
                    </w:rPr>
                    <w:t>发</w:t>
                  </w:r>
                  <w:r>
                    <w:t>展</w:t>
                  </w:r>
                  <w:r>
                    <w:rPr>
                      <w:rFonts w:hint="eastAsia"/>
                    </w:rPr>
                    <w:t>有</w:t>
                  </w:r>
                  <w:r>
                    <w:t>限公司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组织的持续经营、明示质量/食品安全采购要求</w:t>
                  </w:r>
                </w:p>
                <w:p>
                  <w:r>
                    <w:rPr>
                      <w:rFonts w:hint="eastAsia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hint="eastAsia"/>
                    </w:rPr>
                    <w:t>☑顾客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南</w:t>
                  </w:r>
                  <w:r>
                    <w:rPr>
                      <w:szCs w:val="21"/>
                    </w:rPr>
                    <w:t>昌</w:t>
                  </w:r>
                  <w:r>
                    <w:rPr>
                      <w:rFonts w:hint="eastAsia"/>
                      <w:szCs w:val="21"/>
                    </w:rPr>
                    <w:t>云禾文</w:t>
                  </w:r>
                  <w:r>
                    <w:rPr>
                      <w:szCs w:val="21"/>
                    </w:rPr>
                    <w:t>化</w:t>
                  </w:r>
                  <w:r>
                    <w:rPr>
                      <w:rFonts w:hint="eastAsia"/>
                      <w:szCs w:val="21"/>
                    </w:rPr>
                    <w:t>艺</w:t>
                  </w:r>
                  <w:r>
                    <w:rPr>
                      <w:szCs w:val="21"/>
                    </w:rPr>
                    <w:t>术学</w:t>
                  </w:r>
                  <w:r>
                    <w:rPr>
                      <w:rFonts w:hint="eastAsia"/>
                      <w:szCs w:val="21"/>
                    </w:rPr>
                    <w:t>校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学生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按时按质按量交付产品或服务；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产品/服务质量持续满足要求</w:t>
                  </w:r>
                </w:p>
                <w:p>
                  <w:pPr>
                    <w:ind w:left="210" w:hanging="210" w:hangingChars="100"/>
                  </w:pPr>
                  <w:r>
                    <w:rPr>
                      <w:rFonts w:hint="eastAsia"/>
                    </w:rPr>
                    <w:t>☑不因食品安全问题影响按时按质按量交付产品或服务；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消费者</w:t>
                  </w:r>
                </w:p>
              </w:tc>
              <w:tc>
                <w:tcPr>
                  <w:tcW w:w="2701" w:type="dxa"/>
                </w:tcPr>
                <w:p>
                  <w:r>
                    <w:rPr>
                      <w:rFonts w:hint="eastAsia" w:ascii="宋体" w:hAnsi="宋体" w:cs="宋体"/>
                      <w:szCs w:val="21"/>
                    </w:rPr>
                    <w:t>学生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hint="eastAsia"/>
                    </w:rPr>
                    <w:t>☑良好的使用感受</w:t>
                  </w:r>
                </w:p>
                <w:p>
                  <w:r>
                    <w:rPr>
                      <w:rFonts w:hint="eastAsia"/>
                    </w:rPr>
                    <w:t>☑不因食品安全问题带来健康损害和生命威胁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员工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雇员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hint="eastAsia"/>
                    </w:rPr>
                    <w:t>☑组织的持续经营、自我发展</w:t>
                  </w:r>
                </w:p>
                <w:p>
                  <w:r>
                    <w:rPr>
                      <w:rFonts w:hint="eastAsia"/>
                    </w:rPr>
                    <w:t>☑不因食品安全问题停产，组织持续经营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hint="eastAsia"/>
                    </w:rPr>
                    <w:t>□投资方</w:t>
                  </w:r>
                </w:p>
              </w:tc>
              <w:tc>
                <w:tcPr>
                  <w:tcW w:w="2701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组织的持续经营、盈利</w:t>
                  </w:r>
                </w:p>
                <w:p>
                  <w:r>
                    <w:rPr>
                      <w:rFonts w:hint="eastAsia"/>
                    </w:rPr>
                    <w:t>□不因食品安全问题停产，组织持续经营、盈利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社区</w:t>
                  </w:r>
                </w:p>
              </w:tc>
              <w:tc>
                <w:tcPr>
                  <w:tcW w:w="2701" w:type="dxa"/>
                </w:tcPr>
                <w:p>
                  <w:r>
                    <w:rPr>
                      <w:rFonts w:hint="eastAsia" w:ascii="宋体" w:hAnsi="宋体" w:cs="宋体"/>
                      <w:szCs w:val="21"/>
                    </w:rPr>
                    <w:t>周边企业和居民</w:t>
                  </w:r>
                </w:p>
              </w:tc>
              <w:tc>
                <w:tcPr>
                  <w:tcW w:w="4729" w:type="dxa"/>
                </w:tcPr>
                <w:p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不因食品安全问题影响周围人员的就业</w:t>
                  </w:r>
                </w:p>
                <w:p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不因为油烟影响到周围社区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r>
                    <w:rPr>
                      <w:rFonts w:hint="eastAsia"/>
                    </w:rPr>
                    <w:t>□其他</w:t>
                  </w:r>
                </w:p>
              </w:tc>
              <w:tc>
                <w:tcPr>
                  <w:tcW w:w="2701" w:type="dxa"/>
                </w:tcPr>
                <w:p/>
              </w:tc>
              <w:tc>
                <w:tcPr>
                  <w:tcW w:w="4729" w:type="dxa"/>
                </w:tcPr>
                <w:p/>
              </w:tc>
            </w:tr>
          </w:tbl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主要证据体现在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《相关方期望要求识别表》、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《相关方的需求和期望分析表》、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《年度业务计划》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8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4" w:type="dxa"/>
            <w:vMerge w:val="restart"/>
          </w:tcPr>
          <w:p>
            <w:r>
              <w:rPr>
                <w:rFonts w:hint="eastAsia"/>
              </w:rPr>
              <w:t>确定质量/食品安全管理体系的范围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F4.3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  <w:gridSpan w:val="2"/>
          </w:tcPr>
          <w:p>
            <w:r>
              <w:rPr>
                <w:rFonts w:hint="eastAsia"/>
              </w:rPr>
              <w:t>如：管理手册第4.3条款</w:t>
            </w:r>
          </w:p>
        </w:tc>
        <w:tc>
          <w:tcPr>
            <w:tcW w:w="158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4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  <w:gridSpan w:val="2"/>
          </w:tcPr>
          <w:p>
            <w:r>
              <w:rPr>
                <w:rFonts w:hint="eastAsia"/>
              </w:rPr>
              <w:t>组织应明确相关管理体系的范围；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1"/>
              <w:gridCol w:w="5446"/>
              <w:gridCol w:w="168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范围的项目</w:t>
                  </w:r>
                </w:p>
              </w:tc>
              <w:tc>
                <w:tcPr>
                  <w:tcW w:w="5446" w:type="dxa"/>
                </w:tcPr>
                <w:p>
                  <w:r>
                    <w:rPr>
                      <w:rFonts w:hint="eastAsia"/>
                    </w:rPr>
                    <w:t>内容描述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产品/服务的活动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餐饮管理服务（热食类食品制售）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 xml:space="preserve">审核范围描述 </w:t>
                  </w:r>
                </w:p>
              </w:tc>
              <w:tc>
                <w:tcPr>
                  <w:tcW w:w="5446" w:type="dxa"/>
                </w:tcPr>
                <w:p>
                  <w:pPr>
                    <w:autoSpaceDE w:val="0"/>
                    <w:autoSpaceDN w:val="0"/>
                    <w:adjustRightInd w:val="0"/>
                    <w:jc w:val="left"/>
                  </w:pPr>
                  <w:bookmarkStart w:id="0" w:name="审核范围"/>
                  <w:r>
                    <w:rPr>
                      <w:rFonts w:hint="eastAsia"/>
                      <w:szCs w:val="21"/>
                    </w:rPr>
                    <w:t>位于江西省南昌市青山湖区昌东工业园沈桥路899号的江西港滋源餐饮管理有限公司单位食堂的热食类食品制售</w:t>
                  </w:r>
                  <w:bookmarkEnd w:id="0"/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注册地址</w:t>
                  </w:r>
                </w:p>
              </w:tc>
              <w:tc>
                <w:tcPr>
                  <w:tcW w:w="5446" w:type="dxa"/>
                </w:tcPr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江西省南昌市青山湖区高新技术产业园沈桥路899号潘湖工业园物管大楼1楼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经营地址</w:t>
                  </w:r>
                </w:p>
              </w:tc>
              <w:tc>
                <w:tcPr>
                  <w:tcW w:w="5446" w:type="dxa"/>
                </w:tcPr>
                <w:p>
                  <w:r>
                    <w:rPr>
                      <w:szCs w:val="21"/>
                    </w:rPr>
                    <w:t>江西省南昌市青山湖区昌东工业园沈桥路899号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临时现场</w:t>
                  </w:r>
                </w:p>
              </w:tc>
              <w:tc>
                <w:tcPr>
                  <w:tcW w:w="544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多场所</w:t>
                  </w:r>
                </w:p>
              </w:tc>
              <w:tc>
                <w:tcPr>
                  <w:tcW w:w="544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组织单元（部门/分支）</w:t>
                  </w:r>
                </w:p>
              </w:tc>
              <w:tc>
                <w:tcPr>
                  <w:tcW w:w="544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与组织结构图一致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分支机构，如： </w:t>
                  </w:r>
                  <w:r>
                    <w:rPr>
                      <w:rFonts w:hint="eastAsia"/>
                      <w:u w:val="single"/>
                    </w:rPr>
                    <w:t xml:space="preserve">                 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临时场所，如： </w:t>
                  </w:r>
                  <w:r>
                    <w:rPr>
                      <w:rFonts w:hint="eastAsia"/>
                      <w:u w:val="single"/>
                    </w:rPr>
                    <w:t xml:space="preserve">            </w:t>
                  </w:r>
                  <w:r>
                    <w:rPr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时间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 体系建立以来，2</w:t>
                  </w:r>
                  <w:r>
                    <w:t>02</w:t>
                  </w:r>
                  <w:r>
                    <w:rPr>
                      <w:rFonts w:hint="eastAsia"/>
                      <w:lang w:val="en-US" w:eastAsia="zh-CN"/>
                    </w:rPr>
                    <w:t>1-01-10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</w:p>
              </w:tc>
              <w:tc>
                <w:tcPr>
                  <w:tcW w:w="168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  <w:vAlign w:val="center"/>
                </w:tcPr>
                <w:p>
                  <w:pPr>
                    <w:rPr>
                      <w:rFonts w:hint="eastAsia" w:eastAsia="宋体"/>
                      <w:szCs w:val="24"/>
                      <w:lang w:eastAsia="zh-CN"/>
                    </w:rPr>
                  </w:pPr>
                  <w:r>
                    <w:rPr>
                      <w:rFonts w:hint="eastAsia"/>
                    </w:rPr>
                    <w:t>不适用ISO9001的条款</w:t>
                  </w: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lang w:val="en-US" w:eastAsia="zh-CN"/>
                    </w:rPr>
                    <w:t>不适用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</w:p>
              </w:tc>
              <w:tc>
                <w:tcPr>
                  <w:tcW w:w="5446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8.3产品和服务的设计和开发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宋体" w:hAnsi="宋体"/>
                    </w:rPr>
                    <w:t>无</w:t>
                  </w:r>
                </w:p>
              </w:tc>
              <w:tc>
                <w:tcPr>
                  <w:tcW w:w="168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不适用的理由（可多选）（不适用）</w:t>
                  </w:r>
                </w:p>
              </w:tc>
              <w:tc>
                <w:tcPr>
                  <w:tcW w:w="5446" w:type="dxa"/>
                  <w:vAlign w:val="center"/>
                </w:tcPr>
                <w:p>
                  <w:r>
                    <w:rPr>
                      <w:rFonts w:hint="eastAsia"/>
                    </w:rPr>
                    <w:t xml:space="preserve">□受审核组织没有设计开发的责任    </w:t>
                  </w:r>
                </w:p>
                <w:p>
                  <w:r>
                    <w:rPr>
                      <w:rFonts w:hint="eastAsia"/>
                    </w:rPr>
                    <w:t xml:space="preserve">□受审核组织没有设计开发的能力   </w:t>
                  </w:r>
                </w:p>
                <w:p>
                  <w:r>
                    <w:rPr>
                      <w:rFonts w:hint="eastAsia"/>
                    </w:rPr>
                    <w:t>□受审核组织没有设计开发修改的权力</w:t>
                  </w:r>
                </w:p>
                <w:p>
                  <w:r>
                    <w:rPr>
                      <w:rFonts w:hint="eastAsia"/>
                    </w:rPr>
                    <w:t>□受审核组织按照顾客图纸和合同要求提供生产和服务</w:t>
                  </w:r>
                </w:p>
                <w:p>
                  <w:r>
                    <w:rPr>
                      <w:rFonts w:hint="eastAsia"/>
                    </w:rPr>
                    <w:t>□受审核组织按照公司总部的技术要求提供生产和服务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受审核组织按照传统工艺提供生产和服务</w:t>
                  </w:r>
                </w:p>
                <w:p>
                  <w:r>
                    <w:rPr>
                      <w:rFonts w:hint="eastAsia"/>
                    </w:rPr>
                    <w:t>□其他：</w:t>
                  </w:r>
                  <w:r>
                    <w:t xml:space="preserve"> </w:t>
                  </w:r>
                </w:p>
              </w:tc>
              <w:tc>
                <w:tcPr>
                  <w:tcW w:w="1686" w:type="dxa"/>
                </w:tcPr>
                <w:p/>
              </w:tc>
            </w:tr>
          </w:tbl>
          <w:p/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在企业的管理手册中有描述。</w:t>
            </w:r>
          </w:p>
        </w:tc>
        <w:tc>
          <w:tcPr>
            <w:tcW w:w="158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4" w:type="dxa"/>
            <w:vMerge w:val="restart"/>
          </w:tcPr>
          <w:p>
            <w:pPr>
              <w:jc w:val="left"/>
            </w:pPr>
            <w:r>
              <w:rPr>
                <w:rFonts w:hint="eastAsia"/>
              </w:rPr>
              <w:t>食品安全管理体系及其过程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F4.4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管理手册第4.4条款、</w:t>
            </w:r>
            <w:r>
              <w:rPr/>
              <w:sym w:font="Wingdings" w:char="00A8"/>
            </w:r>
            <w:r>
              <w:rPr>
                <w:rFonts w:hint="eastAsia"/>
              </w:rPr>
              <w:t>《过程清单》</w:t>
            </w:r>
          </w:p>
        </w:tc>
        <w:tc>
          <w:tcPr>
            <w:tcW w:w="158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4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  <w:gridSpan w:val="2"/>
          </w:tcPr>
          <w:p>
            <w:pPr>
              <w:spacing w:before="40" w:after="40"/>
              <w:rPr>
                <w:lang w:val="en-GB"/>
              </w:rPr>
            </w:pPr>
            <w:r>
              <w:rPr>
                <w:rFonts w:hint="eastAsia"/>
              </w:rPr>
              <w:t>组织对管理体系的过程进行了确认，对输入、输出、</w:t>
            </w:r>
            <w:r>
              <w:rPr>
                <w:rFonts w:hint="eastAsia"/>
                <w:lang w:val="en-GB"/>
              </w:rPr>
              <w:t>顺序及相互</w:t>
            </w:r>
            <w:r>
              <w:rPr>
                <w:rFonts w:hint="eastAsia"/>
              </w:rPr>
              <w:t>作用</w:t>
            </w:r>
            <w:r>
              <w:rPr>
                <w:rFonts w:hint="eastAsia"/>
                <w:lang w:val="en-GB"/>
              </w:rPr>
              <w:t>已被</w:t>
            </w:r>
            <w:r>
              <w:rPr>
                <w:rFonts w:hint="eastAsia"/>
              </w:rPr>
              <w:t>明确</w:t>
            </w:r>
            <w:r>
              <w:rPr>
                <w:rFonts w:hint="eastAsia"/>
                <w:lang w:val="en-GB"/>
              </w:rPr>
              <w:t>地提出并被充分控制。</w:t>
            </w:r>
            <w:r>
              <w:rPr>
                <w:rFonts w:hint="eastAsia"/>
              </w:rPr>
              <w:t>采用了过程方法管理相关管理体系及其过程；</w:t>
            </w:r>
            <w:r>
              <w:rPr>
                <w:rFonts w:hint="eastAsia"/>
                <w:lang w:val="en-GB"/>
              </w:rPr>
              <w:t>用文件化的绩效指标定期评审过程。</w:t>
            </w:r>
          </w:p>
          <w:p>
            <w:pPr>
              <w:spacing w:before="40" w:after="40"/>
              <w:jc w:val="left"/>
            </w:pPr>
          </w:p>
          <w:p>
            <w:pPr>
              <w:spacing w:before="40" w:after="40"/>
              <w:jc w:val="left"/>
            </w:pPr>
            <w:r>
              <w:rPr>
                <w:rFonts w:hint="eastAsia"/>
              </w:rPr>
              <w:t>FSMS：</w:t>
            </w:r>
          </w:p>
          <w:p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影响运行的重要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（</w:t>
            </w:r>
            <w:r>
              <w:rPr>
                <w:rFonts w:hint="eastAsia"/>
                <w:b/>
                <w:bCs/>
              </w:rPr>
              <w:t>不必全选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>
            <w:pPr>
              <w:spacing w:before="40" w:after="40"/>
              <w:ind w:left="210" w:hanging="210" w:hangingChars="100"/>
            </w:pPr>
            <w:r>
              <w:rPr>
                <w:rFonts w:hint="eastAsia"/>
              </w:rPr>
              <w:t xml:space="preserve">☑人员能力管理 ☑危害分析 ☑PRP制订和控制 ☑危害控制计划（OPRP、HACCP）制订和控制 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>□特种设备管理 ☑控制措施组合确认  ☑PRP和危害控制措施的效果验证  □其他</w:t>
            </w:r>
          </w:p>
          <w:p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影响体系运行的外包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（</w:t>
            </w:r>
            <w:r>
              <w:rPr>
                <w:rFonts w:hint="eastAsia"/>
                <w:b/>
                <w:bCs/>
              </w:rPr>
              <w:t>根据实际情况选择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□建立FSMS □危害分析 □制订PRP和OPRP、HACCP计划 □生产/服务过程  □产品运输 </w:t>
            </w:r>
          </w:p>
          <w:p>
            <w:pPr>
              <w:spacing w:before="40" w:after="4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□设备维修   □人员培训 □PRP和OPRP、HACCP验证  ☑其他—</w:t>
            </w:r>
            <w:r>
              <w:rPr>
                <w:rFonts w:hint="eastAsia"/>
                <w:lang w:val="en-US" w:eastAsia="zh-CN"/>
              </w:rPr>
              <w:t>厨余垃圾清运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 </w:t>
            </w:r>
          </w:p>
          <w:p>
            <w:pPr>
              <w:spacing w:before="40" w:after="40"/>
              <w:rPr>
                <w:highlight w:val="cyan"/>
              </w:rPr>
            </w:pPr>
            <w:r>
              <w:rPr>
                <w:rFonts w:hint="eastAsia"/>
                <w:lang w:val="en-GB"/>
              </w:rPr>
              <w:t>组织通过</w:t>
            </w:r>
            <w:r>
              <w:rPr>
                <w:rFonts w:hint="eastAsia"/>
              </w:rPr>
              <w:t>质量/食品安全</w:t>
            </w:r>
            <w:r>
              <w:rPr>
                <w:rFonts w:hint="eastAsia"/>
                <w:lang w:val="en-GB"/>
              </w:rPr>
              <w:t>目标的建立、实施、顾客满意的测量、内审和管理评审等方式，充分地</w:t>
            </w:r>
            <w:r>
              <w:rPr>
                <w:rFonts w:hint="eastAsia"/>
              </w:rPr>
              <w:t>评审，管理及</w:t>
            </w:r>
            <w:r>
              <w:rPr>
                <w:rFonts w:hint="eastAsia"/>
                <w:lang w:val="en-GB"/>
              </w:rPr>
              <w:t>控制这些</w:t>
            </w:r>
            <w:r>
              <w:rPr>
                <w:rFonts w:hint="eastAsia"/>
              </w:rPr>
              <w:t>质量管理体系覆盖的过程</w:t>
            </w:r>
            <w:r>
              <w:rPr>
                <w:rFonts w:hint="eastAsia"/>
                <w:lang w:val="en-GB"/>
              </w:rPr>
              <w:t>和活动</w:t>
            </w:r>
            <w:r>
              <w:rPr>
                <w:rFonts w:hint="eastAsia"/>
              </w:rPr>
              <w:t>。</w:t>
            </w:r>
          </w:p>
        </w:tc>
        <w:tc>
          <w:tcPr>
            <w:tcW w:w="158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4" w:type="dxa"/>
            <w:vMerge w:val="restart"/>
          </w:tcPr>
          <w:p>
            <w:r>
              <w:rPr>
                <w:rFonts w:hint="eastAsia"/>
              </w:rPr>
              <w:t>领导作用与承诺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F5.1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管理手册第5.1条款  和“总经理岗位职责”</w:t>
            </w:r>
          </w:p>
        </w:tc>
        <w:tc>
          <w:tcPr>
            <w:tcW w:w="158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4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  <w:gridSpan w:val="2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与最高管理者沟通其领导作用与承诺：</w:t>
            </w:r>
          </w:p>
          <w:p>
            <w:pPr>
              <w:rPr>
                <w:color w:val="000000"/>
                <w:szCs w:val="21"/>
                <w:shd w:val="clear" w:color="FFFFFF" w:fill="D9D9D9"/>
              </w:rPr>
            </w:pPr>
            <w:r>
              <w:rPr>
                <w:rFonts w:hint="eastAsia"/>
                <w:color w:val="000000"/>
                <w:szCs w:val="21"/>
                <w:shd w:val="clear" w:color="FFFFFF" w:fill="D9D9D9"/>
              </w:rPr>
              <w:t>2018版标准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确保为食品安全管理体系制定食品安全方针和食品安全目标， 并与组织的战略方向相一致；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确保食品安全管理体系要求整合到组织的业务过程中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确保获得食品安全管理体系所需的资源</w:t>
            </w:r>
            <w:r>
              <w:rPr>
                <w:rFonts w:hint="eastAsia"/>
                <w:color w:val="000000"/>
                <w:szCs w:val="21"/>
              </w:rPr>
              <w:t xml:space="preserve">；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沟通有效食品安全管理的重要性， 符合食品安全管理体系要求、 法律法规要求和与食品安全有关的顾客要求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确保对FSMS进行评估和保持，以实现其预期结果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指导和支持员工为食品安全管理体系的有效性做出贡献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推动持续改进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支持其他管理者履行其相关领域的食品安全领导职责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napToGrid w:val="0"/>
              <w:spacing w:line="240" w:lineRule="atLeast"/>
              <w:rPr>
                <w:rFonts w:ascii="黑体" w:eastAsia="黑体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覆盖了标准第5.1章的全面要求，</w:t>
            </w:r>
            <w:r>
              <w:rPr>
                <w:rFonts w:hint="eastAsia"/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未覆盖标准第5.1章的全面要求，缺少：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</w:t>
            </w:r>
          </w:p>
        </w:tc>
        <w:tc>
          <w:tcPr>
            <w:tcW w:w="158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4" w:type="dxa"/>
            <w:vMerge w:val="restart"/>
          </w:tcPr>
          <w:p>
            <w:r>
              <w:rPr>
                <w:rFonts w:hint="eastAsia"/>
              </w:rPr>
              <w:t>食品安全方针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F5.2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管理手册第5.2条款  和“0.8 组织质量和食品安全方针与目标”</w:t>
            </w:r>
          </w:p>
        </w:tc>
        <w:tc>
          <w:tcPr>
            <w:tcW w:w="158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164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  <w:gridSpan w:val="2"/>
          </w:tcPr>
          <w:p>
            <w:pPr>
              <w:rPr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最高管理者制定了文件化的管理体系方针：</w:t>
            </w:r>
          </w:p>
          <w:p>
            <w:pPr>
              <w:widowControl/>
              <w:spacing w:before="40"/>
              <w:jc w:val="left"/>
              <w:rPr>
                <w:b/>
                <w:bCs/>
                <w:u w:val="single"/>
              </w:rPr>
            </w:pPr>
            <w:r>
              <w:rPr>
                <w:rFonts w:hint="eastAsia" w:ascii="宋体" w:hAnsi="宋体" w:cs="宋体"/>
                <w:bCs/>
                <w:szCs w:val="21"/>
                <w:u w:val="single"/>
              </w:rPr>
              <w:t>用心烹饪，做好餐品，确保食品安全；持续改进，顾客满意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适应组织的宗旨和环境并支持其战略方向</w:t>
            </w:r>
          </w:p>
          <w:p>
            <w:pPr>
              <w:rPr>
                <w:lang w:val="en-GB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val="en-GB"/>
              </w:rPr>
              <w:t>质量</w:t>
            </w:r>
            <w:r>
              <w:rPr>
                <w:rFonts w:hint="eastAsia"/>
              </w:rPr>
              <w:t>/食品安全</w:t>
            </w:r>
            <w:r>
              <w:rPr>
                <w:rFonts w:hint="eastAsia"/>
                <w:lang w:val="en-GB"/>
              </w:rPr>
              <w:t>方针合理恰当并为相应的质量</w:t>
            </w:r>
            <w:r>
              <w:rPr>
                <w:rFonts w:hint="eastAsia"/>
              </w:rPr>
              <w:t>/食品安全</w:t>
            </w:r>
            <w:r>
              <w:rPr>
                <w:rFonts w:hint="eastAsia"/>
                <w:lang w:val="en-GB"/>
              </w:rPr>
              <w:t>目标提供了框架。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包括满足适用要求的承诺； </w:t>
            </w:r>
          </w:p>
          <w:p>
            <w:r>
              <w:rPr>
                <w:rFonts w:hint="eastAsia"/>
              </w:rPr>
              <w:t>☑包括满足适用食品安全要求的承诺，包括立法/执法要求和顾客的相互同意的食品安全要求（FSMS）</w:t>
            </w:r>
          </w:p>
          <w:p>
            <w:pPr>
              <w:rPr>
                <w:lang w:val="en-GB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包括持续改进质量管理体系的承诺</w:t>
            </w:r>
          </w:p>
          <w:p>
            <w:r>
              <w:rPr>
                <w:rFonts w:hint="eastAsia"/>
              </w:rPr>
              <w:t>☑应对内部和外部沟通（FSMS）</w:t>
            </w:r>
          </w:p>
          <w:p>
            <w:r>
              <w:rPr>
                <w:rFonts w:hint="eastAsia"/>
              </w:rPr>
              <w:t>☑解决需求确保食品安全相关的能力（FSMS）</w:t>
            </w:r>
          </w:p>
          <w:p/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在组织内得到沟通、理解和应用，通过：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展板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标语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会议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文件发放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在相关方有需要时提供。通过：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网站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宣传册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8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4" w:type="dxa"/>
            <w:vMerge w:val="restart"/>
          </w:tcPr>
          <w:p>
            <w:r>
              <w:rPr>
                <w:rFonts w:hint="eastAsia"/>
              </w:rPr>
              <w:t>组织的岗位、职责和权限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F5.3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管理手册第5.3条款</w:t>
            </w:r>
          </w:p>
        </w:tc>
        <w:tc>
          <w:tcPr>
            <w:tcW w:w="158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4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  <w:gridSpan w:val="2"/>
          </w:tcPr>
          <w:p>
            <w:r>
              <w:rPr>
                <w:rFonts w:hint="eastAsia"/>
              </w:rPr>
              <w:t>最高管理者确定了组织架构及相关岗位的职责、权限，并进行了全员的沟通和理解；</w:t>
            </w:r>
          </w:p>
          <w:p>
            <w:r>
              <w:rPr>
                <w:rFonts w:hint="eastAsia"/>
              </w:rPr>
              <w:t>如：</w:t>
            </w:r>
          </w:p>
          <w:p/>
          <w:p>
            <w:r>
              <w:rPr>
                <w:rFonts w:hint="eastAsia"/>
              </w:rPr>
              <w:t>FSMS: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60"/>
              <w:gridCol w:w="2261"/>
              <w:gridCol w:w="2261"/>
              <w:gridCol w:w="2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主管部门名称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主管部门名称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食品安全管理体系策划和推动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食品安全小组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OPRP和HACCP的实施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食品安全小组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采购控制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业务部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FSMS验证和确认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食品安全小组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人员健康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行</w:t>
                  </w:r>
                  <w:r>
                    <w:t>政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基础设施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厨</w:t>
                  </w:r>
                  <w:r>
                    <w:t>务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/>
              </w:tc>
              <w:tc>
                <w:tcPr>
                  <w:tcW w:w="2261" w:type="dxa"/>
                </w:tcPr>
                <w:p/>
              </w:tc>
              <w:tc>
                <w:tcPr>
                  <w:tcW w:w="2261" w:type="dxa"/>
                </w:tcPr>
                <w:p/>
              </w:tc>
              <w:tc>
                <w:tcPr>
                  <w:tcW w:w="2261" w:type="dxa"/>
                </w:tcPr>
                <w:p/>
              </w:tc>
            </w:tr>
          </w:tbl>
          <w:p/>
        </w:tc>
        <w:tc>
          <w:tcPr>
            <w:tcW w:w="158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2164" w:type="dxa"/>
          </w:tcPr>
          <w:p/>
        </w:tc>
        <w:tc>
          <w:tcPr>
            <w:tcW w:w="960" w:type="dxa"/>
          </w:tcPr>
          <w:p/>
        </w:tc>
        <w:tc>
          <w:tcPr>
            <w:tcW w:w="745" w:type="dxa"/>
          </w:tcPr>
          <w:p/>
        </w:tc>
        <w:tc>
          <w:tcPr>
            <w:tcW w:w="9256" w:type="dxa"/>
            <w:gridSpan w:val="2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食品安全小组组长：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钟</w:t>
            </w:r>
            <w:r>
              <w:rPr>
                <w:rFonts w:ascii="宋体" w:hAnsi="宋体"/>
                <w:szCs w:val="21"/>
                <w:u w:val="single"/>
              </w:rPr>
              <w:t>华建</w:t>
            </w:r>
            <w:r>
              <w:rPr>
                <w:rFonts w:hint="eastAsia"/>
                <w:u w:val="single"/>
              </w:rPr>
              <w:t xml:space="preserve">先生 </w:t>
            </w:r>
          </w:p>
          <w:p>
            <w:r>
              <w:t>食品安全组长负责：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确保FSMS的建立、实施、维护和更新；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管理和组织食品安全小组的工作；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确保食品安全团队的相关培训和能力；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向最高管理层报告FSMS的有效性和适宜性。</w:t>
            </w:r>
          </w:p>
          <w:p/>
          <w:p>
            <w:r>
              <w:t>所有人员有责任向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食品安全组长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食品安全小组成员 </w:t>
            </w:r>
            <w:r>
              <w:t>报告与FSMS有关的问题</w:t>
            </w:r>
            <w:r>
              <w:rPr>
                <w:rFonts w:hint="eastAsia"/>
              </w:rPr>
              <w:t>。</w:t>
            </w:r>
          </w:p>
        </w:tc>
        <w:tc>
          <w:tcPr>
            <w:tcW w:w="158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4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应对风险和机遇的措施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F6.1.1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风险和机遇</w:t>
            </w:r>
            <w:r>
              <w:rPr>
                <w:rFonts w:hint="eastAsia"/>
              </w:rPr>
              <w:t>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管理手册第6.1条款</w:t>
            </w:r>
          </w:p>
        </w:tc>
        <w:tc>
          <w:tcPr>
            <w:tcW w:w="158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2164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  <w:gridSpan w:val="2"/>
          </w:tcPr>
          <w:p>
            <w:r>
              <w:rPr>
                <w:rFonts w:hint="eastAsia"/>
              </w:rPr>
              <w:t>分析风险的方法：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头脑风暴法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FMEA（潜在失效模式分析）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应对风险的措施类型包括：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规避风险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为寻求机遇承担风险、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消除风险源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改变风险的可能性和后果、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分担风险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通过信息充分的决策而保留风险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/>
          <w:p>
            <w:r>
              <w:rPr>
                <w:rFonts w:hint="eastAsia"/>
              </w:rPr>
              <w:t xml:space="preserve">列举2~3项应对主要风险的描述：         </w:t>
            </w:r>
          </w:p>
          <w:tbl>
            <w:tblPr>
              <w:tblStyle w:val="7"/>
              <w:tblpPr w:leftFromText="180" w:rightFromText="180" w:vertAnchor="text" w:horzAnchor="page" w:tblpX="97" w:tblpY="208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05"/>
              <w:gridCol w:w="4400"/>
              <w:gridCol w:w="17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5" w:type="dxa"/>
                </w:tcPr>
                <w:p>
                  <w:r>
                    <w:rPr>
                      <w:rFonts w:hint="eastAsia"/>
                    </w:rPr>
                    <w:t>主要的风险描述</w:t>
                  </w:r>
                </w:p>
              </w:tc>
              <w:tc>
                <w:tcPr>
                  <w:tcW w:w="4400" w:type="dxa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应对措施</w:t>
                  </w:r>
                </w:p>
              </w:tc>
              <w:tc>
                <w:tcPr>
                  <w:tcW w:w="1717" w:type="dxa"/>
                </w:tcPr>
                <w:p>
                  <w:r>
                    <w:rPr>
                      <w:rFonts w:hint="eastAsia"/>
                    </w:rPr>
                    <w:t>措施的有效性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5" w:type="dxa"/>
                  <w:vAlign w:val="center"/>
                </w:tcPr>
                <w:p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市场竞争加剧带来的成本压力会引发风险；竞争会促进公司管理的提升</w:t>
                  </w:r>
                </w:p>
              </w:tc>
              <w:tc>
                <w:tcPr>
                  <w:tcW w:w="4400" w:type="dxa"/>
                </w:tcPr>
                <w:p>
                  <w:r>
                    <w:rPr>
                      <w:rFonts w:hint="eastAsia" w:ascii="宋体" w:hAnsi="宋体"/>
                      <w:szCs w:val="21"/>
                    </w:rPr>
                    <w:t>业务负责通过网络，行业交流会、顾客沟通等分析同行业设计的竞争情况，包括价格、质量、服务等</w:t>
                  </w:r>
                </w:p>
              </w:tc>
              <w:tc>
                <w:tcPr>
                  <w:tcW w:w="1717" w:type="dxa"/>
                </w:tcPr>
                <w:p>
                  <w:r>
                    <w:rPr>
                      <w:rFonts w:hint="eastAsia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5" w:type="dxa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管理团队经验的不足；管理团队更好的学习能力；采购人员、服务人员，技术人员，由于他们的疏忽导致的风险，以及各岗位主要人员的离职等风险。</w:t>
                  </w:r>
                </w:p>
              </w:tc>
              <w:tc>
                <w:tcPr>
                  <w:tcW w:w="4400" w:type="dxa"/>
                </w:tcPr>
                <w:p>
                  <w:pPr>
                    <w:snapToGrid w:val="0"/>
                    <w:spacing w:line="360" w:lineRule="exact"/>
                    <w:jc w:val="left"/>
                  </w:pPr>
                  <w:r>
                    <w:rPr>
                      <w:rFonts w:hint="eastAsia" w:ascii="宋体" w:hAnsi="宋体"/>
                      <w:szCs w:val="21"/>
                    </w:rPr>
                    <w:t>行政部组织管理层的管理体系等再培训，通过自学/外培等方式进一步提高管理团队经验，通过培训，人员质量意识提高，做到敬业。</w:t>
                  </w:r>
                </w:p>
              </w:tc>
              <w:tc>
                <w:tcPr>
                  <w:tcW w:w="1717" w:type="dxa"/>
                </w:tcPr>
                <w:p>
                  <w:r>
                    <w:rPr>
                      <w:rFonts w:hint="eastAsia"/>
                    </w:rPr>
                    <w:t>基本有效</w:t>
                  </w:r>
                </w:p>
              </w:tc>
            </w:tr>
          </w:tbl>
          <w:p/>
          <w:p>
            <w:r>
              <w:rPr>
                <w:rFonts w:hint="eastAsia"/>
              </w:rPr>
              <w:t xml:space="preserve">应对机遇的措施类型包括：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采用新实践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推出新产品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开辟新市场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赢得新顾客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建立合作伙伴关系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利用新技术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列举2~3项应对重要机遇的描述：</w:t>
            </w:r>
          </w:p>
          <w:tbl>
            <w:tblPr>
              <w:tblStyle w:val="7"/>
              <w:tblpPr w:leftFromText="180" w:rightFromText="180" w:vertAnchor="text" w:horzAnchor="page" w:tblpX="106" w:tblpY="206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34"/>
              <w:gridCol w:w="3913"/>
              <w:gridCol w:w="17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</w:trPr>
              <w:tc>
                <w:tcPr>
                  <w:tcW w:w="3034" w:type="dxa"/>
                </w:tcPr>
                <w:p>
                  <w:r>
                    <w:rPr>
                      <w:rFonts w:hint="eastAsia"/>
                    </w:rPr>
                    <w:t>主要的机遇描述</w:t>
                  </w:r>
                </w:p>
              </w:tc>
              <w:tc>
                <w:tcPr>
                  <w:tcW w:w="3913" w:type="dxa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应对措施</w:t>
                  </w:r>
                </w:p>
              </w:tc>
              <w:tc>
                <w:tcPr>
                  <w:tcW w:w="1752" w:type="dxa"/>
                </w:tcPr>
                <w:p>
                  <w:r>
                    <w:rPr>
                      <w:rFonts w:hint="eastAsia"/>
                    </w:rPr>
                    <w:t>措施的有效性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50" w:hRule="atLeast"/>
              </w:trPr>
              <w:tc>
                <w:tcPr>
                  <w:tcW w:w="3034" w:type="dxa"/>
                </w:tcPr>
                <w:p>
                  <w:r>
                    <w:rPr>
                      <w:rFonts w:hint="eastAsia"/>
                    </w:rPr>
                    <w:t>不断开发新产品，增加新的客户</w:t>
                  </w:r>
                </w:p>
              </w:tc>
              <w:tc>
                <w:tcPr>
                  <w:tcW w:w="3913" w:type="dxa"/>
                </w:tcPr>
                <w:p>
                  <w:r>
                    <w:rPr>
                      <w:rFonts w:hint="eastAsia"/>
                    </w:rPr>
                    <w:t>持续贯彻实施的“厨房4D管理标准”在组织内推行质量、食品安全管理体系，加强规范化管理</w:t>
                  </w:r>
                </w:p>
              </w:tc>
              <w:tc>
                <w:tcPr>
                  <w:tcW w:w="1752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t>基本有效</w:t>
                  </w:r>
                </w:p>
              </w:tc>
            </w:tr>
          </w:tbl>
          <w:p/>
          <w:p/>
          <w:p>
            <w:r>
              <w:rPr>
                <w:rFonts w:hint="eastAsia"/>
              </w:rPr>
              <w:t>FSMS</w:t>
            </w:r>
          </w:p>
          <w:p>
            <w:pPr>
              <w:jc w:val="left"/>
            </w:pPr>
            <w:r>
              <w:rPr>
                <w:rFonts w:hint="eastAsia"/>
              </w:rPr>
              <w:t>组织食品安全管理体系范围内的潜在紧急情况，如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法规未识别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违规操作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其他                     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可能具有食品安全危害的潜在紧急情况，如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食物中毒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停水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停电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 停蒸汽   </w:t>
            </w:r>
          </w:p>
          <w:p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 制冷设备故障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车辆故障 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其他—食品供应链的突变            </w:t>
            </w:r>
          </w:p>
          <w:p/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确保FSMS 能够达到其预期结果;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提高理想效果;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防止或减少不良后果;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实现持续改进。</w:t>
            </w:r>
          </w:p>
        </w:tc>
        <w:tc>
          <w:tcPr>
            <w:tcW w:w="158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2164" w:type="dxa"/>
            <w:vMerge w:val="restart"/>
          </w:tcPr>
          <w:p/>
        </w:tc>
        <w:tc>
          <w:tcPr>
            <w:tcW w:w="960" w:type="dxa"/>
          </w:tcPr>
          <w:p>
            <w:r>
              <w:rPr>
                <w:rFonts w:hint="eastAsia"/>
                <w:color w:val="000000"/>
                <w:szCs w:val="21"/>
              </w:rPr>
              <w:t>F6.1.2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  <w:gridSpan w:val="2"/>
          </w:tcPr>
          <w:p>
            <w:pPr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该组织策划了：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a) 解决这些风险和机遇的行动;——企业提供了《应对机遇和风险措施清单》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b) 并进行了: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1) 将行动整合并实施到其FSMS流程中;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2) 评估这些行动的有效性。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 </w:t>
            </w:r>
          </w:p>
        </w:tc>
        <w:tc>
          <w:tcPr>
            <w:tcW w:w="1589" w:type="dxa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164" w:type="dxa"/>
            <w:vMerge w:val="continue"/>
          </w:tcPr>
          <w:p>
            <w:pPr>
              <w:rPr>
                <w:highlight w:val="yellow"/>
              </w:rPr>
            </w:pPr>
          </w:p>
        </w:tc>
        <w:tc>
          <w:tcPr>
            <w:tcW w:w="960" w:type="dxa"/>
          </w:tcPr>
          <w:p>
            <w:r>
              <w:rPr>
                <w:rFonts w:hint="eastAsia"/>
                <w:color w:val="000000"/>
                <w:szCs w:val="21"/>
              </w:rPr>
              <w:t>F6.1.3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  <w:gridSpan w:val="2"/>
          </w:tcPr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该组织为应对风险和机遇而采取的行动与以下方面相称：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 xml:space="preserve">a) 对食品安全要求的影响;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b) 为顾客提供一致的食品产品与服务;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  <w:p>
            <w:pPr>
              <w:jc w:val="left"/>
            </w:pPr>
            <w:r>
              <w:rPr>
                <w:rFonts w:hint="eastAsia" w:ascii="CIDFont+F5" w:hAnsi="CIDFont+F5" w:eastAsia="CIDFont+F5"/>
              </w:rPr>
              <w:t xml:space="preserve">c) 食品链中相关方的要求。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</w:tc>
        <w:tc>
          <w:tcPr>
            <w:tcW w:w="1589" w:type="dxa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4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质量/食品安全目标及其实现的策划</w:t>
            </w:r>
          </w:p>
          <w:p/>
        </w:tc>
        <w:tc>
          <w:tcPr>
            <w:tcW w:w="9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质量和食品安全目标分解及完成情况考核表</w:t>
            </w:r>
            <w:r>
              <w:rPr>
                <w:rFonts w:hint="eastAsia"/>
              </w:rPr>
              <w:t>》</w:t>
            </w:r>
          </w:p>
        </w:tc>
        <w:tc>
          <w:tcPr>
            <w:tcW w:w="158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4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  <w:gridSpan w:val="2"/>
          </w:tcPr>
          <w:p>
            <w:r>
              <w:rPr>
                <w:rFonts w:hint="eastAsia"/>
              </w:rPr>
              <w:t>组织建立了与方针一致的文件化的管理目标。为实现总的质量</w:t>
            </w:r>
            <w:r>
              <w:rPr>
                <w:rFonts w:hint="eastAsia" w:ascii="宋体" w:hAnsi="宋体"/>
                <w:szCs w:val="21"/>
              </w:rPr>
              <w:t>/食品安全</w:t>
            </w:r>
            <w:r>
              <w:rPr>
                <w:rFonts w:hint="eastAsia"/>
              </w:rPr>
              <w:t>目标而建立的各层级质量</w:t>
            </w:r>
            <w:r>
              <w:rPr>
                <w:rFonts w:hint="eastAsia" w:ascii="宋体" w:hAnsi="宋体"/>
                <w:szCs w:val="21"/>
              </w:rPr>
              <w:t>/食品安全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总质量</w:t>
            </w:r>
            <w:r>
              <w:rPr>
                <w:rFonts w:hint="eastAsia" w:ascii="宋体" w:hAnsi="宋体"/>
                <w:szCs w:val="21"/>
              </w:rPr>
              <w:t>/食品安全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81"/>
              <w:gridCol w:w="2445"/>
              <w:gridCol w:w="1751"/>
              <w:gridCol w:w="22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81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质量/食品安全目标</w:t>
                  </w:r>
                </w:p>
              </w:tc>
              <w:tc>
                <w:tcPr>
                  <w:tcW w:w="244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计算方法</w:t>
                  </w:r>
                </w:p>
              </w:tc>
              <w:tc>
                <w:tcPr>
                  <w:tcW w:w="1751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责任部门</w:t>
                  </w:r>
                </w:p>
              </w:tc>
              <w:tc>
                <w:tcPr>
                  <w:tcW w:w="2227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目标实际完成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2021.01-2021.05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81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饭菜质量抽检合格率≧98%</w:t>
                  </w: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  <w:lang w:val="en-GB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GB"/>
                    </w:rPr>
                    <w:t>餐饮服务合格数/餐饮服务总数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×</w:t>
                  </w:r>
                  <w:r>
                    <w:rPr>
                      <w:rFonts w:asciiTheme="minorEastAsia" w:hAnsiTheme="minorEastAsia" w:eastAsiaTheme="minorEastAsia"/>
                      <w:szCs w:val="21"/>
                    </w:rPr>
                    <w:t>100%</w:t>
                  </w:r>
                </w:p>
              </w:tc>
              <w:tc>
                <w:tcPr>
                  <w:tcW w:w="1751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  <w:lang w:val="en-GB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厨务部</w:t>
                  </w:r>
                </w:p>
              </w:tc>
              <w:tc>
                <w:tcPr>
                  <w:tcW w:w="222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Cs w:val="21"/>
                      <w:lang w:val="en-GB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98%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81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kern w:val="0"/>
                      <w:szCs w:val="21"/>
                    </w:rPr>
                    <w:t>顾客投诉每月不多于3宗</w:t>
                  </w:r>
                </w:p>
              </w:tc>
              <w:tc>
                <w:tcPr>
                  <w:tcW w:w="2445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napToGrid w:val="0"/>
                      <w:kern w:val="0"/>
                      <w:szCs w:val="21"/>
                    </w:rPr>
                    <w:t>顾客满意度=调查单位中满意总分数÷调查单位数×100%</w:t>
                  </w:r>
                </w:p>
              </w:tc>
              <w:tc>
                <w:tcPr>
                  <w:tcW w:w="1751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szCs w:val="21"/>
                    </w:rPr>
                    <w:t>业</w:t>
                  </w:r>
                  <w:r>
                    <w:rPr>
                      <w:rFonts w:cs="宋体" w:asciiTheme="minorEastAsia" w:hAnsiTheme="minorEastAsia" w:eastAsiaTheme="minorEastAsia"/>
                      <w:szCs w:val="21"/>
                    </w:rPr>
                    <w:t>务</w:t>
                  </w:r>
                  <w:r>
                    <w:rPr>
                      <w:rFonts w:hint="eastAsia" w:cs="宋体" w:asciiTheme="minorEastAsia" w:hAnsiTheme="minorEastAsia" w:eastAsiaTheme="minorEastAsia"/>
                      <w:szCs w:val="21"/>
                    </w:rPr>
                    <w:t>部</w:t>
                  </w:r>
                </w:p>
              </w:tc>
              <w:tc>
                <w:tcPr>
                  <w:tcW w:w="2227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rFonts w:asciiTheme="minorEastAsia" w:hAnsiTheme="minorEastAsia" w:eastAsia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szCs w:val="21"/>
                    </w:rPr>
                    <w:t>99.4%</w:t>
                  </w:r>
                </w:p>
              </w:tc>
            </w:tr>
          </w:tbl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4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变更的策划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F6.3   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手册第6.3章</w:t>
            </w:r>
          </w:p>
        </w:tc>
        <w:tc>
          <w:tcPr>
            <w:tcW w:w="158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4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  <w:gridSpan w:val="2"/>
          </w:tcPr>
          <w:p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组织对相关管理体系进行变更时，变更应按所策划的方式实施；审核周期内的重大变更有：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□组织结构变更 □部门职责变更 □主要原材料 □关键人员 □生产工艺/服务流程 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□主要设备设施 □主要检测设备 </w:t>
            </w:r>
            <w:r>
              <w:rPr/>
              <w:sym w:font="Wingdings" w:char="00FE"/>
            </w:r>
            <w:r>
              <w:rPr>
                <w:rFonts w:hint="eastAsia"/>
              </w:rPr>
              <w:t>其他——体系建立以来未发生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6"/>
              <w:gridCol w:w="3632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体系变更的内容说明</w:t>
                  </w:r>
                </w:p>
              </w:tc>
              <w:tc>
                <w:tcPr>
                  <w:tcW w:w="3632" w:type="dxa"/>
                </w:tcPr>
                <w:p/>
              </w:tc>
              <w:tc>
                <w:tcPr>
                  <w:tcW w:w="301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评价内容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评价具体描述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变更目的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其潜在后果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质量管理体系的完整性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资源的可获得性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职责和权限的分配或再分配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</w:tbl>
          <w:p/>
        </w:tc>
        <w:tc>
          <w:tcPr>
            <w:tcW w:w="158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4" w:type="dxa"/>
            <w:vMerge w:val="restart"/>
          </w:tcPr>
          <w:p>
            <w:r>
              <w:rPr>
                <w:rFonts w:hint="eastAsia"/>
              </w:rPr>
              <w:t>资源（总则）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F7.1.1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  <w:gridSpan w:val="2"/>
          </w:tcPr>
          <w:p>
            <w:r>
              <w:rPr>
                <w:rFonts w:hint="eastAsia"/>
              </w:rPr>
              <w:t>如：管理手册第7.1章</w:t>
            </w:r>
          </w:p>
        </w:tc>
        <w:tc>
          <w:tcPr>
            <w:tcW w:w="158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4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  <w:gridSpan w:val="2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和最高管理层确定并提供所需的资源，以建立、实施、保持和持续改进质量管理体系。 </w:t>
            </w:r>
          </w:p>
          <w:p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现有内部资源的能力；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建筑面积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200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平方米；生产车间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0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个；后厨加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工区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个；大堂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个；暂存库房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个；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主要生产设备有：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灶台、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>豪华蒸饭柜</w:t>
            </w:r>
            <w:r>
              <w:rPr>
                <w:rFonts w:hint="eastAsia"/>
                <w:szCs w:val="21"/>
                <w:u w:val="single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>消毒柜、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四门冷柜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（列举2~4种）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改建/扩建施工现场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其他——不涉及 </w:t>
            </w:r>
          </w:p>
          <w:p/>
          <w:p>
            <w:r>
              <w:rPr>
                <w:rFonts w:hint="eastAsia"/>
              </w:rPr>
              <w:t>特种设备：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压力容器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不适用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特种设备管理：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进行了定期检验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未进行定期检验的有： </w:t>
            </w:r>
            <w:r>
              <w:rPr>
                <w:rFonts w:hint="eastAsia"/>
                <w:u w:val="single"/>
              </w:rPr>
              <w:t xml:space="preserve">   不涉及       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numPr>
                <w:ilvl w:val="0"/>
                <w:numId w:val="2"/>
              </w:num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还存在哪些局限和不足：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   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  <w:szCs w:val="21"/>
              </w:rPr>
              <w:t>需要从外部供方获得的资源：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厨</w:t>
            </w:r>
            <w:r>
              <w:rPr>
                <w:u w:val="single"/>
              </w:rPr>
              <w:t>余垃圾清</w:t>
            </w:r>
            <w:r>
              <w:rPr>
                <w:rFonts w:hint="eastAsia"/>
                <w:u w:val="single"/>
              </w:rPr>
              <w:t>理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                           </w:t>
            </w:r>
          </w:p>
        </w:tc>
        <w:tc>
          <w:tcPr>
            <w:tcW w:w="158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4" w:type="dxa"/>
            <w:vMerge w:val="restart"/>
          </w:tcPr>
          <w:p>
            <w:r>
              <w:rPr>
                <w:rFonts w:hint="eastAsia"/>
              </w:rPr>
              <w:t xml:space="preserve">沟通  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F7.4 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  <w:gridSpan w:val="2"/>
          </w:tcPr>
          <w:p>
            <w:r>
              <w:rPr>
                <w:rFonts w:hint="eastAsia"/>
              </w:rPr>
              <w:t>如：管理手册第7.4条款、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《内外部沟通控制程序》</w:t>
            </w:r>
          </w:p>
        </w:tc>
        <w:tc>
          <w:tcPr>
            <w:tcW w:w="158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4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  <w:gridSpan w:val="2"/>
          </w:tcPr>
          <w:p>
            <w:r>
              <w:rPr>
                <w:rFonts w:hint="eastAsia"/>
              </w:rPr>
              <w:t>组织考虑了合规义务，确保质量/食品安全信息与质量/食品安全管理体系形成的信息一致且真实可信。一般由办公室负责。</w:t>
            </w:r>
          </w:p>
          <w:p>
            <w:r>
              <w:rPr>
                <w:rFonts w:hint="eastAsia"/>
              </w:rPr>
              <w:t>外部沟通的控制对象：</w:t>
            </w:r>
            <w:r>
              <w:rPr>
                <w:rFonts w:hint="eastAsia"/>
                <w:color w:val="000000"/>
                <w:szCs w:val="21"/>
              </w:rPr>
              <w:t xml:space="preserve">☑市场监督管理局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消防大队 ☑顾客 ☑供方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外包方 □网站</w:t>
            </w:r>
          </w:p>
          <w:p/>
          <w:p>
            <w:r>
              <w:rPr>
                <w:rFonts w:hint="eastAsia"/>
              </w:rPr>
              <w:t>内部沟通的控制方式：</w:t>
            </w:r>
            <w:r>
              <w:rPr>
                <w:rFonts w:hint="eastAsia"/>
                <w:color w:val="000000"/>
                <w:szCs w:val="21"/>
              </w:rPr>
              <w:t xml:space="preserve">☑会议 ☑表单传递 ☑微信 ☑QQ ☑展板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标语</w:t>
            </w:r>
          </w:p>
        </w:tc>
        <w:tc>
          <w:tcPr>
            <w:tcW w:w="1589" w:type="dxa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4" w:type="dxa"/>
            <w:vMerge w:val="restart"/>
          </w:tcPr>
          <w:p>
            <w:r>
              <w:rPr>
                <w:rFonts w:hint="eastAsia"/>
              </w:rPr>
              <w:t>监视、测量、分析和评价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F9.1.1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  <w:gridSpan w:val="2"/>
          </w:tcPr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管理手册9.1.1条款</w:t>
            </w:r>
          </w:p>
        </w:tc>
        <w:tc>
          <w:tcPr>
            <w:tcW w:w="158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4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  <w:gridSpan w:val="2"/>
          </w:tcPr>
          <w:p>
            <w:r>
              <w:rPr>
                <w:rFonts w:hint="eastAsia"/>
              </w:rPr>
              <w:t>组织对监视和测量的质量食品安全绩效：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3"/>
              <w:gridCol w:w="2456"/>
              <w:gridCol w:w="1867"/>
              <w:gridCol w:w="1809"/>
              <w:gridCol w:w="17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监视和测量的对象</w:t>
                  </w:r>
                </w:p>
              </w:tc>
              <w:tc>
                <w:tcPr>
                  <w:tcW w:w="245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监视、测量、分析和评价的方法</w:t>
                  </w:r>
                </w:p>
              </w:tc>
              <w:tc>
                <w:tcPr>
                  <w:tcW w:w="1867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监视和测量的频次和时机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评价其质量/食品安全绩效所依据的准则和适当的参数</w:t>
                  </w:r>
                </w:p>
              </w:tc>
              <w:tc>
                <w:tcPr>
                  <w:tcW w:w="173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分析和评价的频次和时机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水质和餐具检测</w:t>
                  </w:r>
                </w:p>
              </w:tc>
              <w:tc>
                <w:tcPr>
                  <w:tcW w:w="245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送第三方检测</w:t>
                  </w:r>
                </w:p>
              </w:tc>
              <w:tc>
                <w:tcPr>
                  <w:tcW w:w="18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 □</w:t>
                  </w:r>
                  <w:r>
                    <w:rPr>
                      <w:rFonts w:hint="eastAsia"/>
                      <w:szCs w:val="21"/>
                    </w:rPr>
                    <w:t>其他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GB5749-2006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GB14934-2016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成品</w:t>
                  </w:r>
                </w:p>
              </w:tc>
              <w:tc>
                <w:tcPr>
                  <w:tcW w:w="245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送第三方检测</w:t>
                  </w:r>
                </w:p>
              </w:tc>
              <w:tc>
                <w:tcPr>
                  <w:tcW w:w="186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 □</w:t>
                  </w:r>
                  <w:r>
                    <w:rPr>
                      <w:rFonts w:hint="eastAsia"/>
                      <w:szCs w:val="21"/>
                    </w:rPr>
                    <w:t>其他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相关国家标准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过程</w:t>
                  </w:r>
                </w:p>
              </w:tc>
              <w:tc>
                <w:tcPr>
                  <w:tcW w:w="245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现场巡视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抽查记录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对目标、供方业绩、过程业绩、满意度进行统计</w:t>
                  </w:r>
                </w:p>
              </w:tc>
              <w:tc>
                <w:tcPr>
                  <w:tcW w:w="1867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定期检查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抽查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SSOP、GMP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程序文件要求等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体系</w:t>
                  </w:r>
                </w:p>
              </w:tc>
              <w:tc>
                <w:tcPr>
                  <w:tcW w:w="245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内部审核；对内审不符合项进行分析</w:t>
                  </w:r>
                </w:p>
              </w:tc>
              <w:tc>
                <w:tcPr>
                  <w:tcW w:w="1867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按年度内审计划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特殊情况增加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ISO22000：2018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体系有效性</w:t>
                  </w:r>
                </w:p>
              </w:tc>
              <w:tc>
                <w:tcPr>
                  <w:tcW w:w="245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管理评审，对QMS/FSMS存在的需要问题进行分析</w:t>
                  </w:r>
                </w:p>
              </w:tc>
              <w:tc>
                <w:tcPr>
                  <w:tcW w:w="1867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特殊情况增加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ISO22000：2018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相关方反馈</w:t>
                  </w:r>
                </w:p>
              </w:tc>
              <w:tc>
                <w:tcPr>
                  <w:tcW w:w="2456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反馈处理，对问题进行统计</w:t>
                  </w:r>
                </w:p>
              </w:tc>
              <w:tc>
                <w:tcPr>
                  <w:tcW w:w="1867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按企业程序文件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</w:tbl>
          <w:p/>
        </w:tc>
        <w:tc>
          <w:tcPr>
            <w:tcW w:w="158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64" w:type="dxa"/>
            <w:vMerge w:val="restart"/>
          </w:tcPr>
          <w:p>
            <w:r>
              <w:rPr>
                <w:rFonts w:hint="eastAsia"/>
              </w:rPr>
              <w:t>管理评审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F9.3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《管理评审控制程序》 </w:t>
            </w:r>
          </w:p>
        </w:tc>
        <w:tc>
          <w:tcPr>
            <w:tcW w:w="158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64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  <w:gridSpan w:val="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</w:t>
            </w:r>
            <w:r>
              <w:rPr/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4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30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21"/>
              </w:rPr>
              <w:t>☑管理评审计划  ☑管理评审记录（工作总结）  □管理评审纪要  ☑管理评审报告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58"/>
              <w:gridCol w:w="1869"/>
              <w:gridCol w:w="28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管理评审输入信息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评价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问题描述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以往管理评审所采取措施的情况；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体系建立以来，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本次评审为第一次评审，无以往评审的跟踪措施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color w:val="000000"/>
                      <w:szCs w:val="21"/>
                    </w:rPr>
                    <w:t>组织所处形势的变化</w:t>
                  </w:r>
                  <w:r>
                    <w:rPr>
                      <w:rFonts w:hint="eastAsia"/>
                    </w:rPr>
                    <w:t>；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发生的紧急情况、事故或撤回；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与食品安全管理体系有关的内部和外部因素变化，包括顾客和顾客投诉；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食品安全绩效和食品安全管理体系不符合和纠正措施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监视和测量结果及趋势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审核结果（内部和外部） 包括执法检查结果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与PRP、 OPRP计划和HACCP计划有关的验证活动结果的分析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实现食品安全管理体系目标的程度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外部供方绩效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体系更新活动的评审结果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顾客反馈的沟通活动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紧急情况、 事故或撤回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持续改进的机会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资源的充分性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为应对风险和机遇所采取措施的有效性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</w:tbl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highlight w:val="cyan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对食品安全管理体系的持续适宜性，充分性，有效性的结论。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满足</w:t>
            </w:r>
            <w:r>
              <w:rPr>
                <w:rFonts w:hint="eastAsia"/>
                <w:color w:val="000000"/>
                <w:szCs w:val="21"/>
              </w:rPr>
              <w:t xml:space="preserve"> □</w:t>
            </w:r>
            <w:r>
              <w:rPr>
                <w:rFonts w:hint="eastAsia"/>
              </w:rPr>
              <w:t>不满足，说明</w:t>
            </w:r>
            <w:r>
              <w:rPr>
                <w:rFonts w:hint="eastAsia"/>
                <w:u w:val="single"/>
              </w:rPr>
              <w:t xml:space="preserve">         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52"/>
              <w:gridCol w:w="3695"/>
              <w:gridCol w:w="24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管理评审输出信息（决策）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措施描述（举例）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改进措施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与持续改进机会相关的决策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jc w:val="left"/>
                    <w:rPr>
                      <w:rFonts w:hint="eastAsia" w:eastAsia="宋体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lang w:eastAsia="zh-CN" w:bidi="ar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食品安全管理体系所需的变更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资源需求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食品安全目标未实现所采取的措施。（需要时）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改进食品安全管理体系与其他业务过程融合的机会。（需要时）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任何与组织战略方向相关的结论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</w:tbl>
          <w:p>
            <w:pPr>
              <w:rPr>
                <w:highlight w:val="cyan"/>
              </w:rPr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改进措施未落实的原因：</w:t>
            </w:r>
            <w:r>
              <w:rPr>
                <w:rFonts w:hint="eastAsia"/>
                <w:u w:val="single"/>
              </w:rPr>
              <w:t xml:space="preserve">    </w:t>
            </w:r>
          </w:p>
        </w:tc>
        <w:tc>
          <w:tcPr>
            <w:tcW w:w="1589" w:type="dxa"/>
          </w:tcPr>
          <w:p>
            <w:r>
              <w:rPr/>
              <w:sym w:font="Wingdings" w:char="00A8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4" w:type="dxa"/>
            <w:vMerge w:val="restart"/>
          </w:tcPr>
          <w:p>
            <w:r>
              <w:rPr>
                <w:rFonts w:hint="eastAsia"/>
              </w:rPr>
              <w:t>持续改进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F10.2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6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管理手册10</w:t>
            </w:r>
            <w:r>
              <w:rPr>
                <w:rFonts w:hint="eastAsia"/>
                <w:lang w:val="en-US" w:eastAsia="zh-CN"/>
              </w:rPr>
              <w:t>.2</w:t>
            </w:r>
            <w:r>
              <w:rPr>
                <w:rFonts w:hint="eastAsia"/>
              </w:rPr>
              <w:t>条款</w:t>
            </w:r>
          </w:p>
        </w:tc>
        <w:tc>
          <w:tcPr>
            <w:tcW w:w="158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4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6" w:type="dxa"/>
            <w:gridSpan w:val="2"/>
          </w:tcPr>
          <w:p>
            <w:r>
              <w:rPr>
                <w:rFonts w:hint="eastAsia"/>
              </w:rPr>
              <w:t xml:space="preserve">组织已持续改进质量/食品安全管理体系的适宜性、充分性和有效性，以提升食品安全绩效。 </w:t>
            </w:r>
          </w:p>
          <w:p>
            <w:r>
              <w:rPr>
                <w:rFonts w:hint="eastAsia"/>
              </w:rPr>
              <w:t>组织考虑了分析和评价的结果以及管理评审的输出，确定是否存在需求或机遇，这些需求或机遇应作为持续改进的一部分加以应对。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管理评审改进措施已落实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无输出需改进措施</w:t>
            </w:r>
            <w:r>
              <w:rPr>
                <w:rFonts w:hint="eastAsia"/>
                <w:lang w:eastAsia="zh-CN"/>
              </w:rPr>
              <w:t>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管理评审改进措施未落实的原因：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   </w:t>
            </w:r>
          </w:p>
          <w:p>
            <w:r>
              <w:rPr>
                <w:rFonts w:hint="eastAsia"/>
              </w:rPr>
              <w:t>最高管理者应确保组织通过以下活动， 持续改进食品安全管理体系的有效性：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沟通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管理评审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内部审核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验证活动结果分析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控制措施验证和控制措施组合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纠正措施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FSMS更新 。</w:t>
            </w:r>
          </w:p>
        </w:tc>
        <w:tc>
          <w:tcPr>
            <w:tcW w:w="158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4" w:type="dxa"/>
            <w:vMerge w:val="restart"/>
          </w:tcPr>
          <w:p>
            <w:r>
              <w:rPr>
                <w:rFonts w:hint="eastAsia"/>
              </w:rPr>
              <w:t>食品安全管理体系的更新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F10.3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管理手册10.3章</w:t>
            </w:r>
          </w:p>
        </w:tc>
        <w:tc>
          <w:tcPr>
            <w:tcW w:w="1590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4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rPr>
                <w:u w:val="single"/>
              </w:rPr>
            </w:pPr>
            <w:r>
              <w:t>最高管理者确保FSMS持续更新。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否，说明；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>
            <w:r>
              <w:t>食品安全小组应按计划间隔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每年、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每月、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不定期）</w:t>
            </w:r>
            <w:r>
              <w:t>对食品安全管理体系进行评估。小组应考虑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t>有必要审查危害分析</w:t>
            </w:r>
          </w:p>
          <w:p>
            <w:r>
              <w:rPr>
                <w:rFonts w:hint="eastAsia"/>
              </w:rPr>
              <w:sym w:font="Wingdings" w:char="00FE"/>
            </w:r>
            <w:r>
              <w:t>已建立的危害控制计划</w:t>
            </w:r>
          </w:p>
          <w:p>
            <w:r>
              <w:rPr>
                <w:rFonts w:hint="eastAsia"/>
              </w:rPr>
              <w:sym w:font="Wingdings" w:char="00FE"/>
            </w:r>
            <w:r>
              <w:t>已建立的PRP。</w:t>
            </w:r>
          </w:p>
          <w:p>
            <w:r>
              <w:t>更新活动应基于：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来自外部和内部通信的输入；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其他有关食品安全管理系统的适宜性、充分性和有效性的信息的输入；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验证活动结果分析的输出；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管理评审的输出。</w:t>
            </w:r>
          </w:p>
          <w:p>
            <w:r>
              <w:t>系统更新活动</w:t>
            </w:r>
            <w:r>
              <w:rPr>
                <w:rFonts w:hint="eastAsia"/>
              </w:rPr>
              <w:t>保留的</w:t>
            </w:r>
            <w:r>
              <w:t>文件化信息</w:t>
            </w:r>
            <w:r>
              <w:rPr>
                <w:rFonts w:hint="eastAsia"/>
              </w:rPr>
              <w:t>为</w:t>
            </w:r>
            <w:r>
              <w:rPr>
                <w:rFonts w:hint="eastAsia"/>
                <w:u w:val="single"/>
              </w:rPr>
              <w:t xml:space="preserve">：                               </w:t>
            </w:r>
            <w:r>
              <w:rPr>
                <w:rFonts w:hint="eastAsia"/>
              </w:rPr>
              <w:t xml:space="preserve">   </w:t>
            </w:r>
            <w:r>
              <w:t>，作为输入报告给管理评审。</w:t>
            </w:r>
          </w:p>
        </w:tc>
        <w:tc>
          <w:tcPr>
            <w:tcW w:w="1590" w:type="dxa"/>
            <w:gridSpan w:val="2"/>
            <w:vMerge w:val="continue"/>
          </w:tcPr>
          <w:p/>
        </w:tc>
      </w:tr>
    </w:tbl>
    <w:p>
      <w:bookmarkStart w:id="1" w:name="_GoBack"/>
      <w:bookmarkEnd w:id="1"/>
    </w:p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IDFont+F5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157FF7"/>
    <w:multiLevelType w:val="singleLevel"/>
    <w:tmpl w:val="D9157FF7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19E194F9"/>
    <w:multiLevelType w:val="singleLevel"/>
    <w:tmpl w:val="19E194F9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4151"/>
    <w:rsid w:val="000237F6"/>
    <w:rsid w:val="0003373A"/>
    <w:rsid w:val="000400E2"/>
    <w:rsid w:val="00053043"/>
    <w:rsid w:val="00054DB0"/>
    <w:rsid w:val="00062E46"/>
    <w:rsid w:val="000C0AED"/>
    <w:rsid w:val="000E5225"/>
    <w:rsid w:val="000E6B21"/>
    <w:rsid w:val="000E7D69"/>
    <w:rsid w:val="001037D1"/>
    <w:rsid w:val="001140D6"/>
    <w:rsid w:val="001A2D7F"/>
    <w:rsid w:val="001F0DEE"/>
    <w:rsid w:val="001F129C"/>
    <w:rsid w:val="001F1502"/>
    <w:rsid w:val="00203518"/>
    <w:rsid w:val="0023692C"/>
    <w:rsid w:val="002822F1"/>
    <w:rsid w:val="00284CCA"/>
    <w:rsid w:val="002939AD"/>
    <w:rsid w:val="002A7D96"/>
    <w:rsid w:val="002E061E"/>
    <w:rsid w:val="00304BD2"/>
    <w:rsid w:val="00312414"/>
    <w:rsid w:val="00314AF6"/>
    <w:rsid w:val="00334BC0"/>
    <w:rsid w:val="003359ED"/>
    <w:rsid w:val="00337922"/>
    <w:rsid w:val="00340867"/>
    <w:rsid w:val="00380837"/>
    <w:rsid w:val="00391074"/>
    <w:rsid w:val="003A198A"/>
    <w:rsid w:val="00410914"/>
    <w:rsid w:val="004245D8"/>
    <w:rsid w:val="00477A20"/>
    <w:rsid w:val="0048201E"/>
    <w:rsid w:val="0049215F"/>
    <w:rsid w:val="004B2B8D"/>
    <w:rsid w:val="004E753A"/>
    <w:rsid w:val="0053167F"/>
    <w:rsid w:val="00531A59"/>
    <w:rsid w:val="00536930"/>
    <w:rsid w:val="00564E53"/>
    <w:rsid w:val="00571451"/>
    <w:rsid w:val="005C6B53"/>
    <w:rsid w:val="005D5659"/>
    <w:rsid w:val="005E2DC1"/>
    <w:rsid w:val="005F6B29"/>
    <w:rsid w:val="00600C20"/>
    <w:rsid w:val="00644FE2"/>
    <w:rsid w:val="00660E47"/>
    <w:rsid w:val="00663F71"/>
    <w:rsid w:val="0067640C"/>
    <w:rsid w:val="00691D92"/>
    <w:rsid w:val="00693382"/>
    <w:rsid w:val="006C3C83"/>
    <w:rsid w:val="006D7C48"/>
    <w:rsid w:val="006E40E8"/>
    <w:rsid w:val="006E678B"/>
    <w:rsid w:val="006E7B1D"/>
    <w:rsid w:val="0070300D"/>
    <w:rsid w:val="0070341D"/>
    <w:rsid w:val="00705D46"/>
    <w:rsid w:val="007757F3"/>
    <w:rsid w:val="00782A29"/>
    <w:rsid w:val="007860F5"/>
    <w:rsid w:val="007B4630"/>
    <w:rsid w:val="007C1B48"/>
    <w:rsid w:val="007E3B15"/>
    <w:rsid w:val="007E6AEB"/>
    <w:rsid w:val="008630EE"/>
    <w:rsid w:val="008973EE"/>
    <w:rsid w:val="008C05BC"/>
    <w:rsid w:val="0090032F"/>
    <w:rsid w:val="00910EB7"/>
    <w:rsid w:val="00920906"/>
    <w:rsid w:val="00971600"/>
    <w:rsid w:val="009734AB"/>
    <w:rsid w:val="0097671F"/>
    <w:rsid w:val="009973B4"/>
    <w:rsid w:val="009B5D1D"/>
    <w:rsid w:val="009C28C1"/>
    <w:rsid w:val="009D0D15"/>
    <w:rsid w:val="009E7642"/>
    <w:rsid w:val="009F7EED"/>
    <w:rsid w:val="00A109EE"/>
    <w:rsid w:val="00A1311C"/>
    <w:rsid w:val="00A77B03"/>
    <w:rsid w:val="00A80636"/>
    <w:rsid w:val="00A80E58"/>
    <w:rsid w:val="00AC2E27"/>
    <w:rsid w:val="00AF0AAB"/>
    <w:rsid w:val="00B50FD7"/>
    <w:rsid w:val="00B801A2"/>
    <w:rsid w:val="00BA021A"/>
    <w:rsid w:val="00BA5DC8"/>
    <w:rsid w:val="00BB07DF"/>
    <w:rsid w:val="00BF597E"/>
    <w:rsid w:val="00C03A49"/>
    <w:rsid w:val="00C51A36"/>
    <w:rsid w:val="00C55228"/>
    <w:rsid w:val="00C60E7B"/>
    <w:rsid w:val="00C63768"/>
    <w:rsid w:val="00C65F2B"/>
    <w:rsid w:val="00C96ED9"/>
    <w:rsid w:val="00CA15F7"/>
    <w:rsid w:val="00CD71D8"/>
    <w:rsid w:val="00CE315A"/>
    <w:rsid w:val="00D06F59"/>
    <w:rsid w:val="00D570B0"/>
    <w:rsid w:val="00D708B1"/>
    <w:rsid w:val="00D71355"/>
    <w:rsid w:val="00D8388C"/>
    <w:rsid w:val="00D851FA"/>
    <w:rsid w:val="00DC055B"/>
    <w:rsid w:val="00DD3530"/>
    <w:rsid w:val="00DE720A"/>
    <w:rsid w:val="00E120F4"/>
    <w:rsid w:val="00E25E5F"/>
    <w:rsid w:val="00E6224C"/>
    <w:rsid w:val="00E65BA9"/>
    <w:rsid w:val="00E65C8F"/>
    <w:rsid w:val="00EA35FD"/>
    <w:rsid w:val="00EA3ACC"/>
    <w:rsid w:val="00EB0164"/>
    <w:rsid w:val="00EC57BB"/>
    <w:rsid w:val="00ED0F62"/>
    <w:rsid w:val="00EF479D"/>
    <w:rsid w:val="00F2198C"/>
    <w:rsid w:val="00F3302B"/>
    <w:rsid w:val="00F43A54"/>
    <w:rsid w:val="00F56D22"/>
    <w:rsid w:val="00F7499A"/>
    <w:rsid w:val="00F95ED9"/>
    <w:rsid w:val="00FF6820"/>
    <w:rsid w:val="01260C71"/>
    <w:rsid w:val="01E27364"/>
    <w:rsid w:val="020650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166B1"/>
    <w:rsid w:val="04981EC9"/>
    <w:rsid w:val="050D3D1E"/>
    <w:rsid w:val="056577F0"/>
    <w:rsid w:val="05705C5F"/>
    <w:rsid w:val="057753FF"/>
    <w:rsid w:val="05A05014"/>
    <w:rsid w:val="05F6270F"/>
    <w:rsid w:val="05FE5D86"/>
    <w:rsid w:val="0605101B"/>
    <w:rsid w:val="061B4460"/>
    <w:rsid w:val="065A01DF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992272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9D4370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5C64A64"/>
    <w:rsid w:val="15F7492E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AA51C2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D09C2"/>
    <w:rsid w:val="1ACF1254"/>
    <w:rsid w:val="1AED5B63"/>
    <w:rsid w:val="1B462375"/>
    <w:rsid w:val="1B5E3B97"/>
    <w:rsid w:val="1B7248CE"/>
    <w:rsid w:val="1C392A3A"/>
    <w:rsid w:val="1C6465C0"/>
    <w:rsid w:val="1CB1322F"/>
    <w:rsid w:val="1D0723A1"/>
    <w:rsid w:val="1D4D4A00"/>
    <w:rsid w:val="1DC4038A"/>
    <w:rsid w:val="1DF36090"/>
    <w:rsid w:val="1DFE25B1"/>
    <w:rsid w:val="1E511FFA"/>
    <w:rsid w:val="1E752FA2"/>
    <w:rsid w:val="1E99368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5B02BA9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C801AD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09556D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25251B2"/>
    <w:rsid w:val="32A772DD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977CF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CFD3B42"/>
    <w:rsid w:val="3DAB460B"/>
    <w:rsid w:val="3DDA7DB2"/>
    <w:rsid w:val="3DF2719F"/>
    <w:rsid w:val="3E342793"/>
    <w:rsid w:val="3E3C5235"/>
    <w:rsid w:val="3EA34B57"/>
    <w:rsid w:val="3EEF1E6E"/>
    <w:rsid w:val="3EF57E99"/>
    <w:rsid w:val="3F654598"/>
    <w:rsid w:val="3F701801"/>
    <w:rsid w:val="40075616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271497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413E1D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8397913"/>
    <w:rsid w:val="4949229C"/>
    <w:rsid w:val="49C0281D"/>
    <w:rsid w:val="49E449BF"/>
    <w:rsid w:val="49EC77B8"/>
    <w:rsid w:val="49ED5B1C"/>
    <w:rsid w:val="4AD45EF1"/>
    <w:rsid w:val="4ADD13CB"/>
    <w:rsid w:val="4AE04A18"/>
    <w:rsid w:val="4B337454"/>
    <w:rsid w:val="4B407CC6"/>
    <w:rsid w:val="4B42232B"/>
    <w:rsid w:val="4B464DA1"/>
    <w:rsid w:val="4B5A57B3"/>
    <w:rsid w:val="4B825A76"/>
    <w:rsid w:val="4B8B3702"/>
    <w:rsid w:val="4B9B0D7E"/>
    <w:rsid w:val="4BC83B65"/>
    <w:rsid w:val="4C1A1162"/>
    <w:rsid w:val="4C486A2B"/>
    <w:rsid w:val="4C85389F"/>
    <w:rsid w:val="4CA74E41"/>
    <w:rsid w:val="4CA91B51"/>
    <w:rsid w:val="4CB62537"/>
    <w:rsid w:val="4CD2365B"/>
    <w:rsid w:val="4D352804"/>
    <w:rsid w:val="4D3D578E"/>
    <w:rsid w:val="4D636299"/>
    <w:rsid w:val="4D791805"/>
    <w:rsid w:val="4D8F2F88"/>
    <w:rsid w:val="4DB86BCB"/>
    <w:rsid w:val="4DD85058"/>
    <w:rsid w:val="4E0166A9"/>
    <w:rsid w:val="4E1551DB"/>
    <w:rsid w:val="4E7774D0"/>
    <w:rsid w:val="4F256EAD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DF3F44"/>
    <w:rsid w:val="52F263D6"/>
    <w:rsid w:val="53024EB7"/>
    <w:rsid w:val="53261795"/>
    <w:rsid w:val="53953BE7"/>
    <w:rsid w:val="53E93AEB"/>
    <w:rsid w:val="53F51637"/>
    <w:rsid w:val="54124FEF"/>
    <w:rsid w:val="541C4B67"/>
    <w:rsid w:val="54B47120"/>
    <w:rsid w:val="552A2893"/>
    <w:rsid w:val="556B045B"/>
    <w:rsid w:val="557D4E77"/>
    <w:rsid w:val="55C375DD"/>
    <w:rsid w:val="56156439"/>
    <w:rsid w:val="56643532"/>
    <w:rsid w:val="568B5A7B"/>
    <w:rsid w:val="56EF4D06"/>
    <w:rsid w:val="570A6E63"/>
    <w:rsid w:val="573B0118"/>
    <w:rsid w:val="573D2268"/>
    <w:rsid w:val="57411925"/>
    <w:rsid w:val="57441E32"/>
    <w:rsid w:val="57535542"/>
    <w:rsid w:val="575B3098"/>
    <w:rsid w:val="577F2D1A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A13904"/>
    <w:rsid w:val="59D37462"/>
    <w:rsid w:val="59E42114"/>
    <w:rsid w:val="59E710C8"/>
    <w:rsid w:val="59F34F80"/>
    <w:rsid w:val="5A1C59A1"/>
    <w:rsid w:val="5A386EB4"/>
    <w:rsid w:val="5A407674"/>
    <w:rsid w:val="5A432974"/>
    <w:rsid w:val="5A6A20C5"/>
    <w:rsid w:val="5AD64AF2"/>
    <w:rsid w:val="5B544EB3"/>
    <w:rsid w:val="5B6A33DD"/>
    <w:rsid w:val="5BF04FFA"/>
    <w:rsid w:val="5C045A62"/>
    <w:rsid w:val="5C0A1E1C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0754B6"/>
    <w:rsid w:val="6018182B"/>
    <w:rsid w:val="601E0F43"/>
    <w:rsid w:val="60596F8D"/>
    <w:rsid w:val="608075E1"/>
    <w:rsid w:val="61326FB1"/>
    <w:rsid w:val="61384C31"/>
    <w:rsid w:val="61E77A7E"/>
    <w:rsid w:val="61F16F63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AC1FB0"/>
    <w:rsid w:val="64B45425"/>
    <w:rsid w:val="64B96E85"/>
    <w:rsid w:val="64BB6795"/>
    <w:rsid w:val="64D069A0"/>
    <w:rsid w:val="64F27E75"/>
    <w:rsid w:val="65067C78"/>
    <w:rsid w:val="653C2C5E"/>
    <w:rsid w:val="65662197"/>
    <w:rsid w:val="656B5D01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44529D"/>
    <w:rsid w:val="68B54AF7"/>
    <w:rsid w:val="68CA009F"/>
    <w:rsid w:val="69170983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910AA0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792112"/>
    <w:rsid w:val="6D9B1357"/>
    <w:rsid w:val="6E641038"/>
    <w:rsid w:val="6EBD0EA6"/>
    <w:rsid w:val="6F435405"/>
    <w:rsid w:val="6F4810D8"/>
    <w:rsid w:val="6F6D2BAA"/>
    <w:rsid w:val="6F8F1120"/>
    <w:rsid w:val="6F9A4A47"/>
    <w:rsid w:val="6FD909A9"/>
    <w:rsid w:val="701710D0"/>
    <w:rsid w:val="70607590"/>
    <w:rsid w:val="70795456"/>
    <w:rsid w:val="709946EC"/>
    <w:rsid w:val="72702455"/>
    <w:rsid w:val="728F2E47"/>
    <w:rsid w:val="72973011"/>
    <w:rsid w:val="72E42D1B"/>
    <w:rsid w:val="731254DC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5EC38CD"/>
    <w:rsid w:val="76174057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ACB083F"/>
    <w:rsid w:val="7B1F77A4"/>
    <w:rsid w:val="7B292799"/>
    <w:rsid w:val="7C090682"/>
    <w:rsid w:val="7C4E6027"/>
    <w:rsid w:val="7C6A6CA8"/>
    <w:rsid w:val="7CC41AB2"/>
    <w:rsid w:val="7CF04E00"/>
    <w:rsid w:val="7D0B04E5"/>
    <w:rsid w:val="7D41026F"/>
    <w:rsid w:val="7D59343F"/>
    <w:rsid w:val="7E0A78B3"/>
    <w:rsid w:val="7E2912F3"/>
    <w:rsid w:val="7F9026D0"/>
    <w:rsid w:val="7F984417"/>
    <w:rsid w:val="7FD91DE8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1363</Words>
  <Characters>7773</Characters>
  <Lines>64</Lines>
  <Paragraphs>18</Paragraphs>
  <TotalTime>0</TotalTime>
  <ScaleCrop>false</ScaleCrop>
  <LinksUpToDate>false</LinksUpToDate>
  <CharactersWithSpaces>9118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2021-08-03T05:54:28Z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D5383990621746F5BA470D7A2B13A0A3</vt:lpwstr>
  </property>
</Properties>
</file>