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北京中润信能源技术有限公司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9"/>
          <w:rFonts w:hint="eastAsia" w:ascii="楷体" w:hAnsi="楷体" w:eastAsia="楷体"/>
          <w:b/>
          <w:sz w:val="36"/>
          <w:szCs w:val="36"/>
        </w:rPr>
        <w:t>www.china-isc.org.cn</w:t>
      </w:r>
      <w: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6"/>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李京田</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34.01.02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李雅静</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GB/T19001-2016/ISO9001:2015</w:t>
      </w:r>
      <w:bookmarkEnd w:id="4"/>
      <w:r>
        <w:rPr>
          <w:rFonts w:hint="eastAsia" w:ascii="宋体" w:hAnsi="宋体"/>
          <w:b/>
          <w:color w:val="000000" w:themeColor="text1"/>
          <w:sz w:val="26"/>
          <w:szCs w:val="26"/>
        </w:rPr>
        <w:t>四、受审核方基本信息</w:t>
      </w:r>
    </w:p>
    <w:tbl>
      <w:tblPr>
        <w:tblStyle w:val="6"/>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vAlign w:val="top"/>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北京中润信能源技术有限公司</w:t>
            </w:r>
          </w:p>
        </w:tc>
        <w:tc>
          <w:tcPr>
            <w:tcW w:w="1134" w:type="dxa"/>
            <w:gridSpan w:val="3"/>
            <w:vAlign w:val="top"/>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vAlign w:val="top"/>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vAlign w:val="top"/>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北京市海淀区花园东路30号花园饭店7号楼5层7501室</w:t>
            </w:r>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vAlign w:val="top"/>
          </w:tcPr>
          <w:p>
            <w:pPr>
              <w:spacing w:line="320" w:lineRule="exact"/>
              <w:rPr>
                <w:rFonts w:ascii="宋体" w:hAnsi="宋体"/>
                <w:b/>
                <w:color w:val="000000" w:themeColor="text1"/>
                <w:spacing w:val="-20"/>
                <w:sz w:val="20"/>
                <w:szCs w:val="20"/>
              </w:rPr>
            </w:pPr>
            <w:r>
              <w:rPr>
                <w:rFonts w:ascii="宋体" w:hAnsi="宋体"/>
                <w:b/>
                <w:color w:val="000000" w:themeColor="text1"/>
                <w:spacing w:val="-20"/>
                <w:sz w:val="20"/>
                <w:szCs w:val="20"/>
              </w:rPr>
              <w:t>100191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vAlign w:val="top"/>
          </w:tcPr>
          <w:p>
            <w:pPr>
              <w:spacing w:line="320" w:lineRule="exact"/>
              <w:rPr>
                <w:rFonts w:ascii="宋体" w:hAnsi="宋体"/>
                <w:b/>
                <w:color w:val="000000" w:themeColor="text1"/>
                <w:sz w:val="20"/>
                <w:szCs w:val="20"/>
              </w:rPr>
            </w:pPr>
            <w:r>
              <w:rPr>
                <w:rFonts w:ascii="宋体" w:hAnsi="宋体"/>
                <w:b/>
                <w:color w:val="000000" w:themeColor="text1"/>
                <w:sz w:val="20"/>
                <w:szCs w:val="20"/>
              </w:rPr>
              <w:t>北京市海淀区花园东路30号花园饭店7号楼5层7501室</w:t>
            </w: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vAlign w:val="top"/>
          </w:tcPr>
          <w:p>
            <w:pPr>
              <w:spacing w:line="320" w:lineRule="exact"/>
              <w:rPr>
                <w:rFonts w:ascii="宋体" w:hAnsi="宋体"/>
                <w:b/>
                <w:color w:val="000000" w:themeColor="text1"/>
                <w:sz w:val="20"/>
                <w:szCs w:val="20"/>
              </w:rPr>
            </w:pPr>
            <w:r>
              <w:rPr>
                <w:rFonts w:ascii="宋体" w:hAnsi="宋体"/>
                <w:b/>
                <w:color w:val="000000" w:themeColor="text1"/>
                <w:sz w:val="20"/>
                <w:szCs w:val="20"/>
              </w:rPr>
              <w:t>100191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王瑞峰</w:t>
            </w:r>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13581922630</w:t>
            </w:r>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5" w:name="联系人传真"/>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张和茂</w:t>
            </w:r>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6" w:name="最高管理者"/>
            <w:bookmarkEnd w:id="6"/>
            <w:r>
              <w:rPr>
                <w:rFonts w:ascii="宋体" w:hAnsi="宋体"/>
                <w:b/>
                <w:color w:val="000000" w:themeColor="text1"/>
                <w:sz w:val="20"/>
                <w:szCs w:val="20"/>
              </w:rPr>
              <w:t>张和茂</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王瑞峰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7" w:name="审核范围"/>
            <w:r>
              <w:rPr>
                <w:rFonts w:ascii="宋体" w:hAnsi="宋体"/>
                <w:b/>
                <w:color w:val="000000" w:themeColor="text1"/>
                <w:sz w:val="20"/>
                <w:szCs w:val="20"/>
              </w:rPr>
              <w:t>石油钻井技术服务</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8" w:name="专业代码"/>
            <w:r>
              <w:rPr>
                <w:rFonts w:ascii="宋体" w:hAnsi="宋体"/>
                <w:b/>
                <w:color w:val="000000" w:themeColor="text1"/>
                <w:sz w:val="20"/>
                <w:szCs w:val="20"/>
              </w:rPr>
              <w:t>34.01.02</w:t>
            </w:r>
            <w:bookmarkEnd w:id="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9" w:name="体系运行时间"/>
            <w:r>
              <w:rPr>
                <w:rFonts w:ascii="宋体" w:hAnsi="宋体"/>
                <w:b/>
                <w:color w:val="000000" w:themeColor="text1"/>
                <w:sz w:val="20"/>
                <w:szCs w:val="20"/>
              </w:rPr>
              <w:t>2020-0</w:t>
            </w:r>
            <w:r>
              <w:rPr>
                <w:rFonts w:hint="eastAsia" w:ascii="宋体" w:hAnsi="宋体"/>
                <w:b/>
                <w:color w:val="000000" w:themeColor="text1"/>
                <w:sz w:val="20"/>
                <w:szCs w:val="20"/>
                <w:lang w:val="en-US" w:eastAsia="zh-CN"/>
              </w:rPr>
              <w:t>9</w:t>
            </w:r>
            <w:r>
              <w:rPr>
                <w:rFonts w:ascii="宋体" w:hAnsi="宋体"/>
                <w:b/>
                <w:color w:val="000000" w:themeColor="text1"/>
                <w:sz w:val="20"/>
                <w:szCs w:val="20"/>
              </w:rPr>
              <w:t>-10 0:00:00</w:t>
            </w:r>
            <w:bookmarkEnd w:id="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default" w:ascii="Times New Roman" w:hAnsi="Times New Roman" w:eastAsia="宋体" w:cs="Times New Roman"/>
                <w:b w:val="0"/>
                <w:bCs/>
                <w:sz w:val="21"/>
                <w:szCs w:val="21"/>
              </w:rPr>
              <w:t>管理层</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default" w:ascii="Times New Roman" w:hAnsi="Times New Roman" w:eastAsia="宋体" w:cs="Times New Roman"/>
                <w:b w:val="0"/>
                <w:bCs/>
                <w:sz w:val="21"/>
                <w:szCs w:val="21"/>
              </w:rPr>
              <w:t>组织及其环境；相关方的需求和希望；管理体系的范围；管理体系及其过程；领导作用和承诺；以顾客为关注焦点；管理方针；组织的岗位、职责权限；应对风险和机会的策划；目标和实现计划；变更的策划；资源提供；监视和测量总则；管理评审；总则；持续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default" w:ascii="宋体" w:hAnsi="宋体" w:eastAsia="宋体" w:cs="Times New Roman"/>
                <w:b/>
                <w:color w:val="000000" w:themeColor="text1"/>
                <w:kern w:val="2"/>
                <w:sz w:val="20"/>
                <w:szCs w:val="20"/>
                <w:lang w:val="en-US" w:eastAsia="zh-CN" w:bidi="ar-SA"/>
              </w:rPr>
            </w:pPr>
            <w:r>
              <w:rPr>
                <w:rFonts w:hint="eastAsia"/>
                <w:lang w:val="en-US" w:eastAsia="zh-CN"/>
              </w:rPr>
              <w:t>综合部</w:t>
            </w:r>
          </w:p>
        </w:tc>
        <w:tc>
          <w:tcPr>
            <w:tcW w:w="6804" w:type="dxa"/>
            <w:vAlign w:val="top"/>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组织的岗位、职责权限；目标、方案；环境因素/危险源识别评价；合规义务；组织知识；人员</w:t>
            </w:r>
            <w:r>
              <w:rPr>
                <w:rFonts w:hint="eastAsia" w:ascii="Times New Roman" w:hAnsi="Times New Roman" w:cs="Times New Roman"/>
                <w:sz w:val="21"/>
                <w:szCs w:val="21"/>
                <w:lang w:eastAsia="zh-CN"/>
              </w:rPr>
              <w:t>；</w:t>
            </w:r>
            <w:r>
              <w:rPr>
                <w:rFonts w:hint="default" w:ascii="Times New Roman" w:hAnsi="Times New Roman" w:eastAsia="宋体" w:cs="Times New Roman"/>
                <w:sz w:val="21"/>
                <w:szCs w:val="21"/>
              </w:rPr>
              <w:t>能力；意识；沟通；文件化信息；文件总则、文件和记录控制；变更的控制；内部审核；不合格及纠正措施控制</w:t>
            </w:r>
            <w:r>
              <w:rPr>
                <w:rFonts w:hint="eastAsia" w:ascii="Times New Roman" w:hAnsi="Times New Roman" w:cs="Times New Roman"/>
                <w:sz w:val="21"/>
                <w:szCs w:val="21"/>
                <w:lang w:eastAsia="zh-CN"/>
              </w:rPr>
              <w:t>；</w:t>
            </w:r>
          </w:p>
          <w:p>
            <w:pPr>
              <w:jc w:val="center"/>
              <w:rPr>
                <w:rFonts w:ascii="宋体" w:hAnsi="宋体" w:eastAsia="宋体" w:cs="Times New Roman"/>
                <w:b/>
                <w:color w:val="000000" w:themeColor="text1"/>
                <w:spacing w:val="-20"/>
                <w:kern w:val="2"/>
                <w:sz w:val="20"/>
                <w:szCs w:val="20"/>
                <w:u w:val="singl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宋体" w:cs="Times New Roman"/>
                <w:kern w:val="2"/>
                <w:sz w:val="21"/>
                <w:szCs w:val="21"/>
                <w:lang w:val="en-US" w:eastAsia="zh-CN" w:bidi="ar-SA"/>
              </w:rPr>
            </w:pPr>
            <w:r>
              <w:rPr>
                <w:rFonts w:hint="eastAsia"/>
              </w:rPr>
              <w:t>技术部</w:t>
            </w:r>
          </w:p>
        </w:tc>
        <w:tc>
          <w:tcPr>
            <w:tcW w:w="6804" w:type="dxa"/>
            <w:vAlign w:val="top"/>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组织的岗位、职责权限；目标、方案基础设施；运行环境；运行的策划和控制；产品和服务的设计和开发；外部提供的过程、产品和服务的控制；</w:t>
            </w:r>
            <w:r>
              <w:rPr>
                <w:rFonts w:hint="eastAsia" w:ascii="Times New Roman" w:hAnsi="Times New Roman" w:eastAsia="宋体" w:cs="Times New Roman"/>
                <w:sz w:val="21"/>
                <w:szCs w:val="21"/>
                <w:lang w:val="en-US" w:eastAsia="zh-CN"/>
              </w:rPr>
              <w:t>服务过程的控制；</w:t>
            </w:r>
            <w:r>
              <w:rPr>
                <w:rFonts w:hint="default" w:ascii="Times New Roman" w:hAnsi="Times New Roman" w:eastAsia="宋体" w:cs="Times New Roman"/>
                <w:sz w:val="21"/>
                <w:szCs w:val="21"/>
                <w:lang w:val="en-US" w:eastAsia="zh-CN"/>
              </w:rPr>
              <w:t>标识和可追溯性；产品防护；</w:t>
            </w:r>
            <w:r>
              <w:rPr>
                <w:rFonts w:hint="eastAsia" w:ascii="Times New Roman" w:hAnsi="Times New Roman" w:eastAsia="宋体" w:cs="Times New Roman"/>
                <w:sz w:val="21"/>
                <w:szCs w:val="21"/>
                <w:lang w:val="en-US" w:eastAsia="zh-CN"/>
              </w:rPr>
              <w:t>产品和服务的放行；不合格品的控制；</w:t>
            </w:r>
          </w:p>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7"/>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987"/>
        <w:gridCol w:w="4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987" w:type="dxa"/>
          </w:tcPr>
          <w:p>
            <w:pPr>
              <w:rPr>
                <w:b/>
                <w:color w:val="000000" w:themeColor="text1"/>
                <w:sz w:val="20"/>
                <w:szCs w:val="20"/>
              </w:rPr>
            </w:pPr>
            <w:r>
              <w:rPr>
                <w:rFonts w:hint="eastAsia"/>
                <w:b/>
                <w:color w:val="000000" w:themeColor="text1"/>
                <w:sz w:val="20"/>
                <w:szCs w:val="20"/>
              </w:rPr>
              <w:t>规格</w:t>
            </w:r>
          </w:p>
        </w:tc>
        <w:tc>
          <w:tcPr>
            <w:tcW w:w="4399"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ascii="宋体" w:hAnsi="宋体"/>
                <w:b/>
                <w:color w:val="000000" w:themeColor="text1"/>
                <w:sz w:val="20"/>
                <w:szCs w:val="20"/>
              </w:rPr>
              <w:t>石油钻井技术服务</w:t>
            </w:r>
          </w:p>
        </w:tc>
        <w:tc>
          <w:tcPr>
            <w:tcW w:w="2519" w:type="dxa"/>
          </w:tcPr>
          <w:p>
            <w:pPr>
              <w:rPr>
                <w:rFonts w:hint="default" w:eastAsia="宋体"/>
                <w:b/>
                <w:color w:val="000000" w:themeColor="text1"/>
                <w:sz w:val="20"/>
                <w:szCs w:val="20"/>
                <w:lang w:val="en-US" w:eastAsia="zh-CN"/>
              </w:rPr>
            </w:pPr>
            <w:r>
              <w:rPr>
                <w:rFonts w:hint="eastAsia"/>
                <w:b/>
                <w:color w:val="000000" w:themeColor="text1"/>
                <w:sz w:val="20"/>
                <w:szCs w:val="20"/>
                <w:lang w:val="en-US" w:eastAsia="zh-CN"/>
              </w:rPr>
              <w:t>/</w:t>
            </w:r>
          </w:p>
        </w:tc>
        <w:tc>
          <w:tcPr>
            <w:tcW w:w="987" w:type="dxa"/>
          </w:tcPr>
          <w:p>
            <w:pPr>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c>
          <w:tcPr>
            <w:tcW w:w="4399" w:type="dxa"/>
          </w:tcPr>
          <w:p>
            <w:pPr>
              <w:rPr>
                <w:rFonts w:hint="eastAsia"/>
              </w:rPr>
            </w:pPr>
            <w:r>
              <w:rPr>
                <w:rFonts w:hint="eastAsia"/>
              </w:rPr>
              <w:t xml:space="preserve"> DB11/T 1322.88-2019</w:t>
            </w:r>
            <w:r>
              <w:rPr>
                <w:rFonts w:hint="eastAsia"/>
              </w:rPr>
              <w:tab/>
            </w:r>
            <w:r>
              <w:rPr>
                <w:rFonts w:hint="eastAsia"/>
              </w:rPr>
              <w:t xml:space="preserve"> 安全生产等级评定技术规范 第88部分：石油钻井工程技术服务企业</w:t>
            </w:r>
            <w:r>
              <w:rPr>
                <w:rFonts w:hint="eastAsia"/>
              </w:rPr>
              <w:tab/>
            </w:r>
          </w:p>
          <w:p>
            <w:pPr>
              <w:rPr>
                <w:rFonts w:hint="eastAsia"/>
              </w:rPr>
            </w:pPr>
            <w:r>
              <w:rPr>
                <w:rFonts w:hint="eastAsia"/>
              </w:rPr>
              <w:t xml:space="preserve"> DZ/T 0123-1994</w:t>
            </w:r>
            <w:r>
              <w:rPr>
                <w:rFonts w:hint="eastAsia"/>
              </w:rPr>
              <w:tab/>
            </w:r>
            <w:r>
              <w:rPr>
                <w:rFonts w:hint="eastAsia"/>
              </w:rPr>
              <w:t xml:space="preserve"> 石油钻井地质数据文件格式</w:t>
            </w:r>
            <w:r>
              <w:rPr>
                <w:rFonts w:hint="eastAsia"/>
              </w:rPr>
              <w:tab/>
            </w:r>
            <w:r>
              <w:rPr>
                <w:rFonts w:hint="eastAsia"/>
              </w:rPr>
              <w:t>地质矿产部</w:t>
            </w:r>
            <w:r>
              <w:rPr>
                <w:rFonts w:hint="eastAsia"/>
              </w:rPr>
              <w:tab/>
            </w:r>
            <w:r>
              <w:rPr>
                <w:rFonts w:hint="eastAsia"/>
              </w:rPr>
              <w:t>1994-12-01</w:t>
            </w:r>
            <w:r>
              <w:rPr>
                <w:rFonts w:hint="eastAsia"/>
              </w:rPr>
              <w:tab/>
            </w:r>
          </w:p>
          <w:p>
            <w:pPr>
              <w:rPr>
                <w:rFonts w:hint="eastAsia"/>
              </w:rPr>
            </w:pPr>
            <w:r>
              <w:rPr>
                <w:rFonts w:hint="eastAsia"/>
              </w:rPr>
              <w:t xml:space="preserve"> GB/T 24263-2009</w:t>
            </w:r>
            <w:r>
              <w:rPr>
                <w:rFonts w:hint="eastAsia"/>
              </w:rPr>
              <w:tab/>
            </w:r>
            <w:r>
              <w:rPr>
                <w:rFonts w:hint="eastAsia"/>
              </w:rPr>
              <w:t xml:space="preserve"> 石油钻井指重表</w:t>
            </w:r>
            <w:r>
              <w:rPr>
                <w:rFonts w:hint="eastAsia"/>
              </w:rPr>
              <w:tab/>
            </w:r>
            <w:r>
              <w:rPr>
                <w:rFonts w:hint="eastAsia"/>
              </w:rPr>
              <w:t>国家质量监督检验检疫.</w:t>
            </w:r>
            <w:r>
              <w:rPr>
                <w:rFonts w:hint="eastAsia"/>
              </w:rPr>
              <w:tab/>
            </w:r>
            <w:r>
              <w:rPr>
                <w:rFonts w:hint="eastAsia"/>
              </w:rPr>
              <w:t>2009-12-01</w:t>
            </w:r>
            <w:r>
              <w:rPr>
                <w:rFonts w:hint="eastAsia"/>
              </w:rPr>
              <w:tab/>
            </w:r>
          </w:p>
          <w:p>
            <w:pPr>
              <w:rPr>
                <w:rFonts w:hint="eastAsia"/>
              </w:rPr>
            </w:pPr>
            <w:r>
              <w:rPr>
                <w:rFonts w:hint="eastAsia"/>
              </w:rPr>
              <w:t xml:space="preserve"> GB/T 32474-2016</w:t>
            </w:r>
            <w:r>
              <w:rPr>
                <w:rFonts w:hint="eastAsia"/>
              </w:rPr>
              <w:tab/>
            </w:r>
            <w:r>
              <w:rPr>
                <w:rFonts w:hint="eastAsia"/>
              </w:rPr>
              <w:t xml:space="preserve"> 石油钻井井控设备用橡胶软管及软管组合件</w:t>
            </w:r>
            <w:r>
              <w:rPr>
                <w:rFonts w:hint="eastAsia"/>
              </w:rPr>
              <w:tab/>
            </w:r>
            <w:r>
              <w:rPr>
                <w:rFonts w:hint="eastAsia"/>
              </w:rPr>
              <w:t>国家质量监督检验检疫.</w:t>
            </w:r>
            <w:r>
              <w:rPr>
                <w:rFonts w:hint="eastAsia"/>
              </w:rPr>
              <w:tab/>
            </w:r>
            <w:r>
              <w:rPr>
                <w:rFonts w:hint="eastAsia"/>
              </w:rPr>
              <w:t>2016-09-01</w:t>
            </w:r>
            <w:r>
              <w:rPr>
                <w:rFonts w:hint="eastAsia"/>
              </w:rPr>
              <w:tab/>
            </w:r>
            <w:r>
              <w:rPr>
                <w:rFonts w:hint="eastAsia"/>
              </w:rPr>
              <w:t>现行</w:t>
            </w:r>
          </w:p>
          <w:p>
            <w:pPr>
              <w:rPr>
                <w:rFonts w:hint="eastAsia"/>
              </w:rPr>
            </w:pPr>
            <w:r>
              <w:rPr>
                <w:rFonts w:hint="eastAsia"/>
              </w:rPr>
              <w:t xml:space="preserve"> JJG石油 03-1999</w:t>
            </w:r>
            <w:r>
              <w:rPr>
                <w:rFonts w:hint="eastAsia"/>
              </w:rPr>
              <w:tab/>
            </w:r>
            <w:r>
              <w:rPr>
                <w:rFonts w:hint="eastAsia"/>
              </w:rPr>
              <w:t xml:space="preserve"> 石油钻井指重表检定规程</w:t>
            </w:r>
            <w:r>
              <w:rPr>
                <w:rFonts w:hint="eastAsia"/>
              </w:rPr>
              <w:tab/>
            </w:r>
            <w:r>
              <w:rPr>
                <w:rFonts w:hint="eastAsia"/>
              </w:rPr>
              <w:tab/>
            </w:r>
            <w:r>
              <w:rPr>
                <w:rFonts w:hint="eastAsia"/>
              </w:rPr>
              <w:t>2000-05-01</w:t>
            </w:r>
            <w:r>
              <w:rPr>
                <w:rFonts w:hint="eastAsia"/>
              </w:rPr>
              <w:tab/>
            </w:r>
            <w:r>
              <w:rPr>
                <w:rFonts w:hint="eastAsia"/>
              </w:rPr>
              <w:t>现行</w:t>
            </w:r>
          </w:p>
          <w:p>
            <w:pPr>
              <w:rPr>
                <w:rFonts w:hint="eastAsia"/>
              </w:rPr>
            </w:pPr>
            <w:r>
              <w:rPr>
                <w:rFonts w:hint="eastAsia"/>
              </w:rPr>
              <w:t xml:space="preserve"> Q/CNPC 52-2001</w:t>
            </w:r>
            <w:r>
              <w:rPr>
                <w:rFonts w:hint="eastAsia"/>
              </w:rPr>
              <w:tab/>
            </w:r>
            <w:r>
              <w:rPr>
                <w:rFonts w:hint="eastAsia"/>
              </w:rPr>
              <w:t xml:space="preserve"> 石油钻井井身质量要求</w:t>
            </w:r>
            <w:r>
              <w:rPr>
                <w:rFonts w:hint="eastAsia"/>
              </w:rPr>
              <w:tab/>
            </w:r>
            <w:r>
              <w:rPr>
                <w:rFonts w:hint="eastAsia"/>
              </w:rPr>
              <w:tab/>
            </w:r>
            <w:r>
              <w:rPr>
                <w:rFonts w:hint="eastAsia"/>
              </w:rPr>
              <w:t>2001-02-02</w:t>
            </w:r>
            <w:r>
              <w:rPr>
                <w:rFonts w:hint="eastAsia"/>
              </w:rPr>
              <w:tab/>
            </w:r>
            <w:r>
              <w:rPr>
                <w:rFonts w:hint="eastAsia"/>
              </w:rPr>
              <w:t>现行</w:t>
            </w:r>
          </w:p>
          <w:p>
            <w:pPr>
              <w:rPr>
                <w:rFonts w:hint="eastAsia"/>
              </w:rPr>
            </w:pPr>
            <w:r>
              <w:rPr>
                <w:rFonts w:hint="eastAsia"/>
              </w:rPr>
              <w:t xml:space="preserve"> SY/T 5532-2016</w:t>
            </w:r>
            <w:r>
              <w:rPr>
                <w:rFonts w:hint="eastAsia"/>
              </w:rPr>
              <w:tab/>
            </w:r>
            <w:r>
              <w:rPr>
                <w:rFonts w:hint="eastAsia"/>
              </w:rPr>
              <w:t xml:space="preserve"> 石油钻井和修井用绞车</w:t>
            </w:r>
            <w:r>
              <w:rPr>
                <w:rFonts w:hint="eastAsia"/>
              </w:rPr>
              <w:tab/>
            </w:r>
            <w:r>
              <w:rPr>
                <w:rFonts w:hint="eastAsia"/>
              </w:rPr>
              <w:t>国家能源局</w:t>
            </w:r>
            <w:r>
              <w:rPr>
                <w:rFonts w:hint="eastAsia"/>
              </w:rPr>
              <w:tab/>
            </w:r>
            <w:r>
              <w:rPr>
                <w:rFonts w:hint="eastAsia"/>
              </w:rPr>
              <w:t>2017-05-01</w:t>
            </w:r>
            <w:r>
              <w:rPr>
                <w:rFonts w:hint="eastAsia"/>
              </w:rPr>
              <w:tab/>
            </w:r>
            <w:r>
              <w:rPr>
                <w:rFonts w:hint="eastAsia"/>
              </w:rPr>
              <w:t>现行</w:t>
            </w:r>
          </w:p>
          <w:p>
            <w:pPr>
              <w:rPr>
                <w:rFonts w:hint="eastAsia"/>
              </w:rPr>
            </w:pPr>
            <w:r>
              <w:rPr>
                <w:rFonts w:hint="eastAsia"/>
              </w:rPr>
              <w:t xml:space="preserve"> SY/T 6192-2012</w:t>
            </w:r>
            <w:r>
              <w:rPr>
                <w:rFonts w:hint="eastAsia"/>
              </w:rPr>
              <w:tab/>
            </w:r>
            <w:r>
              <w:rPr>
                <w:rFonts w:hint="eastAsia"/>
              </w:rPr>
              <w:t xml:space="preserve"> 石油钻井工程数据项名称规范</w:t>
            </w:r>
            <w:r>
              <w:rPr>
                <w:rFonts w:hint="eastAsia"/>
              </w:rPr>
              <w:tab/>
            </w:r>
            <w:r>
              <w:rPr>
                <w:rFonts w:hint="eastAsia"/>
              </w:rPr>
              <w:t>国家能源局</w:t>
            </w:r>
            <w:r>
              <w:rPr>
                <w:rFonts w:hint="eastAsia"/>
              </w:rPr>
              <w:tab/>
            </w:r>
            <w:r>
              <w:rPr>
                <w:rFonts w:hint="eastAsia"/>
              </w:rPr>
              <w:t>2013-03-01</w:t>
            </w:r>
            <w:r>
              <w:rPr>
                <w:rFonts w:hint="eastAsia"/>
              </w:rPr>
              <w:tab/>
            </w:r>
            <w:r>
              <w:rPr>
                <w:rFonts w:hint="eastAsia"/>
              </w:rPr>
              <w:t>现行</w:t>
            </w:r>
          </w:p>
          <w:p>
            <w:pPr>
              <w:rPr>
                <w:rFonts w:hint="eastAsia"/>
              </w:rPr>
            </w:pPr>
            <w:r>
              <w:rPr>
                <w:rFonts w:hint="eastAsia"/>
              </w:rPr>
              <w:t xml:space="preserve"> SY/T 6739-2014</w:t>
            </w:r>
            <w:r>
              <w:rPr>
                <w:rFonts w:hint="eastAsia"/>
              </w:rPr>
              <w:tab/>
            </w:r>
            <w:r>
              <w:rPr>
                <w:rFonts w:hint="eastAsia"/>
              </w:rPr>
              <w:t xml:space="preserve"> 石油钻井参数监测仪通用技术条件</w:t>
            </w:r>
            <w:r>
              <w:rPr>
                <w:rFonts w:hint="eastAsia"/>
              </w:rPr>
              <w:tab/>
            </w:r>
            <w:r>
              <w:rPr>
                <w:rFonts w:hint="eastAsia"/>
              </w:rPr>
              <w:t>国家能源局</w:t>
            </w:r>
            <w:r>
              <w:rPr>
                <w:rFonts w:hint="eastAsia"/>
              </w:rPr>
              <w:tab/>
            </w:r>
            <w:r>
              <w:rPr>
                <w:rFonts w:hint="eastAsia"/>
              </w:rPr>
              <w:t>2015-03-01</w:t>
            </w:r>
            <w:r>
              <w:rPr>
                <w:rFonts w:hint="eastAsia"/>
              </w:rPr>
              <w:tab/>
            </w:r>
            <w:r>
              <w:rPr>
                <w:rFonts w:hint="eastAsia"/>
              </w:rPr>
              <w:t>现行</w:t>
            </w:r>
          </w:p>
          <w:p>
            <w:pPr>
              <w:rPr>
                <w:rFonts w:hint="eastAsia"/>
              </w:rPr>
            </w:pPr>
            <w:r>
              <w:rPr>
                <w:rFonts w:hint="eastAsia"/>
              </w:rPr>
              <w:t xml:space="preserve"> SY 6984-2014</w:t>
            </w:r>
            <w:r>
              <w:rPr>
                <w:rFonts w:hint="eastAsia"/>
              </w:rPr>
              <w:tab/>
            </w:r>
            <w:r>
              <w:rPr>
                <w:rFonts w:hint="eastAsia"/>
              </w:rPr>
              <w:t xml:space="preserve"> 滩海陆岸石油钻井设施安全规范</w:t>
            </w:r>
            <w:r>
              <w:rPr>
                <w:rFonts w:hint="eastAsia"/>
              </w:rPr>
              <w:tab/>
            </w:r>
            <w:r>
              <w:rPr>
                <w:rFonts w:hint="eastAsia"/>
              </w:rPr>
              <w:t>国家能源局</w:t>
            </w:r>
            <w:r>
              <w:rPr>
                <w:rFonts w:hint="eastAsia"/>
              </w:rPr>
              <w:tab/>
            </w:r>
            <w:r>
              <w:rPr>
                <w:rFonts w:hint="eastAsia"/>
              </w:rPr>
              <w:t>2015-03-01</w:t>
            </w:r>
            <w:r>
              <w:rPr>
                <w:rFonts w:hint="eastAsia"/>
              </w:rPr>
              <w:tab/>
            </w:r>
            <w:r>
              <w:rPr>
                <w:rFonts w:hint="eastAsia"/>
              </w:rPr>
              <w:t>现行</w:t>
            </w:r>
          </w:p>
          <w:p>
            <w:r>
              <w:rPr>
                <w:rFonts w:hint="eastAsia"/>
              </w:rPr>
              <w:t xml:space="preserve"> SY/T 7371-2017</w:t>
            </w:r>
            <w:r>
              <w:rPr>
                <w:rFonts w:hint="eastAsia"/>
              </w:rPr>
              <w:tab/>
            </w:r>
            <w:r>
              <w:rPr>
                <w:rFonts w:hint="eastAsia"/>
              </w:rPr>
              <w:t xml:space="preserve"> 石油钻井合理利用网电技术导则</w:t>
            </w:r>
            <w:r>
              <w:rPr>
                <w:rFonts w:hint="eastAsia"/>
              </w:rPr>
              <w:tab/>
            </w:r>
            <w:r>
              <w:rPr>
                <w:rFonts w:hint="eastAsia"/>
              </w:rPr>
              <w:t>国家能源局</w:t>
            </w:r>
            <w:r>
              <w:rPr>
                <w:rFonts w:hint="eastAsia"/>
              </w:rPr>
              <w:tab/>
            </w:r>
            <w:r>
              <w:rPr>
                <w:rFonts w:hint="eastAsia"/>
              </w:rPr>
              <w:t>2017-08-01</w:t>
            </w:r>
            <w:r>
              <w:rPr>
                <w:rFonts w:hint="eastAsia"/>
              </w:rPr>
              <w:tab/>
            </w:r>
            <w:r>
              <w:rPr>
                <w:rFonts w:hint="eastAsia"/>
              </w:rPr>
              <w:t>现行</w:t>
            </w:r>
          </w:p>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987" w:type="dxa"/>
          </w:tcPr>
          <w:p>
            <w:pPr>
              <w:rPr>
                <w:b/>
                <w:color w:val="000000" w:themeColor="text1"/>
                <w:sz w:val="20"/>
                <w:szCs w:val="20"/>
              </w:rPr>
            </w:pPr>
          </w:p>
        </w:tc>
        <w:tc>
          <w:tcPr>
            <w:tcW w:w="4399"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987" w:type="dxa"/>
          </w:tcPr>
          <w:p>
            <w:pPr>
              <w:rPr>
                <w:b/>
                <w:color w:val="000000" w:themeColor="text1"/>
                <w:sz w:val="20"/>
                <w:szCs w:val="20"/>
              </w:rPr>
            </w:pPr>
          </w:p>
        </w:tc>
        <w:tc>
          <w:tcPr>
            <w:tcW w:w="4399"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987" w:type="dxa"/>
          </w:tcPr>
          <w:p>
            <w:pPr>
              <w:rPr>
                <w:b/>
                <w:color w:val="000000" w:themeColor="text1"/>
                <w:sz w:val="20"/>
                <w:szCs w:val="20"/>
              </w:rPr>
            </w:pPr>
          </w:p>
        </w:tc>
        <w:tc>
          <w:tcPr>
            <w:tcW w:w="4399"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9</w:t>
      </w:r>
      <w:r>
        <w:rPr>
          <w:rFonts w:hint="eastAsia"/>
          <w:b/>
          <w:color w:val="000000" w:themeColor="text1"/>
          <w:spacing w:val="-10"/>
          <w:szCs w:val="21"/>
        </w:rPr>
        <w:t>月</w:t>
      </w:r>
      <w:bookmarkStart w:id="10" w:name="OLE_LINK1"/>
      <w:r>
        <w:rPr>
          <w:rFonts w:hint="eastAsia"/>
          <w:b/>
          <w:color w:val="000000" w:themeColor="text1"/>
          <w:spacing w:val="-10"/>
          <w:szCs w:val="21"/>
          <w:lang w:val="en-US" w:eastAsia="zh-CN"/>
        </w:rPr>
        <w:t>10</w:t>
      </w:r>
      <w:r>
        <w:rPr>
          <w:rFonts w:hint="eastAsia"/>
          <w:b/>
          <w:color w:val="000000" w:themeColor="text1"/>
          <w:spacing w:val="-10"/>
          <w:szCs w:val="21"/>
        </w:rPr>
        <w:t>日</w:t>
      </w:r>
      <w:bookmarkEnd w:id="10"/>
      <w:r>
        <w:rPr>
          <w:rFonts w:hint="eastAsia"/>
          <w:b/>
          <w:color w:val="000000" w:themeColor="text1"/>
          <w:spacing w:val="-10"/>
          <w:szCs w:val="21"/>
        </w:rPr>
        <w:t>至</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7</w:t>
      </w:r>
      <w:r>
        <w:rPr>
          <w:rFonts w:hint="eastAsia"/>
          <w:b/>
          <w:color w:val="000000" w:themeColor="text1"/>
          <w:spacing w:val="-10"/>
          <w:szCs w:val="21"/>
        </w:rPr>
        <w:t>月</w:t>
      </w:r>
      <w:r>
        <w:rPr>
          <w:rFonts w:hint="eastAsia"/>
          <w:b/>
          <w:color w:val="000000" w:themeColor="text1"/>
          <w:spacing w:val="-10"/>
          <w:szCs w:val="21"/>
          <w:lang w:val="en-US" w:eastAsia="zh-CN"/>
        </w:rPr>
        <w:t>24</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rPr>
                <w:rFonts w:hint="eastAsia"/>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rPr>
                <w:rFonts w:hint="eastAsia" w:ascii="Times New Roman" w:hAnsi="Times New Roman" w:cs="Times New Roman"/>
                <w:szCs w:val="22"/>
              </w:rPr>
            </w:pPr>
            <w:r>
              <w:rPr>
                <w:rFonts w:hint="eastAsia" w:ascii="Times New Roman" w:hAnsi="Times New Roman" w:cs="Times New Roman"/>
                <w:szCs w:val="22"/>
              </w:rPr>
              <w:t>北京中润信能源技术有限公司,2009年09月21日成立，经营范围包括钻井、石油、煤层气的技术开发、技术服务、技术咨询、技术转让；租赁机械设备（不含汽车租赁）；工程技术研究与试验发展；工程勘察设计；专业承包、劳务分包、施工总承包；销售机械设备、计算机、软件及辅助设备；货物进出口、技术进出口、代理进出口。（市场主体依法自主选择经营项目，开展经营活动；依法须经批准的项目，经相关部门批准后依批准的内容开展经营活动；不得从事国家和本市产业政策禁止和限制类项目的经营活动。）</w:t>
            </w:r>
          </w:p>
          <w:p>
            <w:pPr>
              <w:rPr>
                <w:rFonts w:hint="eastAsia" w:ascii="Times New Roman" w:hAnsi="Times New Roman" w:cs="Times New Roman"/>
                <w:szCs w:val="22"/>
              </w:rPr>
            </w:pPr>
            <w:r>
              <w:rPr>
                <w:rFonts w:hint="eastAsia" w:ascii="Times New Roman" w:hAnsi="Times New Roman" w:cs="Times New Roman"/>
                <w:szCs w:val="22"/>
              </w:rPr>
              <w:t>公司通过对自身服务、规模、能力、财务、市场、管理等现状及行业趋势的分析：确定了影响公司的内外部环境因素，这些因素包括了需要考虑的正面和负面因素或条件。并对已识别的内、外部环境因素的信息进行连续监视和定期评审，判断其影响程度及变化趋势，制定并实施发展战略，确保公司长期稳定的发展。</w:t>
            </w:r>
          </w:p>
          <w:p>
            <w:pPr>
              <w:spacing w:line="240" w:lineRule="exact"/>
              <w:rPr>
                <w:b/>
                <w:color w:val="000000" w:themeColor="text1"/>
                <w:sz w:val="20"/>
                <w:szCs w:val="20"/>
              </w:rPr>
            </w:pPr>
            <w:r>
              <w:rPr>
                <w:rFonts w:hint="eastAsia" w:ascii="Times New Roman" w:hAnsi="Times New Roman" w:cs="Times New Roman"/>
                <w:szCs w:val="22"/>
              </w:rPr>
              <w:t>公司每年</w:t>
            </w:r>
            <w:r>
              <w:rPr>
                <w:rFonts w:hint="eastAsia" w:cs="Times New Roman"/>
                <w:szCs w:val="22"/>
                <w:lang w:eastAsia="zh-CN"/>
              </w:rPr>
              <w:t>行政部</w:t>
            </w:r>
            <w:r>
              <w:rPr>
                <w:rFonts w:hint="eastAsia" w:ascii="Times New Roman" w:hAnsi="Times New Roman" w:cs="Times New Roman"/>
                <w:szCs w:val="22"/>
              </w:rPr>
              <w:t>根据由公司办公、销售服务等人员从市场、客户、网络等搜集到的信息并结合公司自身业务运作情况进行分析，通过分析对这些内部和外部因素的相关信息进行监视和评审以确保其充分和适宜。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rPr>
                <w:rFonts w:hint="eastAsia"/>
              </w:rPr>
            </w:pPr>
            <w:r>
              <w:rPr>
                <w:b/>
                <w:color w:val="000000" w:themeColor="text1"/>
                <w:sz w:val="20"/>
                <w:szCs w:val="20"/>
              </w:rPr>
              <w:t>2、</w:t>
            </w:r>
            <w:r>
              <w:rPr>
                <w:rFonts w:hint="eastAsia"/>
                <w:b/>
                <w:color w:val="000000" w:themeColor="text1"/>
                <w:sz w:val="20"/>
                <w:szCs w:val="20"/>
              </w:rPr>
              <w:t>相关方需求和期望识别情况</w:t>
            </w:r>
          </w:p>
          <w:p>
            <w:pPr>
              <w:numPr>
                <w:ilvl w:val="0"/>
                <w:numId w:val="0"/>
              </w:numPr>
              <w:rPr>
                <w:rFonts w:hint="eastAsia"/>
              </w:rPr>
            </w:pPr>
            <w:r>
              <w:rPr>
                <w:rFonts w:hint="eastAsia"/>
              </w:rPr>
              <w:t>在公司运营过程中充分考虑相关方方面的期望或要求，识别的相关方有：顾客、最终用户或受益人、业主，股东、员工等。销售部门和相关职能部门通过日常例会、市场活动、现场拜访、产品展销会、客户调查等多种渠道和方式方法随时了解相关方的需求和期望。做为公司经营风险分析和发展机遇的可利用资源。</w:t>
            </w:r>
          </w:p>
          <w:p>
            <w:pPr>
              <w:numPr>
                <w:ilvl w:val="0"/>
                <w:numId w:val="0"/>
              </w:numPr>
              <w:spacing w:line="240" w:lineRule="exact"/>
              <w:rPr>
                <w:rFonts w:hint="eastAsia"/>
              </w:rPr>
            </w:pPr>
            <w:r>
              <w:rPr>
                <w:rFonts w:hint="eastAsia"/>
              </w:rPr>
              <w:t>内外部环境要素识别与评估：在每年的管理评审前，由相关部门负责人进行识别并评估其适宜性。以便于持续满足相关方的需求和期望。</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lang w:eastAsia="zh-CN"/>
              </w:rPr>
              <w:t>☑</w:t>
            </w:r>
            <w:r>
              <w:rPr>
                <w:rFonts w:hint="eastAsia" w:ascii="宋体" w:hAnsi="宋体"/>
                <w:b/>
                <w:color w:val="000000" w:themeColor="text1"/>
                <w:sz w:val="20"/>
                <w:szCs w:val="20"/>
              </w:rPr>
              <w:t>质量/</w:t>
            </w:r>
            <w:r>
              <w:rPr>
                <w:rFonts w:hint="eastAsia"/>
                <w:b/>
                <w:color w:val="000000" w:themeColor="text1"/>
                <w:spacing w:val="-10"/>
                <w:sz w:val="20"/>
                <w:szCs w:val="20"/>
              </w:rPr>
              <w:t>□</w:t>
            </w:r>
            <w:r>
              <w:rPr>
                <w:rFonts w:hint="eastAsia" w:ascii="宋体" w:hAnsi="宋体"/>
                <w:b/>
                <w:color w:val="000000" w:themeColor="text1"/>
                <w:sz w:val="20"/>
                <w:szCs w:val="20"/>
              </w:rPr>
              <w:t>环境/</w:t>
            </w:r>
            <w:r>
              <w:rPr>
                <w:rFonts w:hint="eastAsia"/>
                <w:b/>
                <w:color w:val="000000" w:themeColor="text1"/>
                <w:spacing w:val="-10"/>
                <w:sz w:val="20"/>
                <w:szCs w:val="20"/>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rPr>
                <w:rFonts w:hint="eastAsia" w:ascii="Times New Roman" w:hAnsi="Times New Roman" w:cs="Times New Roman"/>
                <w:szCs w:val="22"/>
              </w:rPr>
            </w:pPr>
            <w:r>
              <w:rPr>
                <w:rFonts w:hint="eastAsia" w:ascii="Times New Roman" w:hAnsi="Times New Roman" w:cs="Times New Roman"/>
                <w:szCs w:val="22"/>
              </w:rPr>
              <w:t>经充分考虑本组织特点，公司的</w:t>
            </w:r>
            <w:r>
              <w:rPr>
                <w:rFonts w:hint="eastAsia" w:ascii="Times New Roman" w:hAnsi="Times New Roman" w:cs="Times New Roman"/>
                <w:szCs w:val="22"/>
                <w:lang w:eastAsia="zh-CN"/>
              </w:rPr>
              <w:t>管理</w:t>
            </w:r>
            <w:r>
              <w:rPr>
                <w:rFonts w:hint="eastAsia" w:ascii="Times New Roman" w:hAnsi="Times New Roman" w:cs="Times New Roman"/>
                <w:szCs w:val="22"/>
              </w:rPr>
              <w:t>方针是：</w:t>
            </w:r>
          </w:p>
          <w:p>
            <w:pPr>
              <w:rPr>
                <w:rFonts w:hint="eastAsia"/>
              </w:rPr>
            </w:pPr>
            <w:r>
              <w:rPr>
                <w:rFonts w:hint="eastAsia"/>
              </w:rPr>
              <w:t>科学管理，诚信服务，确保顾客满意；</w:t>
            </w:r>
          </w:p>
          <w:p>
            <w:pPr>
              <w:rPr>
                <w:rFonts w:hint="eastAsia"/>
              </w:rPr>
            </w:pPr>
            <w:r>
              <w:rPr>
                <w:rFonts w:hint="eastAsia"/>
              </w:rPr>
              <w:t>以人为本，持续改进，促进公司发展。</w:t>
            </w:r>
          </w:p>
          <w:p>
            <w:pPr>
              <w:rPr>
                <w:rFonts w:hint="eastAsia" w:asciiTheme="minorEastAsia" w:hAnsiTheme="minorEastAsia" w:eastAsiaTheme="minorEastAsia" w:cstheme="minorEastAsia"/>
                <w:b w:val="0"/>
                <w:bCs w:val="0"/>
                <w:color w:val="auto"/>
                <w:spacing w:val="0"/>
                <w:kern w:val="2"/>
                <w:sz w:val="21"/>
                <w:szCs w:val="21"/>
                <w:lang w:val="en-US" w:eastAsia="zh-CN" w:bidi="ar-SA"/>
              </w:rPr>
            </w:pPr>
            <w:r>
              <w:rPr>
                <w:rFonts w:hint="eastAsia" w:ascii="Times New Roman" w:hAnsi="Times New Roman" w:cs="Times New Roman"/>
                <w:szCs w:val="22"/>
                <w:lang w:val="en-US" w:eastAsia="zh-CN"/>
              </w:rPr>
              <w:t>通过管理手册的分发使全体员工理解方针，通过内审和管理评审保持方针的适宜性</w:t>
            </w:r>
            <w:r>
              <w:rPr>
                <w:rFonts w:hint="eastAsia" w:asciiTheme="minorEastAsia" w:hAnsiTheme="minorEastAsia" w:eastAsiaTheme="minorEastAsia" w:cstheme="minorEastAsia"/>
                <w:b w:val="0"/>
                <w:bCs w:val="0"/>
                <w:color w:val="auto"/>
                <w:spacing w:val="0"/>
                <w:kern w:val="2"/>
                <w:sz w:val="21"/>
                <w:szCs w:val="21"/>
                <w:lang w:val="en-US" w:eastAsia="zh-CN" w:bidi="ar-SA"/>
              </w:rPr>
              <w:t>。</w:t>
            </w:r>
          </w:p>
          <w:p>
            <w:pPr>
              <w:spacing w:line="240" w:lineRule="exact"/>
              <w:ind w:left="199" w:leftChars="95"/>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pStyle w:val="10"/>
              <w:numPr>
                <w:ilvl w:val="0"/>
                <w:numId w:val="2"/>
              </w:numPr>
              <w:ind w:left="0" w:leftChars="0" w:firstLine="0" w:firstLineChars="0"/>
              <w:rPr>
                <w:rFonts w:hint="eastAsia"/>
                <w:b/>
                <w:color w:val="000000" w:themeColor="text1"/>
              </w:rPr>
            </w:pPr>
            <w:r>
              <w:rPr>
                <w:rFonts w:hint="eastAsia"/>
                <w:b/>
                <w:color w:val="000000" w:themeColor="text1"/>
              </w:rPr>
              <w:t>风险识别与控制策划（QMS）</w:t>
            </w:r>
          </w:p>
          <w:p>
            <w:pPr>
              <w:pStyle w:val="10"/>
              <w:numPr>
                <w:ilvl w:val="0"/>
                <w:numId w:val="0"/>
              </w:numPr>
              <w:ind w:leftChars="0"/>
              <w:rPr>
                <w:rFonts w:hint="eastAsia" w:asciiTheme="minorEastAsia" w:hAnsiTheme="minorEastAsia" w:eastAsiaTheme="minorEastAsia" w:cstheme="minorEastAsia"/>
                <w:b w:val="0"/>
                <w:bCs w:val="0"/>
                <w:color w:val="auto"/>
                <w:spacing w:val="0"/>
                <w:kern w:val="2"/>
                <w:sz w:val="21"/>
                <w:szCs w:val="21"/>
                <w:lang w:val="en-US" w:eastAsia="zh-CN" w:bidi="ar-SA"/>
              </w:rPr>
            </w:pPr>
            <w:r>
              <w:rPr>
                <w:rFonts w:hint="eastAsia" w:asciiTheme="minorEastAsia" w:hAnsiTheme="minorEastAsia" w:eastAsiaTheme="minorEastAsia" w:cstheme="minorEastAsia"/>
                <w:b w:val="0"/>
                <w:bCs w:val="0"/>
                <w:color w:val="auto"/>
                <w:spacing w:val="0"/>
                <w:kern w:val="2"/>
                <w:sz w:val="21"/>
                <w:szCs w:val="21"/>
                <w:lang w:val="en-US" w:eastAsia="zh-CN" w:bidi="ar-SA"/>
              </w:rPr>
              <w:t>制定了《风险和机遇的应对控制程序》，明确风险和机遇事件的识别方法/途径、风险和机遇事件的评估方式、制定主要风险和机遇事件的应对措施的要求、评价这些措施有效性的方法。</w:t>
            </w:r>
          </w:p>
          <w:p>
            <w:pPr>
              <w:pStyle w:val="10"/>
              <w:rPr>
                <w:rFonts w:hint="eastAsia" w:asciiTheme="minorEastAsia" w:hAnsiTheme="minorEastAsia" w:eastAsiaTheme="minorEastAsia" w:cstheme="minorEastAsia"/>
                <w:b w:val="0"/>
                <w:bCs w:val="0"/>
                <w:color w:val="auto"/>
                <w:spacing w:val="0"/>
                <w:kern w:val="2"/>
                <w:sz w:val="21"/>
                <w:szCs w:val="21"/>
                <w:lang w:val="en-US" w:eastAsia="zh-CN" w:bidi="ar-SA"/>
              </w:rPr>
            </w:pPr>
            <w:r>
              <w:rPr>
                <w:rFonts w:hint="eastAsia" w:asciiTheme="minorEastAsia" w:hAnsiTheme="minorEastAsia" w:eastAsiaTheme="minorEastAsia" w:cstheme="minorEastAsia"/>
                <w:b w:val="0"/>
                <w:bCs w:val="0"/>
                <w:color w:val="auto"/>
                <w:spacing w:val="0"/>
                <w:kern w:val="2"/>
                <w:sz w:val="21"/>
                <w:szCs w:val="21"/>
                <w:lang w:val="en-US" w:eastAsia="zh-CN" w:bidi="ar-SA"/>
              </w:rPr>
              <w:t>提供了“2020-2021年度 SWOT经营环境分析及对策报告”，对影响公司经营和发展的各种因素（内外部环境、相关方要求等）进行分析，确定需要应对的风险和机遇</w:t>
            </w:r>
          </w:p>
          <w:p>
            <w:pPr>
              <w:spacing w:line="240" w:lineRule="exact"/>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rPr>
                <w:rFonts w:hint="eastAsia" w:ascii="宋体" w:hAnsi="宋体"/>
                <w:b/>
                <w:color w:val="000000" w:themeColor="text1"/>
                <w:sz w:val="20"/>
                <w:szCs w:val="20"/>
              </w:rPr>
            </w:pPr>
            <w:r>
              <w:rPr>
                <w:rFonts w:hint="eastAsia" w:ascii="宋体" w:hAnsi="宋体"/>
                <w:b/>
                <w:color w:val="000000" w:themeColor="text1"/>
                <w:sz w:val="20"/>
                <w:szCs w:val="20"/>
              </w:rPr>
              <w:t>质量管理体系过程有：</w:t>
            </w:r>
          </w:p>
          <w:p>
            <w:pPr>
              <w:rPr>
                <w:rFonts w:hint="eastAsia" w:ascii="Times New Roman" w:hAnsi="Times New Roman" w:eastAsia="宋体" w:cs="Times New Roman"/>
                <w:highlight w:val="none"/>
                <w:lang w:val="en-US" w:eastAsia="zh-CN"/>
              </w:rPr>
            </w:pPr>
            <w:r>
              <w:rPr>
                <w:rFonts w:hint="eastAsia"/>
              </w:rPr>
              <w:t>顾客沟通—合同评审—签订合同--前期考察调研---资料收集--汇总分析--数据模拟推算---编辑处理计划-------出最佳处理方案---客户确认—交付—后续服务</w:t>
            </w:r>
          </w:p>
          <w:p>
            <w:pPr>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外包：</w:t>
            </w:r>
            <w:r>
              <w:rPr>
                <w:rFonts w:hint="eastAsia" w:cs="Times New Roman"/>
                <w:highlight w:val="none"/>
                <w:lang w:val="en-US" w:eastAsia="zh-CN"/>
              </w:rPr>
              <w:t>无</w:t>
            </w:r>
          </w:p>
          <w:p>
            <w:pPr>
              <w:rPr>
                <w:rFonts w:hint="default"/>
                <w:highlight w:val="none"/>
                <w:lang w:val="en-US" w:eastAsia="zh-CN"/>
              </w:rPr>
            </w:pPr>
            <w:r>
              <w:rPr>
                <w:rFonts w:hint="eastAsia" w:ascii="Times New Roman" w:hAnsi="Times New Roman" w:eastAsia="宋体" w:cs="Times New Roman"/>
                <w:highlight w:val="none"/>
                <w:lang w:val="en-US" w:eastAsia="zh-CN"/>
              </w:rPr>
              <w:t>关键过程：</w:t>
            </w:r>
            <w:r>
              <w:rPr>
                <w:rFonts w:hint="eastAsia"/>
                <w:highlight w:val="none"/>
                <w:lang w:val="en-US" w:eastAsia="zh-CN"/>
              </w:rPr>
              <w:t>服务过程</w:t>
            </w:r>
          </w:p>
          <w:p>
            <w:pPr>
              <w:rPr>
                <w:rFonts w:hint="default"/>
                <w:highlight w:val="none"/>
                <w:lang w:val="en-US" w:eastAsia="zh-CN"/>
              </w:rPr>
            </w:pPr>
            <w:r>
              <w:rPr>
                <w:rFonts w:hint="eastAsia"/>
                <w:highlight w:val="none"/>
                <w:lang w:val="en-US" w:eastAsia="zh-CN"/>
              </w:rPr>
              <w:t>特殊过程：服务过程</w:t>
            </w:r>
          </w:p>
          <w:p>
            <w:pPr>
              <w:tabs>
                <w:tab w:val="left" w:pos="540"/>
              </w:tabs>
              <w:spacing w:line="300" w:lineRule="exact"/>
              <w:ind w:left="201" w:hanging="201" w:hangingChars="100"/>
              <w:rPr>
                <w:rFonts w:ascii="宋体" w:hAnsi="宋体"/>
                <w:b/>
                <w:color w:val="000000" w:themeColor="text1"/>
                <w:sz w:val="20"/>
                <w:szCs w:val="20"/>
              </w:rPr>
            </w:pPr>
            <w:r>
              <w:rPr>
                <w:rFonts w:hint="eastAsia" w:ascii="宋体" w:hAnsi="宋体"/>
                <w:b/>
                <w:color w:val="000000" w:themeColor="text1"/>
                <w:sz w:val="20"/>
                <w:szCs w:val="20"/>
              </w:rPr>
              <w:t xml:space="preserve">不适用条款是   </w:t>
            </w:r>
            <w:r>
              <w:rPr>
                <w:rFonts w:hint="eastAsia" w:ascii="宋体" w:hAnsi="宋体"/>
                <w:b/>
                <w:color w:val="000000" w:themeColor="text1"/>
                <w:sz w:val="20"/>
                <w:szCs w:val="20"/>
                <w:lang w:val="en-US" w:eastAsia="zh-CN"/>
              </w:rPr>
              <w:t>无</w:t>
            </w:r>
            <w:r>
              <w:rPr>
                <w:rFonts w:hint="eastAsia" w:ascii="宋体" w:hAnsi="宋体"/>
                <w:b/>
                <w:color w:val="000000" w:themeColor="text1"/>
                <w:sz w:val="20"/>
                <w:szCs w:val="20"/>
              </w:rPr>
              <w:t xml:space="preserve">     ，不适用理由：                                                    </w:t>
            </w:r>
          </w:p>
          <w:p>
            <w:pPr>
              <w:tabs>
                <w:tab w:val="left" w:pos="540"/>
              </w:tabs>
              <w:spacing w:line="300" w:lineRule="exact"/>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b/>
                <w:color w:val="000000" w:themeColor="text1"/>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w:t>
            </w:r>
            <w:r>
              <w:rPr>
                <w:rFonts w:hint="eastAsia" w:ascii="宋体" w:hAnsi="宋体"/>
                <w:b/>
                <w:color w:val="000000" w:themeColor="text1"/>
                <w:szCs w:val="21"/>
                <w:lang w:val="en-US" w:eastAsia="zh-CN"/>
              </w:rPr>
              <w:t>70</w:t>
            </w:r>
            <w:r>
              <w:rPr>
                <w:rFonts w:hint="eastAsia" w:ascii="宋体" w:hAnsi="宋体"/>
                <w:b/>
                <w:color w:val="000000" w:themeColor="text1"/>
                <w:szCs w:val="21"/>
              </w:rPr>
              <w:t>项，</w:t>
            </w:r>
            <w:r>
              <w:rPr>
                <w:rFonts w:hint="eastAsia" w:ascii="宋体" w:hAnsi="宋体"/>
                <w:b/>
                <w:color w:val="000000" w:themeColor="text1"/>
                <w:szCs w:val="21"/>
              </w:rPr>
              <w:sym w:font="Wingdings" w:char="00A8"/>
            </w:r>
            <w:r>
              <w:rPr>
                <w:rFonts w:hint="eastAsia" w:ascii="宋体" w:hAnsi="宋体"/>
                <w:b/>
                <w:color w:val="000000" w:themeColor="text1"/>
                <w:szCs w:val="21"/>
              </w:rPr>
              <w:t>法律法规获取充分，</w:t>
            </w:r>
            <w:r>
              <w:rPr>
                <w:rFonts w:hint="eastAsia" w:ascii="宋体" w:hAnsi="宋体" w:eastAsia="宋体" w:cs="宋体"/>
                <w:b/>
                <w:color w:val="000000" w:themeColor="text1"/>
                <w:szCs w:val="21"/>
              </w:rPr>
              <w:t>█</w:t>
            </w:r>
            <w:r>
              <w:rPr>
                <w:rFonts w:hint="eastAsia" w:ascii="宋体" w:hAnsi="宋体"/>
                <w:b/>
                <w:color w:val="000000" w:themeColor="text1"/>
                <w:szCs w:val="21"/>
              </w:rPr>
              <w:t>法律法规获取有遗漏，缺少</w:t>
            </w:r>
            <w:r>
              <w:rPr>
                <w:rFonts w:hint="eastAsia" w:ascii="宋体" w:hAnsi="宋体"/>
                <w:b/>
                <w:color w:val="000000" w:themeColor="text1"/>
                <w:szCs w:val="21"/>
                <w:lang w:eastAsia="zh-CN"/>
              </w:rPr>
              <w:t>，已开具不符合</w:t>
            </w:r>
          </w:p>
          <w:p>
            <w:pPr>
              <w:tabs>
                <w:tab w:val="left" w:pos="540"/>
              </w:tabs>
              <w:spacing w:line="300" w:lineRule="exact"/>
              <w:ind w:left="1" w:leftChars="-43" w:hanging="91" w:hangingChars="43"/>
              <w:rPr>
                <w:rFonts w:ascii="宋体" w:hAnsi="宋体"/>
                <w:b/>
                <w:color w:val="000000" w:themeColor="text1"/>
                <w:szCs w:val="21"/>
                <w:u w:val="single"/>
              </w:rPr>
            </w:pP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w:t>
            </w:r>
            <w:r>
              <w:rPr>
                <w:rFonts w:hint="eastAsia" w:ascii="宋体" w:hAnsi="宋体"/>
                <w:b/>
                <w:color w:val="000000" w:themeColor="text1"/>
                <w:szCs w:val="21"/>
              </w:rPr>
              <w:sym w:font="Wingdings" w:char="00A8"/>
            </w:r>
            <w:r>
              <w:rPr>
                <w:rFonts w:hint="eastAsia" w:ascii="宋体" w:hAnsi="宋体"/>
                <w:b/>
                <w:color w:val="000000" w:themeColor="text1"/>
                <w:szCs w:val="21"/>
              </w:rPr>
              <w:t>环境因素</w:t>
            </w:r>
            <w:r>
              <w:rPr>
                <w:rFonts w:hint="eastAsia" w:ascii="宋体" w:hAnsi="宋体"/>
                <w:b/>
                <w:color w:val="000000" w:themeColor="text1"/>
                <w:szCs w:val="21"/>
              </w:rPr>
              <w:sym w:font="Wingdings" w:char="00A8"/>
            </w:r>
            <w:r>
              <w:rPr>
                <w:rFonts w:hint="eastAsia" w:ascii="宋体" w:hAnsi="宋体"/>
                <w:b/>
                <w:color w:val="000000" w:themeColor="text1"/>
                <w:szCs w:val="21"/>
              </w:rPr>
              <w:t>危险源，■确定 □未确定法律法规要求的具体条款，</w:t>
            </w:r>
          </w:p>
          <w:p>
            <w:pPr>
              <w:pStyle w:val="17"/>
              <w:numPr>
                <w:ilvl w:val="0"/>
                <w:numId w:val="3"/>
              </w:numPr>
              <w:tabs>
                <w:tab w:val="left" w:pos="540"/>
              </w:tabs>
              <w:spacing w:line="300" w:lineRule="exact"/>
              <w:ind w:firstLineChars="0"/>
              <w:rPr>
                <w:rFonts w:ascii="宋体" w:hAnsi="宋体"/>
                <w:szCs w:val="21"/>
              </w:rPr>
            </w:pPr>
            <w:r>
              <w:rPr>
                <w:rFonts w:hint="eastAsia" w:ascii="宋体" w:hAnsi="宋体"/>
                <w:b/>
                <w:color w:val="000000" w:themeColor="text1"/>
                <w:szCs w:val="21"/>
              </w:rPr>
              <w:t>法律法规的宣传方式：</w:t>
            </w:r>
            <w:r>
              <w:rPr>
                <w:rFonts w:hint="eastAsia" w:ascii="宋体" w:hAnsi="宋体"/>
                <w:szCs w:val="21"/>
              </w:rPr>
              <w:t>进行发放纸质文件、电子文件的形式</w:t>
            </w:r>
          </w:p>
          <w:p>
            <w:pPr>
              <w:pStyle w:val="17"/>
              <w:numPr>
                <w:ilvl w:val="0"/>
                <w:numId w:val="3"/>
              </w:numPr>
              <w:tabs>
                <w:tab w:val="left" w:pos="540"/>
              </w:tabs>
              <w:spacing w:line="300" w:lineRule="exact"/>
              <w:ind w:firstLineChars="0"/>
              <w:rPr>
                <w:rFonts w:ascii="宋体" w:hAnsi="宋体"/>
                <w:b/>
                <w:szCs w:val="21"/>
              </w:rPr>
            </w:pPr>
            <w:r>
              <w:rPr>
                <w:rFonts w:hint="eastAsia" w:ascii="宋体" w:hAnsi="宋体"/>
                <w:b/>
                <w:color w:val="000000" w:themeColor="text1"/>
                <w:szCs w:val="21"/>
              </w:rPr>
              <w:t>法律法规要求及时更新了</w:t>
            </w:r>
            <w:r>
              <w:rPr>
                <w:rFonts w:hint="eastAsia" w:ascii="宋体" w:hAnsi="宋体"/>
                <w:szCs w:val="21"/>
              </w:rPr>
              <w:t>每年一次</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240" w:lineRule="exact"/>
              <w:rPr>
                <w:rFonts w:ascii="宋体" w:hAnsi="宋体"/>
                <w:b/>
                <w:color w:val="000000" w:themeColor="text1"/>
              </w:rPr>
            </w:pPr>
            <w:r>
              <w:rPr>
                <w:rFonts w:hint="eastAsia"/>
                <w:bCs/>
                <w:szCs w:val="21"/>
              </w:rPr>
              <w:t>在组织各职能和层次上建立了管理目标指标，并制定了相应控制方案。基本适宜公司特点。目标具有可测量性，对目标完成情况进行了考核。对制订的管理方案实施情况定期进行检查。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6.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文审整改后符合要求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vAlign w:val="top"/>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spacing w:line="300" w:lineRule="exact"/>
              <w:rPr>
                <w:rFonts w:ascii="宋体" w:hAnsi="宋体"/>
                <w:b/>
                <w:color w:val="000000" w:themeColor="text1"/>
                <w:sz w:val="20"/>
                <w:szCs w:val="20"/>
              </w:rPr>
            </w:pPr>
            <w:r>
              <w:rPr>
                <w:rFonts w:hint="eastAsia"/>
                <w:bCs/>
                <w:szCs w:val="21"/>
              </w:rPr>
              <w:t>该公司员工共</w:t>
            </w:r>
            <w:r>
              <w:rPr>
                <w:rFonts w:hint="eastAsia"/>
                <w:bCs/>
                <w:szCs w:val="21"/>
                <w:lang w:val="en-US" w:eastAsia="zh-CN"/>
              </w:rPr>
              <w:t>15</w:t>
            </w:r>
            <w:r>
              <w:rPr>
                <w:rFonts w:hint="eastAsia"/>
                <w:bCs/>
                <w:szCs w:val="21"/>
              </w:rPr>
              <w:t>人，管理人员</w:t>
            </w:r>
            <w:r>
              <w:rPr>
                <w:rFonts w:hint="eastAsia"/>
                <w:bCs/>
                <w:szCs w:val="21"/>
                <w:lang w:val="en-US" w:eastAsia="zh-CN"/>
              </w:rPr>
              <w:t>5</w:t>
            </w:r>
            <w:r>
              <w:rPr>
                <w:rFonts w:hint="eastAsia"/>
                <w:bCs/>
                <w:szCs w:val="21"/>
              </w:rPr>
              <w:t>人。有专业的</w:t>
            </w:r>
            <w:r>
              <w:rPr>
                <w:rFonts w:hint="eastAsia"/>
                <w:bCs/>
                <w:szCs w:val="21"/>
                <w:lang w:val="en-US" w:eastAsia="zh-CN"/>
              </w:rPr>
              <w:t>销售</w:t>
            </w:r>
            <w:r>
              <w:rPr>
                <w:rFonts w:hint="eastAsia"/>
                <w:bCs/>
                <w:szCs w:val="21"/>
              </w:rPr>
              <w:t>人员</w:t>
            </w:r>
            <w:r>
              <w:rPr>
                <w:rFonts w:hint="eastAsia"/>
                <w:bCs/>
                <w:szCs w:val="21"/>
                <w:lang w:eastAsia="zh-CN"/>
              </w:rPr>
              <w:t>、技术人员</w:t>
            </w:r>
            <w:r>
              <w:rPr>
                <w:rFonts w:hint="eastAsia"/>
                <w:bCs/>
                <w:szCs w:val="21"/>
              </w:rPr>
              <w:t>，能</w:t>
            </w:r>
            <w:r>
              <w:rPr>
                <w:rFonts w:hint="eastAsia"/>
                <w:bCs/>
                <w:szCs w:val="21"/>
                <w:lang w:eastAsia="zh-CN"/>
              </w:rPr>
              <w:t>满足</w:t>
            </w:r>
            <w:r>
              <w:rPr>
                <w:rFonts w:hint="eastAsia" w:ascii="宋体" w:hAnsi="宋体"/>
                <w:szCs w:val="21"/>
              </w:rPr>
              <w:t>技术服务</w:t>
            </w:r>
            <w:r>
              <w:rPr>
                <w:rFonts w:hint="eastAsia" w:ascii="宋体" w:hAnsi="宋体" w:cs="宋体"/>
                <w:kern w:val="0"/>
                <w:szCs w:val="21"/>
                <w:lang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300" w:lineRule="exact"/>
              <w:rPr>
                <w:rFonts w:hint="default" w:ascii="宋体" w:hAnsi="宋体"/>
                <w:szCs w:val="21"/>
                <w:lang w:val="en-US" w:eastAsia="zh-CN"/>
              </w:rPr>
            </w:pPr>
            <w:r>
              <w:rPr>
                <w:rFonts w:hint="eastAsia" w:ascii="宋体" w:hAnsi="宋体"/>
                <w:szCs w:val="21"/>
              </w:rPr>
              <w:t>设备设施（包括信息系统）</w:t>
            </w:r>
            <w:r>
              <w:rPr>
                <w:rFonts w:hint="eastAsia" w:ascii="宋体" w:hAnsi="宋体"/>
                <w:szCs w:val="21"/>
                <w:lang w:eastAsia="zh-CN"/>
              </w:rPr>
              <w:t>：</w:t>
            </w:r>
            <w:r>
              <w:rPr>
                <w:rFonts w:hint="eastAsia" w:ascii="宋体" w:hAnsi="宋体"/>
                <w:szCs w:val="21"/>
                <w:lang w:val="en-US" w:eastAsia="zh-CN"/>
              </w:rPr>
              <w:t>电脑、打印机等</w:t>
            </w:r>
          </w:p>
          <w:p>
            <w:pPr>
              <w:spacing w:line="240" w:lineRule="exact"/>
              <w:rPr>
                <w:rFonts w:ascii="宋体" w:hAnsi="宋体"/>
                <w:b/>
                <w:color w:val="000000" w:themeColor="text1"/>
                <w:sz w:val="20"/>
                <w:szCs w:val="20"/>
              </w:rPr>
            </w:pP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r>
              <w:rPr>
                <w:rFonts w:hint="eastAsia"/>
              </w:rPr>
              <w:t>现场办公区</w:t>
            </w:r>
            <w:r>
              <w:rPr>
                <w:rFonts w:hint="eastAsia"/>
                <w:lang w:val="en-US" w:eastAsia="zh-CN"/>
              </w:rPr>
              <w:t>及生产区域</w:t>
            </w:r>
            <w:r>
              <w:rPr>
                <w:rFonts w:hint="eastAsia"/>
              </w:rPr>
              <w:t>环境卫生管理，工作场所布局合理，温湿度适宜，照明良好，满足办公需求。</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pStyle w:val="10"/>
              <w:rPr>
                <w:rFonts w:hint="default" w:ascii="宋体" w:hAnsi="宋体" w:eastAsia="宋体"/>
                <w:sz w:val="21"/>
                <w:szCs w:val="21"/>
                <w:lang w:val="en-US" w:eastAsia="zh-CN"/>
              </w:rPr>
            </w:pPr>
            <w:r>
              <w:rPr>
                <w:rFonts w:hint="eastAsia" w:ascii="宋体" w:hAnsi="宋体"/>
                <w:b/>
                <w:color w:val="000000" w:themeColor="text1"/>
                <w:sz w:val="20"/>
                <w:szCs w:val="20"/>
              </w:rPr>
              <w:t>监视和测量资源</w:t>
            </w:r>
            <w:r>
              <w:rPr>
                <w:rFonts w:hint="eastAsia" w:ascii="宋体" w:hAnsi="宋体"/>
                <w:b/>
                <w:color w:val="000000" w:themeColor="text1"/>
                <w:sz w:val="20"/>
                <w:szCs w:val="20"/>
                <w:lang w:eastAsia="zh-CN"/>
              </w:rPr>
              <w:t>：</w:t>
            </w:r>
          </w:p>
          <w:p>
            <w:pPr>
              <w:spacing w:line="240" w:lineRule="exact"/>
              <w:rPr>
                <w:rFonts w:ascii="宋体" w:hAnsi="宋体"/>
                <w:b/>
                <w:color w:val="000000" w:themeColor="text1"/>
                <w:sz w:val="20"/>
                <w:szCs w:val="20"/>
              </w:rPr>
            </w:pPr>
            <w:r>
              <w:rPr>
                <w:rFonts w:hint="eastAsia"/>
              </w:rPr>
              <w:t>有</w:t>
            </w:r>
            <w:r>
              <w:rPr>
                <w:rFonts w:hint="eastAsia"/>
                <w:lang w:eastAsia="zh-CN"/>
              </w:rPr>
              <w:t>质量运行</w:t>
            </w:r>
            <w:r>
              <w:rPr>
                <w:rFonts w:hint="eastAsia"/>
              </w:rPr>
              <w:t>检查记录，能不定期对</w:t>
            </w:r>
            <w:r>
              <w:rPr>
                <w:rFonts w:hint="eastAsia"/>
                <w:lang w:eastAsia="zh-CN"/>
              </w:rPr>
              <w:t>质量管理体系过程</w:t>
            </w:r>
            <w:r>
              <w:rPr>
                <w:rFonts w:hint="eastAsia"/>
              </w:rPr>
              <w:t>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sz w:val="21"/>
                <w:szCs w:val="21"/>
              </w:rPr>
            </w:pPr>
            <w:r>
              <w:rPr>
                <w:rFonts w:hint="eastAsia" w:ascii="宋体" w:hAnsi="宋体"/>
                <w:b/>
                <w:sz w:val="21"/>
                <w:szCs w:val="21"/>
              </w:rPr>
              <w:t>知识</w:t>
            </w:r>
          </w:p>
          <w:p>
            <w:r>
              <w:rPr>
                <w:rFonts w:hint="eastAsia"/>
              </w:rPr>
              <w:t>公司确定运行过程所需的知识，内部来源包括公司运作准则（管理制度、工作记录等）等。外部来源包括外来资料如认证标准、法律法规、市场信息等。</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color w:val="000000" w:themeColor="text1"/>
                <w:sz w:val="20"/>
                <w:szCs w:val="20"/>
              </w:rPr>
            </w:pPr>
            <w:r>
              <w:rPr>
                <w:rFonts w:hint="eastAsia"/>
              </w:rPr>
              <w:t>配备有</w:t>
            </w:r>
            <w:r>
              <w:rPr>
                <w:rFonts w:hint="eastAsia"/>
                <w:lang w:eastAsia="zh-CN"/>
              </w:rPr>
              <w:t>消防栓、灭火器</w:t>
            </w:r>
            <w:r>
              <w:rPr>
                <w:rFonts w:hint="eastAsia"/>
              </w:rPr>
              <w:t>等环保设施。</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hint="eastAsia"/>
                <w:b/>
                <w:bCs/>
              </w:rPr>
            </w:pPr>
            <w:r>
              <w:rPr>
                <w:rFonts w:hint="eastAsia"/>
                <w:b/>
                <w:bCs/>
              </w:rPr>
              <w:t>职业健康安全设施：</w:t>
            </w:r>
          </w:p>
          <w:p>
            <w:pPr>
              <w:spacing w:line="240" w:lineRule="exact"/>
              <w:rPr>
                <w:rFonts w:hint="eastAsia"/>
              </w:rPr>
            </w:pPr>
            <w:r>
              <w:rPr>
                <w:rFonts w:hint="eastAsia"/>
              </w:rPr>
              <w:t>配备有灭火器等环保设施。</w:t>
            </w:r>
          </w:p>
          <w:p>
            <w:pPr>
              <w:pStyle w:val="10"/>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vAlign w:val="top"/>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rFonts w:hint="eastAsia"/>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rPr>
                <w:b/>
                <w:color w:val="auto"/>
                <w:sz w:val="20"/>
                <w:szCs w:val="20"/>
              </w:rPr>
            </w:pPr>
            <w:r>
              <w:rPr>
                <w:rFonts w:hint="eastAsia"/>
                <w:bCs/>
                <w:color w:val="auto"/>
                <w:szCs w:val="21"/>
              </w:rPr>
              <w:t>制定的方针符合组织宗旨，对方针进行宣传和传达学习，可以确保方针为员工理解。在管理评审中对方针进行了评价，目前基本适宜。</w:t>
            </w:r>
          </w:p>
          <w:p>
            <w:pPr>
              <w:spacing w:line="300" w:lineRule="exact"/>
              <w:ind w:left="1" w:leftChars="0"/>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szCs w:val="21"/>
              </w:rPr>
            </w:pPr>
            <w:r>
              <w:rPr>
                <w:rFonts w:hint="eastAsia" w:ascii="楷体_GB2312" w:eastAsia="楷体_GB2312"/>
                <w:b/>
                <w:szCs w:val="21"/>
              </w:rPr>
              <w:t>内部沟通的情况：内部沟通方式：</w:t>
            </w:r>
            <w:r>
              <w:rPr>
                <w:rFonts w:hint="eastAsia"/>
                <w:bCs/>
                <w:szCs w:val="21"/>
              </w:rPr>
              <w:t>会议、公告栏、发放文件等</w:t>
            </w:r>
          </w:p>
          <w:p>
            <w:pPr>
              <w:spacing w:line="240" w:lineRule="exact"/>
              <w:rPr>
                <w:rFonts w:ascii="楷体_GB2312" w:eastAsia="楷体_GB2312"/>
                <w:b/>
                <w:szCs w:val="21"/>
              </w:rPr>
            </w:pPr>
            <w:r>
              <w:rPr>
                <w:rFonts w:hint="eastAsia" w:ascii="楷体_GB2312" w:eastAsia="楷体_GB2312"/>
                <w:b/>
                <w:szCs w:val="21"/>
              </w:rPr>
              <w:t xml:space="preserve">                内部沟通的效果：</w:t>
            </w:r>
            <w:r>
              <w:rPr>
                <w:rFonts w:hint="eastAsia"/>
                <w:bCs/>
                <w:szCs w:val="21"/>
              </w:rPr>
              <w:t>能够得到有效沟通</w:t>
            </w:r>
          </w:p>
          <w:p>
            <w:pPr>
              <w:spacing w:line="240" w:lineRule="exact"/>
              <w:rPr>
                <w:rFonts w:ascii="楷体_GB2312" w:eastAsia="楷体_GB2312"/>
                <w:b/>
                <w:szCs w:val="21"/>
              </w:rPr>
            </w:pPr>
          </w:p>
          <w:p>
            <w:pPr>
              <w:spacing w:line="240" w:lineRule="exact"/>
              <w:rPr>
                <w:bCs/>
                <w:szCs w:val="21"/>
              </w:rPr>
            </w:pPr>
            <w:r>
              <w:rPr>
                <w:rFonts w:hint="eastAsia" w:ascii="楷体_GB2312" w:eastAsia="楷体_GB2312"/>
                <w:b/>
                <w:szCs w:val="21"/>
              </w:rPr>
              <w:t>组织对外联络，关注顾客的感受情况（QMS）：</w:t>
            </w:r>
            <w:r>
              <w:rPr>
                <w:rFonts w:hint="eastAsia"/>
                <w:bCs/>
                <w:szCs w:val="21"/>
              </w:rPr>
              <w:t>顾客满意度调查表的发放、电话回访、到顾客现场进行询问、相关方告知书等形式</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Cs w:val="21"/>
              </w:rPr>
            </w:pP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pStyle w:val="10"/>
              <w:rPr>
                <w:color w:val="000000" w:themeColor="text1"/>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w:t>
            </w:r>
            <w:r>
              <w:rPr>
                <w:rFonts w:hint="eastAsia" w:ascii="宋体" w:hAnsi="宋体" w:cs="宋体"/>
                <w:color w:val="000000" w:themeColor="text1"/>
                <w:szCs w:val="21"/>
              </w:rPr>
              <w:t>括回访和顾客满意度调查），相关绩效表明：组织基本能有效控制管理其服务</w:t>
            </w:r>
            <w:r>
              <w:rPr>
                <w:rFonts w:hint="eastAsia" w:ascii="宋体" w:hAnsi="宋体" w:cs="宋体"/>
                <w:color w:val="000000"/>
                <w:szCs w:val="21"/>
              </w:rPr>
              <w:t>过程，</w:t>
            </w:r>
            <w:r>
              <w:rPr>
                <w:rFonts w:hint="eastAsia" w:ascii="宋体" w:hAnsi="宋体" w:cs="宋体"/>
                <w:color w:val="000000"/>
                <w:szCs w:val="21"/>
                <w:lang w:val="en-US" w:eastAsia="zh-CN"/>
              </w:rPr>
              <w:t>需要确认的过程是</w:t>
            </w:r>
            <w:r>
              <w:rPr>
                <w:rFonts w:hint="eastAsia"/>
                <w:highlight w:val="none"/>
                <w:lang w:val="en-US" w:eastAsia="zh-CN"/>
              </w:rPr>
              <w:t>服务过程</w:t>
            </w:r>
            <w:r>
              <w:rPr>
                <w:rFonts w:hint="eastAsia" w:ascii="宋体" w:hAnsi="宋体" w:cs="宋体"/>
                <w:color w:val="000000"/>
                <w:szCs w:val="21"/>
              </w:rPr>
              <w:t>，公司制定了“特殊过程评审、确认准则”，从审核过程看，公司的产品质量管理基本受控</w:t>
            </w:r>
            <w:r>
              <w:rPr>
                <w:rFonts w:hint="eastAsia" w:ascii="宋体" w:hAnsi="宋体" w:cs="宋体"/>
                <w:color w:val="000000"/>
                <w:szCs w:val="21"/>
                <w:lang w:eastAsia="zh-CN"/>
              </w:rPr>
              <w:t>，</w:t>
            </w:r>
            <w:r>
              <w:rPr>
                <w:rFonts w:hint="eastAsia" w:ascii="宋体" w:hAnsi="宋体" w:cs="宋体"/>
                <w:color w:val="000000"/>
                <w:szCs w:val="21"/>
              </w:rPr>
              <w:t>能对重要过程实施控制</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300" w:lineRule="exact"/>
              <w:rPr>
                <w:b/>
                <w:color w:val="000000" w:themeColor="text1"/>
                <w:sz w:val="20"/>
                <w:szCs w:val="20"/>
              </w:rPr>
            </w:pPr>
          </w:p>
          <w:p>
            <w:pPr>
              <w:spacing w:line="300" w:lineRule="exact"/>
              <w:rPr>
                <w:b/>
                <w:color w:val="000000" w:themeColor="text1"/>
                <w:sz w:val="20"/>
                <w:szCs w:val="20"/>
              </w:rPr>
            </w:pPr>
          </w:p>
          <w:p>
            <w:pPr>
              <w:spacing w:line="240" w:lineRule="exact"/>
              <w:rPr>
                <w:rFonts w:ascii="宋体" w:hAnsi="宋体"/>
                <w:b/>
                <w:sz w:val="21"/>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w:t>
            </w:r>
            <w:r>
              <w:rPr>
                <w:rFonts w:hint="eastAsia" w:ascii="宋体" w:hAnsi="宋体" w:cs="宋体"/>
                <w:color w:val="000000"/>
                <w:szCs w:val="21"/>
                <w:lang w:eastAsia="zh-CN"/>
              </w:rPr>
              <w:t>交付顾客</w:t>
            </w:r>
            <w:r>
              <w:rPr>
                <w:rFonts w:hint="eastAsia" w:ascii="宋体" w:hAnsi="宋体" w:cs="宋体"/>
                <w:color w:val="000000"/>
                <w:szCs w:val="21"/>
              </w:rPr>
              <w:t>前予以实现，范围包括：过程、最终产品。以此保证持续向顾客稳定提供稳定合格的产品。</w:t>
            </w: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(应说明相关证据)：</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240" w:lineRule="exact"/>
              <w:ind w:firstLine="201" w:firstLineChars="100"/>
              <w:rPr>
                <w:b/>
                <w:color w:val="000000" w:themeColor="text1"/>
                <w:sz w:val="20"/>
                <w:szCs w:val="20"/>
              </w:rPr>
            </w:pP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p>
            <w:pPr>
              <w:spacing w:line="300" w:lineRule="exact"/>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numPr>
                <w:ilvl w:val="0"/>
                <w:numId w:val="4"/>
              </w:numPr>
              <w:spacing w:line="240" w:lineRule="exact"/>
              <w:rPr>
                <w:rFonts w:hint="eastAsia"/>
                <w:b/>
                <w:color w:val="000000" w:themeColor="text1"/>
                <w:spacing w:val="-8"/>
                <w:sz w:val="20"/>
                <w:szCs w:val="20"/>
              </w:rPr>
            </w:pPr>
            <w:r>
              <w:rPr>
                <w:rFonts w:hint="eastAsia"/>
                <w:b/>
                <w:color w:val="000000" w:themeColor="text1"/>
                <w:spacing w:val="-8"/>
                <w:sz w:val="20"/>
                <w:szCs w:val="20"/>
              </w:rPr>
              <w:t>不合格品/项的识别、控制;</w:t>
            </w:r>
          </w:p>
          <w:p>
            <w:pPr>
              <w:numPr>
                <w:ilvl w:val="0"/>
                <w:numId w:val="0"/>
              </w:numPr>
              <w:spacing w:line="240" w:lineRule="exact"/>
              <w:rPr>
                <w:b/>
                <w:color w:val="000000" w:themeColor="text1"/>
                <w:spacing w:val="-8"/>
                <w:sz w:val="20"/>
                <w:szCs w:val="20"/>
              </w:rPr>
            </w:pPr>
            <w:r>
              <w:rPr>
                <w:rFonts w:hint="eastAsia" w:ascii="宋体" w:hAnsi="宋体" w:cs="宋体"/>
                <w:color w:val="000000"/>
                <w:szCs w:val="21"/>
              </w:rPr>
              <w:t>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OHSMS组织对不可接受风险实施控制的结果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10. 对特种设备的维护，检定; </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lang w:val="en-US" w:eastAsia="zh-CN"/>
              </w:rPr>
              <w:t>无特种设备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rFonts w:hint="eastAsia"/>
              </w:rPr>
            </w:pPr>
            <w:r>
              <w:rPr>
                <w:rFonts w:hint="eastAsia"/>
              </w:rPr>
              <w:t>11 .对危险化学品销售、使用、储存、运输处置，规定的执行力度(必要时);</w:t>
            </w:r>
          </w:p>
          <w:p>
            <w:pPr>
              <w:pStyle w:val="10"/>
              <w:rPr>
                <w:b/>
                <w:color w:val="000000" w:themeColor="text1"/>
                <w:sz w:val="20"/>
                <w:szCs w:val="20"/>
              </w:rPr>
            </w:pPr>
            <w:r>
              <w:rPr>
                <w:rFonts w:hint="eastAsia"/>
                <w:b/>
                <w:color w:val="000000" w:themeColor="text1"/>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0" w:firstLineChars="50"/>
              <w:rPr>
                <w:b/>
                <w:color w:val="000000" w:themeColor="text1"/>
                <w:sz w:val="20"/>
                <w:szCs w:val="20"/>
              </w:rPr>
            </w:pPr>
          </w:p>
          <w:p>
            <w:pPr>
              <w:spacing w:line="240" w:lineRule="exact"/>
              <w:ind w:firstLine="105" w:firstLineChars="50"/>
              <w:rPr>
                <w:b/>
                <w:color w:val="000000" w:themeColor="text1"/>
                <w:sz w:val="20"/>
                <w:szCs w:val="20"/>
              </w:rPr>
            </w:pPr>
            <w:r>
              <w:rPr>
                <w:rFonts w:hint="eastAsia" w:ascii="宋体" w:hAnsi="宋体" w:cs="宋体"/>
                <w:color w:val="000000"/>
                <w:szCs w:val="21"/>
                <w:highlight w:val="none"/>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w:t>
            </w:r>
            <w:r>
              <w:rPr>
                <w:rFonts w:hint="eastAsia" w:ascii="宋体" w:hAnsi="宋体" w:cs="宋体"/>
                <w:szCs w:val="21"/>
                <w:highlight w:val="none"/>
              </w:rPr>
              <w:t>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9月</w:t>
            </w:r>
            <w:r>
              <w:rPr>
                <w:rFonts w:hint="eastAsia" w:ascii="宋体" w:hAnsi="宋体" w:cs="宋体"/>
                <w:szCs w:val="21"/>
                <w:highlight w:val="none"/>
              </w:rPr>
              <w:t>-</w:t>
            </w:r>
            <w:r>
              <w:rPr>
                <w:rFonts w:hint="eastAsia" w:ascii="宋体" w:hAnsi="宋体" w:cs="宋体"/>
                <w:szCs w:val="21"/>
                <w:highlight w:val="none"/>
                <w:lang w:val="en-US" w:eastAsia="zh-CN"/>
              </w:rPr>
              <w:t>2021年6</w:t>
            </w:r>
            <w:r>
              <w:rPr>
                <w:rFonts w:hint="eastAsia" w:ascii="宋体" w:hAnsi="宋体" w:cs="宋体"/>
                <w:szCs w:val="21"/>
                <w:highlight w:val="none"/>
              </w:rPr>
              <w:t>月</w:t>
            </w:r>
            <w:r>
              <w:rPr>
                <w:rFonts w:hint="eastAsia" w:ascii="宋体" w:hAnsi="宋体" w:cs="宋体"/>
                <w:color w:val="000000"/>
                <w:szCs w:val="21"/>
                <w:highlight w:val="none"/>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0" w:hanging="100" w:hangingChars="50"/>
              <w:rPr>
                <w:b/>
                <w:color w:val="000000" w:themeColor="text1"/>
                <w:sz w:val="20"/>
                <w:szCs w:val="20"/>
              </w:rPr>
            </w:pPr>
          </w:p>
          <w:p>
            <w:pPr>
              <w:spacing w:line="240" w:lineRule="exact"/>
              <w:ind w:left="105" w:leftChars="0" w:hanging="105" w:hangingChars="50"/>
              <w:rPr>
                <w:b/>
                <w:color w:val="000000" w:themeColor="text1"/>
                <w:sz w:val="20"/>
                <w:szCs w:val="20"/>
              </w:rPr>
            </w:pPr>
            <w:r>
              <w:rPr>
                <w:rFonts w:hint="eastAsia" w:ascii="宋体" w:hAnsi="宋体" w:cs="宋体"/>
                <w:color w:val="000000"/>
                <w:szCs w:val="21"/>
                <w:highlight w:val="none"/>
              </w:rPr>
              <w:t>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w:t>
            </w:r>
            <w:r>
              <w:rPr>
                <w:rFonts w:hint="eastAsia" w:ascii="宋体" w:hAnsi="宋体" w:cs="宋体"/>
                <w:szCs w:val="21"/>
                <w:highlight w:val="none"/>
              </w:rPr>
              <w:t>满意度评价9</w:t>
            </w:r>
            <w:r>
              <w:rPr>
                <w:rFonts w:hint="eastAsia" w:ascii="宋体" w:hAnsi="宋体" w:cs="宋体"/>
                <w:szCs w:val="21"/>
                <w:highlight w:val="none"/>
                <w:lang w:val="en-US" w:eastAsia="zh-CN"/>
              </w:rPr>
              <w:t>8</w:t>
            </w:r>
            <w:r>
              <w:rPr>
                <w:rFonts w:hint="eastAsia" w:ascii="宋体" w:hAnsi="宋体" w:cs="宋体"/>
                <w:szCs w:val="21"/>
                <w:highlight w:val="none"/>
              </w:rPr>
              <w:t>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p>
          <w:p>
            <w:pPr>
              <w:spacing w:line="240" w:lineRule="exact"/>
              <w:rPr>
                <w:rFonts w:ascii="宋体" w:hAnsi="宋体"/>
                <w:b/>
                <w:color w:val="000000" w:themeColor="text1"/>
                <w:sz w:val="21"/>
                <w:szCs w:val="21"/>
              </w:rPr>
            </w:pPr>
          </w:p>
          <w:p>
            <w:pPr>
              <w:spacing w:line="240" w:lineRule="exact"/>
              <w:rPr>
                <w:b/>
                <w:color w:val="000000" w:themeColor="text1"/>
                <w:sz w:val="20"/>
                <w:szCs w:val="20"/>
              </w:rPr>
            </w:pPr>
            <w:r>
              <w:rPr>
                <w:rFonts w:hint="eastAsia" w:ascii="宋体" w:hAnsi="宋体"/>
                <w:color w:val="000000" w:themeColor="text1"/>
                <w:szCs w:val="21"/>
              </w:rPr>
              <w:t>建立有《内部审核控制程序》，规定了内审频次一年一次，内审时间：</w:t>
            </w:r>
            <w:r>
              <w:rPr>
                <w:rFonts w:hint="default"/>
                <w:lang w:val="en-US" w:eastAsia="zh-CN"/>
              </w:rPr>
              <w:t>202</w:t>
            </w:r>
            <w:r>
              <w:rPr>
                <w:rFonts w:hint="eastAsia"/>
                <w:lang w:val="en-US" w:eastAsia="zh-CN"/>
              </w:rPr>
              <w:t>1</w:t>
            </w:r>
            <w:r>
              <w:rPr>
                <w:rFonts w:hint="default"/>
                <w:lang w:val="en-US" w:eastAsia="zh-CN"/>
              </w:rPr>
              <w:t>年</w:t>
            </w:r>
            <w:r>
              <w:rPr>
                <w:rFonts w:hint="eastAsia"/>
                <w:lang w:val="en-US" w:eastAsia="zh-CN"/>
              </w:rPr>
              <w:t>6</w:t>
            </w:r>
            <w:r>
              <w:rPr>
                <w:rFonts w:hint="default"/>
                <w:lang w:val="en-US" w:eastAsia="zh-CN"/>
              </w:rPr>
              <w:t>月</w:t>
            </w:r>
            <w:r>
              <w:rPr>
                <w:rFonts w:hint="eastAsia"/>
                <w:lang w:val="en-US" w:eastAsia="zh-CN"/>
              </w:rPr>
              <w:t>10日</w:t>
            </w:r>
            <w:r>
              <w:rPr>
                <w:rFonts w:hint="default"/>
                <w:lang w:val="en-US" w:eastAsia="zh-CN"/>
              </w:rPr>
              <w:t xml:space="preserve"> </w:t>
            </w:r>
            <w:r>
              <w:rPr>
                <w:rFonts w:hint="eastAsia" w:ascii="宋体" w:hAnsi="宋体"/>
                <w:color w:val="000000" w:themeColor="text1"/>
                <w:szCs w:val="21"/>
              </w:rPr>
              <w:t>，拟定了审核实施表，明确了内审范围，内审人员经培训合格上岗，能力满足要求，未出现审核本部门情况，内审</w:t>
            </w:r>
            <w:r>
              <w:rPr>
                <w:rFonts w:hint="eastAsia" w:ascii="宋体" w:hAnsi="宋体"/>
                <w:color w:val="000000" w:themeColor="text1"/>
                <w:szCs w:val="21"/>
                <w:highlight w:val="none"/>
              </w:rPr>
              <w:t>不符合项</w:t>
            </w:r>
            <w:r>
              <w:rPr>
                <w:rFonts w:hint="eastAsia" w:ascii="宋体" w:hAnsi="宋体"/>
                <w:color w:val="000000" w:themeColor="text1"/>
                <w:szCs w:val="21"/>
                <w:highlight w:val="none"/>
                <w:lang w:val="en-US" w:eastAsia="zh-CN"/>
              </w:rPr>
              <w:t>1</w:t>
            </w:r>
            <w:r>
              <w:rPr>
                <w:rFonts w:hint="eastAsia" w:ascii="宋体" w:hAnsi="宋体"/>
                <w:color w:val="000000" w:themeColor="text1"/>
                <w:szCs w:val="21"/>
                <w:highlight w:val="none"/>
              </w:rPr>
              <w:t>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p>
          <w:p>
            <w:pPr>
              <w:spacing w:line="240" w:lineRule="exact"/>
              <w:rPr>
                <w:b/>
                <w:color w:val="000000" w:themeColor="text1"/>
                <w:sz w:val="20"/>
                <w:szCs w:val="20"/>
              </w:rPr>
            </w:pPr>
            <w:r>
              <w:rPr>
                <w:rFonts w:hint="eastAsia" w:ascii="宋体" w:hAnsi="宋体" w:cs="宋体"/>
                <w:color w:val="000000" w:themeColor="text1"/>
                <w:szCs w:val="21"/>
              </w:rPr>
              <w:t>管理评审频次为一年一次、本次管理评审于</w:t>
            </w:r>
            <w:r>
              <w:rPr>
                <w:rFonts w:hint="eastAsia"/>
                <w:color w:val="000000" w:themeColor="text1"/>
              </w:rPr>
              <w:t>202</w:t>
            </w:r>
            <w:r>
              <w:rPr>
                <w:rFonts w:hint="eastAsia"/>
                <w:color w:val="000000" w:themeColor="text1"/>
                <w:lang w:val="en-US" w:eastAsia="zh-CN"/>
              </w:rPr>
              <w:t>1</w:t>
            </w:r>
            <w:r>
              <w:rPr>
                <w:rFonts w:hint="eastAsia"/>
                <w:color w:val="000000" w:themeColor="text1"/>
              </w:rPr>
              <w:t>年</w:t>
            </w:r>
            <w:r>
              <w:rPr>
                <w:rFonts w:hint="eastAsia"/>
                <w:color w:val="000000" w:themeColor="text1"/>
                <w:lang w:val="en-US" w:eastAsia="zh-CN"/>
              </w:rPr>
              <w:t>6</w:t>
            </w:r>
            <w:r>
              <w:rPr>
                <w:rFonts w:hint="eastAsia"/>
                <w:color w:val="000000" w:themeColor="text1"/>
              </w:rPr>
              <w:t>月</w:t>
            </w:r>
            <w:r>
              <w:rPr>
                <w:rFonts w:hint="eastAsia"/>
                <w:color w:val="000000" w:themeColor="text1"/>
                <w:lang w:val="en-US" w:eastAsia="zh-CN"/>
              </w:rPr>
              <w:t>28</w:t>
            </w:r>
            <w:r>
              <w:rPr>
                <w:rFonts w:hint="eastAsia"/>
                <w:color w:val="000000" w:themeColor="text1"/>
              </w:rPr>
              <w:t>日</w:t>
            </w:r>
            <w:r>
              <w:rPr>
                <w:rFonts w:hint="eastAsia" w:ascii="宋体" w:hAnsi="宋体" w:cs="宋体"/>
                <w:color w:val="000000" w:themeColor="text1"/>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rPr>
                <w:b/>
                <w:color w:val="000000" w:themeColor="text1"/>
                <w:sz w:val="20"/>
                <w:szCs w:val="20"/>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pacing w:val="-20"/>
                <w:sz w:val="20"/>
                <w:szCs w:val="20"/>
              </w:rPr>
            </w:pPr>
          </w:p>
          <w:p>
            <w:pPr>
              <w:pStyle w:val="10"/>
              <w:numPr>
                <w:ilvl w:val="0"/>
                <w:numId w:val="0"/>
              </w:numPr>
              <w:rPr>
                <w:rFonts w:hint="eastAsia" w:eastAsia="宋体"/>
                <w:lang w:val="en-US" w:eastAsia="zh-CN"/>
              </w:rPr>
            </w:pPr>
            <w:r>
              <w:rPr>
                <w:rFonts w:hint="eastAsia"/>
                <w:lang w:val="en-US" w:eastAsia="zh-CN"/>
              </w:rPr>
              <w:t>无</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rFonts w:hint="eastAsia" w:ascii="宋体" w:hAnsi="宋体" w:cs="宋体"/>
                <w:color w:val="000000" w:themeColor="text1"/>
              </w:rPr>
            </w:pPr>
            <w:r>
              <w:rPr>
                <w:rFonts w:hint="eastAsia"/>
                <w:b/>
                <w:color w:val="000000" w:themeColor="text1"/>
                <w:sz w:val="20"/>
                <w:szCs w:val="20"/>
              </w:rPr>
              <w:t>3. 一阶段提出问题的整改情况?</w:t>
            </w:r>
          </w:p>
          <w:p>
            <w:pPr>
              <w:spacing w:line="240" w:lineRule="exact"/>
              <w:rPr>
                <w:rFonts w:hint="default" w:eastAsia="宋体"/>
                <w:b/>
                <w:color w:val="000000" w:themeColor="text1"/>
                <w:spacing w:val="-20"/>
                <w:sz w:val="20"/>
                <w:szCs w:val="20"/>
                <w:lang w:val="en-US" w:eastAsia="zh-CN"/>
              </w:rPr>
            </w:pPr>
            <w:r>
              <w:rPr>
                <w:rFonts w:hint="eastAsia"/>
                <w:b/>
                <w:color w:val="000000" w:themeColor="text1"/>
                <w:spacing w:val="-20"/>
                <w:sz w:val="20"/>
                <w:szCs w:val="20"/>
                <w:lang w:val="en-US" w:eastAsia="zh-CN"/>
              </w:rPr>
              <w:t>未提出书面不符合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numPr>
                <w:ilvl w:val="0"/>
                <w:numId w:val="5"/>
              </w:numPr>
              <w:spacing w:line="240" w:lineRule="exact"/>
              <w:rPr>
                <w:rFonts w:hint="eastAsia"/>
                <w:lang w:eastAsia="zh-CN"/>
              </w:rPr>
            </w:pPr>
            <w:r>
              <w:rPr>
                <w:rFonts w:hint="eastAsia"/>
              </w:rPr>
              <w:t>创新情况</w:t>
            </w:r>
            <w:r>
              <w:rPr>
                <w:rFonts w:hint="eastAsia"/>
                <w:lang w:eastAsia="zh-CN"/>
              </w:rPr>
              <w:t>：</w:t>
            </w:r>
          </w:p>
          <w:p>
            <w:pPr>
              <w:pStyle w:val="10"/>
              <w:numPr>
                <w:ilvl w:val="0"/>
                <w:numId w:val="0"/>
              </w:numPr>
              <w:ind w:left="0" w:leftChars="0" w:firstLine="0" w:firstLineChars="0"/>
              <w:rPr>
                <w:b/>
                <w:color w:val="000000" w:themeColor="text1"/>
                <w:sz w:val="20"/>
                <w:szCs w:val="20"/>
              </w:rPr>
            </w:pPr>
            <w:r>
              <w:rPr>
                <w:rFonts w:hint="eastAsia"/>
                <w:lang w:val="en-US" w:eastAsia="zh-CN"/>
              </w:rPr>
              <w:t>无创新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本次审核共开具不符合项报告项；其中</w:t>
      </w:r>
      <w:r>
        <w:rPr>
          <w:b/>
          <w:color w:val="000000" w:themeColor="text1"/>
        </w:rPr>
        <w:pict>
          <v:line id="直接连接符 1" o:spid="_x0000_s1027" o:spt="20" style="position:absolute;left:0pt;margin-left:210pt;margin-top:16.2pt;height:0pt;width:0pt;z-index:251659264;mso-width-relative:page;mso-height-relative:page;" coordsize="21600,21600" o:allowincell="f">
            <v:path arrowok="t"/>
            <v:fill focussize="0,0"/>
            <v:stroke/>
            <v:imagedata o:title=""/>
            <o:lock v:ext="edit"/>
          </v:line>
        </w:pict>
      </w:r>
      <w:r>
        <w:rPr>
          <w:rFonts w:hint="eastAsia"/>
          <w:b/>
          <w:color w:val="000000" w:themeColor="text1"/>
        </w:rPr>
        <w:t>严重不符合项，一般不符合项，观察项项分布在部门条款，分布见附件。（Q/J/E/S分开填写）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lang w:eastAsia="zh-CN"/>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hint="eastAsia" w:ascii="宋体" w:hAnsi="宋体" w:eastAsia="宋体"/>
          <w:b/>
          <w:color w:val="000000" w:themeColor="text1"/>
          <w:szCs w:val="21"/>
          <w:lang w:val="en-US" w:eastAsia="zh-CN"/>
        </w:rPr>
      </w:pPr>
      <w:r>
        <w:rPr>
          <w:rFonts w:hint="eastAsia"/>
          <w:b/>
          <w:color w:val="000000" w:themeColor="text1"/>
          <w:spacing w:val="-10"/>
          <w:szCs w:val="21"/>
          <w:lang w:eastAsia="zh-CN"/>
        </w:rPr>
        <w:t>☑</w:t>
      </w:r>
      <w:r>
        <w:rPr>
          <w:rFonts w:hint="eastAsia" w:ascii="宋体" w:hAnsi="宋体"/>
          <w:b/>
          <w:color w:val="000000" w:themeColor="text1"/>
          <w:szCs w:val="21"/>
        </w:rPr>
        <w:t>可能影响本次审核结论可靠性的因素：</w:t>
      </w:r>
      <w:r>
        <w:rPr>
          <w:rFonts w:hint="eastAsia" w:ascii="宋体" w:hAnsi="宋体"/>
          <w:b/>
          <w:color w:val="000000" w:themeColor="text1"/>
          <w:szCs w:val="21"/>
          <w:lang w:val="en-US" w:eastAsia="zh-CN"/>
        </w:rPr>
        <w:t>无</w:t>
      </w:r>
    </w:p>
    <w:tbl>
      <w:tblPr>
        <w:tblStyle w:val="7"/>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6"/>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5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rFonts w:hint="eastAsia"/>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pStyle w:val="18"/>
              <w:keepNext w:val="0"/>
              <w:keepLines w:val="0"/>
              <w:pageBreakBefore w:val="0"/>
              <w:widowControl w:val="0"/>
              <w:kinsoku/>
              <w:wordWrap/>
              <w:overflowPunct/>
              <w:topLinePunct w:val="0"/>
              <w:bidi w:val="0"/>
              <w:snapToGrid/>
              <w:spacing w:line="340" w:lineRule="exact"/>
              <w:ind w:left="1453" w:right="0" w:rightChars="0" w:hanging="1033"/>
              <w:outlineLvl w:val="9"/>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rFonts w:hint="eastAsia"/>
                <w:color w:val="auto"/>
                <w:kern w:val="2"/>
                <w:sz w:val="21"/>
                <w:szCs w:val="21"/>
                <w:u w:val="single"/>
                <w:lang w:val="en-GB"/>
              </w:rPr>
              <w:t xml:space="preserve"> </w:t>
            </w:r>
            <w:r>
              <w:rPr>
                <w:color w:val="000000"/>
                <w:szCs w:val="21"/>
              </w:rPr>
              <w:t>北京中润信能源技术有限公司</w:t>
            </w:r>
            <w:r>
              <w:rPr>
                <w:rFonts w:hint="eastAsia"/>
                <w:color w:val="auto"/>
                <w:sz w:val="21"/>
                <w:szCs w:val="21"/>
                <w:u w:val="single"/>
                <w:lang w:val="en-US" w:eastAsia="zh-CN"/>
              </w:rPr>
              <w:t xml:space="preserve"> </w:t>
            </w:r>
            <w:r>
              <w:rPr>
                <w:rFonts w:hint="eastAsia"/>
                <w:color w:val="auto"/>
                <w:kern w:val="2"/>
                <w:sz w:val="21"/>
                <w:szCs w:val="21"/>
                <w:lang w:val="en-GB"/>
              </w:rPr>
              <w:t>的</w:t>
            </w:r>
          </w:p>
          <w:p>
            <w:pPr>
              <w:pStyle w:val="18"/>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质量</w:t>
            </w:r>
            <w:r>
              <w:rPr>
                <w:rFonts w:hint="eastAsia" w:ascii="宋体" w:hAnsi="宋体" w:eastAsia="宋体" w:cs="宋体"/>
                <w:b/>
                <w:color w:val="auto"/>
                <w:kern w:val="2"/>
                <w:sz w:val="21"/>
                <w:szCs w:val="21"/>
                <w:lang w:val="en-GB"/>
              </w:rPr>
              <w:sym w:font="Wingdings" w:char="00A8"/>
            </w:r>
            <w:r>
              <w:rPr>
                <w:rFonts w:hint="eastAsia"/>
                <w:color w:val="auto"/>
                <w:kern w:val="2"/>
                <w:sz w:val="21"/>
                <w:szCs w:val="21"/>
                <w:lang w:val="en-GB"/>
              </w:rPr>
              <w:t>环境</w:t>
            </w:r>
            <w:r>
              <w:rPr>
                <w:rFonts w:hint="eastAsia" w:ascii="宋体" w:hAnsi="宋体" w:eastAsia="宋体" w:cs="宋体"/>
                <w:b/>
                <w:color w:val="auto"/>
                <w:kern w:val="2"/>
                <w:sz w:val="21"/>
                <w:szCs w:val="21"/>
                <w:lang w:val="en-GB"/>
              </w:rPr>
              <w:sym w:font="Wingdings" w:char="00A8"/>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6"/>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pStyle w:val="10"/>
            </w:pPr>
          </w:p>
          <w:p>
            <w:pPr>
              <w:spacing w:line="240" w:lineRule="exact"/>
              <w:rPr>
                <w:b/>
                <w:color w:val="000000" w:themeColor="text1"/>
                <w:sz w:val="22"/>
                <w:szCs w:val="22"/>
              </w:rPr>
            </w:pPr>
            <w:r>
              <w:rPr>
                <w:rFonts w:hint="eastAsia"/>
                <w:b/>
                <w:color w:val="000000" w:themeColor="text1"/>
                <w:spacing w:val="-10"/>
                <w:szCs w:val="21"/>
                <w:lang w:eastAsia="zh-CN"/>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pPr>
          </w:p>
          <w:p>
            <w:pPr>
              <w:spacing w:line="240" w:lineRule="exact"/>
            </w:pPr>
            <w:r>
              <w:rPr>
                <w:rFonts w:hint="eastAsia"/>
              </w:rPr>
              <w:t>组织建立并实施的管理体系基本符合标准要求，可能存在的重要风险可以得到有效控制，没有出现过</w:t>
            </w:r>
            <w:r>
              <w:rPr>
                <w:rFonts w:hint="eastAsia"/>
                <w:lang w:val="en-US" w:eastAsia="zh-CN"/>
              </w:rPr>
              <w:t>质量</w:t>
            </w:r>
            <w:r>
              <w:rPr>
                <w:rFonts w:hint="eastAsia"/>
              </w:rPr>
              <w:t>事故以及顾客投诉事件发生，体系运行基本有效，组织初步建立了自我完善和自我改进机制。现场开具的不符合项在规定的期限内采取纠正措施并经审核组书面验证有效后，同意推荐认证注册。</w:t>
            </w:r>
          </w:p>
          <w:p>
            <w:pPr>
              <w:spacing w:line="240" w:lineRule="exact"/>
              <w:rPr>
                <w:b/>
                <w:color w:val="000000" w:themeColor="text1"/>
                <w:sz w:val="22"/>
                <w:szCs w:val="22"/>
              </w:rPr>
            </w:pP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lang w:eastAsia="zh-CN"/>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5"/>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rFonts w:hint="eastAsia" w:eastAsia="宋体"/>
          <w:b/>
          <w:color w:val="000000" w:themeColor="text1"/>
          <w:sz w:val="16"/>
          <w:szCs w:val="16"/>
          <w:lang w:val="en-US" w:eastAsia="zh-CN"/>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lang w:val="en-US" w:eastAsia="zh-CN"/>
        </w:rPr>
        <w:t>无</w:t>
      </w:r>
      <w:bookmarkStart w:id="12" w:name="_GoBack"/>
      <w:bookmarkEnd w:id="12"/>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r>
        <w:drawing>
          <wp:inline distT="0" distB="0" distL="114300" distR="114300">
            <wp:extent cx="847725" cy="368300"/>
            <wp:effectExtent l="0" t="0" r="317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847725" cy="368300"/>
                    </a:xfrm>
                    <a:prstGeom prst="rect">
                      <a:avLst/>
                    </a:prstGeom>
                    <a:noFill/>
                    <a:ln>
                      <a:noFill/>
                    </a:ln>
                  </pic:spPr>
                </pic:pic>
              </a:graphicData>
            </a:graphic>
          </wp:inline>
        </w:drawing>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r>
        <w:drawing>
          <wp:inline distT="0" distB="0" distL="114300" distR="114300">
            <wp:extent cx="631190" cy="424815"/>
            <wp:effectExtent l="0" t="0" r="3810" b="698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tretch>
                      <a:fillRect/>
                    </a:stretch>
                  </pic:blipFill>
                  <pic:spPr>
                    <a:xfrm>
                      <a:off x="0" y="0"/>
                      <a:ext cx="631190" cy="424815"/>
                    </a:xfrm>
                    <a:prstGeom prst="rect">
                      <a:avLst/>
                    </a:prstGeom>
                    <a:noFill/>
                    <a:ln>
                      <a:noFill/>
                    </a:ln>
                  </pic:spPr>
                </pic:pic>
              </a:graphicData>
            </a:graphic>
          </wp:inline>
        </w:drawing>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val="en-US" w:eastAsia="zh-CN"/>
        </w:rPr>
        <w:t xml:space="preserve">  2021   </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7</w:t>
      </w:r>
      <w:r>
        <w:rPr>
          <w:rFonts w:hint="eastAsia" w:asciiTheme="minorEastAsia" w:hAnsiTheme="minorEastAsia" w:eastAsiaTheme="minorEastAsia"/>
          <w:b/>
          <w:color w:val="000000" w:themeColor="text1"/>
        </w:rPr>
        <w:t xml:space="preserve"> 月 </w:t>
      </w:r>
      <w:r>
        <w:rPr>
          <w:rFonts w:hint="eastAsia" w:asciiTheme="minorEastAsia" w:hAnsiTheme="minorEastAsia" w:eastAsiaTheme="minorEastAsia"/>
          <w:b/>
          <w:color w:val="000000" w:themeColor="text1"/>
          <w:lang w:val="en-US" w:eastAsia="zh-CN"/>
        </w:rPr>
        <w:t>24</w:t>
      </w:r>
      <w:r>
        <w:rPr>
          <w:rFonts w:hint="eastAsia" w:asciiTheme="minorEastAsia" w:hAnsiTheme="minorEastAsia" w:eastAsiaTheme="minorEastAsia"/>
          <w:b/>
          <w:color w:val="000000" w:themeColor="text1"/>
        </w:rPr>
        <w:t xml:space="preserve">  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color w:val="000000" w:themeColor="text1"/>
          <w:szCs w:val="21"/>
        </w:rPr>
        <w:t>存在问题说明及意见：</w:t>
      </w: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 xml:space="preserve">组长签字:    </w:t>
      </w:r>
      <w:r>
        <w:drawing>
          <wp:inline distT="0" distB="0" distL="114300" distR="114300">
            <wp:extent cx="847725" cy="368300"/>
            <wp:effectExtent l="0" t="0" r="317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847725" cy="368300"/>
                    </a:xfrm>
                    <a:prstGeom prst="rect">
                      <a:avLst/>
                    </a:prstGeom>
                    <a:noFill/>
                    <a:ln>
                      <a:noFill/>
                    </a:ln>
                  </pic:spPr>
                </pic:pic>
              </a:graphicData>
            </a:graphic>
          </wp:inline>
        </w:drawing>
      </w:r>
      <w:r>
        <w:rPr>
          <w:rFonts w:hint="eastAsia"/>
          <w:b/>
          <w:color w:val="000000" w:themeColor="text1"/>
          <w:szCs w:val="21"/>
        </w:rPr>
        <w:t xml:space="preserve">              日期:   </w:t>
      </w:r>
      <w:r>
        <w:rPr>
          <w:rFonts w:hint="eastAsia"/>
          <w:b/>
          <w:color w:val="000000" w:themeColor="text1"/>
          <w:szCs w:val="21"/>
          <w:lang w:val="en-US" w:eastAsia="zh-CN"/>
        </w:rPr>
        <w:t>2021</w:t>
      </w:r>
      <w:r>
        <w:rPr>
          <w:rFonts w:hint="eastAsia"/>
          <w:b/>
          <w:color w:val="000000" w:themeColor="text1"/>
          <w:szCs w:val="21"/>
        </w:rPr>
        <w:t xml:space="preserve">    年</w:t>
      </w:r>
      <w:r>
        <w:rPr>
          <w:rFonts w:hint="eastAsia"/>
          <w:b/>
          <w:color w:val="000000" w:themeColor="text1"/>
          <w:szCs w:val="21"/>
          <w:lang w:val="en-US" w:eastAsia="zh-CN"/>
        </w:rPr>
        <w:t xml:space="preserve">  7 </w:t>
      </w:r>
      <w:r>
        <w:rPr>
          <w:rFonts w:hint="eastAsia"/>
          <w:b/>
          <w:color w:val="000000" w:themeColor="text1"/>
          <w:szCs w:val="21"/>
        </w:rPr>
        <w:t>月</w:t>
      </w:r>
      <w:r>
        <w:rPr>
          <w:rFonts w:hint="eastAsia"/>
          <w:b/>
          <w:color w:val="000000" w:themeColor="text1"/>
          <w:szCs w:val="21"/>
          <w:lang w:val="en-US" w:eastAsia="zh-CN"/>
        </w:rPr>
        <w:t xml:space="preserve">25   </w:t>
      </w:r>
      <w:r>
        <w:rPr>
          <w:rFonts w:hint="eastAsia"/>
          <w:b/>
          <w:color w:val="000000" w:themeColor="text1"/>
          <w:szCs w:val="2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十六、与末次会议结论不同处的说明和其他说明：(技术委员会填写)</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十七、审核报告的发放范围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b/>
          <w:color w:val="000000" w:themeColor="text1"/>
          <w:sz w:val="26"/>
          <w:szCs w:val="26"/>
        </w:rPr>
        <w:t>十八</w:t>
      </w:r>
      <w:r>
        <w:rPr>
          <w:rFonts w:hint="eastAsia" w:ascii="宋体" w:hAnsi="宋体"/>
          <w:b/>
          <w:color w:val="000000" w:themeColor="text1"/>
          <w:sz w:val="26"/>
          <w:szCs w:val="26"/>
        </w:rPr>
        <w:t>、附件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11" w:name="_Hlk8555230"/>
    <w:r>
      <w:pict>
        <v:shape id="_x0000_s2049" o:spid="_x0000_s2049" o:spt="202" type="#_x0000_t202" style="position:absolute;left:0pt;margin-left:249.35pt;margin-top:5.25pt;height:20.2pt;width:16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11"/>
  </w:p>
  <w:p>
    <w:pPr>
      <w:pStyle w:val="2"/>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699E42"/>
    <w:multiLevelType w:val="singleLevel"/>
    <w:tmpl w:val="D0699E42"/>
    <w:lvl w:ilvl="0" w:tentative="0">
      <w:start w:val="2"/>
      <w:numFmt w:val="decimal"/>
      <w:suff w:val="nothing"/>
      <w:lvlText w:val="%1、"/>
      <w:lvlJc w:val="left"/>
    </w:lvl>
  </w:abstractNum>
  <w:abstractNum w:abstractNumId="1">
    <w:nsid w:val="31718870"/>
    <w:multiLevelType w:val="singleLevel"/>
    <w:tmpl w:val="31718870"/>
    <w:lvl w:ilvl="0" w:tentative="0">
      <w:start w:val="4"/>
      <w:numFmt w:val="decimal"/>
      <w:lvlText w:val="%1."/>
      <w:lvlJc w:val="left"/>
      <w:pPr>
        <w:tabs>
          <w:tab w:val="left" w:pos="312"/>
        </w:tabs>
      </w:pPr>
    </w:lvl>
  </w:abstractNum>
  <w:abstractNum w:abstractNumId="2">
    <w:nsid w:val="4579C396"/>
    <w:multiLevelType w:val="singleLevel"/>
    <w:tmpl w:val="4579C396"/>
    <w:lvl w:ilvl="0" w:tentative="0">
      <w:start w:val="6"/>
      <w:numFmt w:val="decimal"/>
      <w:suff w:val="space"/>
      <w:lvlText w:val="%1."/>
      <w:lvlJc w:val="left"/>
    </w:lvl>
  </w:abstractNum>
  <w:abstractNum w:abstractNumId="3">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C201927"/>
    <w:rsid w:val="10FA021B"/>
    <w:rsid w:val="2C222B9D"/>
    <w:rsid w:val="30B763A4"/>
    <w:rsid w:val="71061F64"/>
    <w:rsid w:val="74AE1A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qFormat/>
    <w:uiPriority w:val="99"/>
    <w:rPr>
      <w:color w:val="0000FF"/>
      <w:u w:val="single"/>
    </w:rPr>
  </w:style>
  <w:style w:type="paragraph" w:customStyle="1" w:styleId="10">
    <w:name w:val="表格文字"/>
    <w:basedOn w:val="1"/>
    <w:qFormat/>
    <w:uiPriority w:val="0"/>
    <w:pPr>
      <w:spacing w:before="25" w:after="25"/>
    </w:pPr>
    <w:rPr>
      <w:bCs/>
      <w:spacing w:val="10"/>
    </w:rPr>
  </w:style>
  <w:style w:type="paragraph" w:styleId="11">
    <w:name w:val="List Paragraph"/>
    <w:basedOn w:val="1"/>
    <w:qFormat/>
    <w:uiPriority w:val="34"/>
    <w:pPr>
      <w:ind w:firstLine="420" w:firstLineChars="200"/>
    </w:pPr>
  </w:style>
  <w:style w:type="character" w:customStyle="1" w:styleId="12">
    <w:name w:val="页眉 Char1"/>
    <w:basedOn w:val="8"/>
    <w:link w:val="2"/>
    <w:qFormat/>
    <w:uiPriority w:val="99"/>
    <w:rPr>
      <w:rFonts w:ascii="Times New Roman" w:hAnsi="Times New Roman" w:eastAsia="宋体" w:cs="Times New Roman"/>
      <w:sz w:val="18"/>
      <w:szCs w:val="18"/>
    </w:rPr>
  </w:style>
  <w:style w:type="character" w:customStyle="1" w:styleId="13">
    <w:name w:val="页脚 Char"/>
    <w:basedOn w:val="8"/>
    <w:link w:val="4"/>
    <w:qFormat/>
    <w:uiPriority w:val="99"/>
    <w:rPr>
      <w:rFonts w:ascii="Times New Roman" w:hAnsi="Times New Roman" w:eastAsia="宋体" w:cs="Times New Roman"/>
      <w:sz w:val="18"/>
      <w:szCs w:val="18"/>
    </w:rPr>
  </w:style>
  <w:style w:type="character" w:customStyle="1" w:styleId="14">
    <w:name w:val="批注框文本 Char"/>
    <w:basedOn w:val="8"/>
    <w:link w:val="3"/>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列出段落1"/>
    <w:basedOn w:val="1"/>
    <w:qFormat/>
    <w:uiPriority w:val="34"/>
    <w:pPr>
      <w:ind w:firstLine="420" w:firstLineChars="200"/>
    </w:pPr>
  </w:style>
  <w:style w:type="paragraph" w:customStyle="1" w:styleId="1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0</TotalTime>
  <ScaleCrop>false</ScaleCrop>
  <LinksUpToDate>false</LinksUpToDate>
  <CharactersWithSpaces>5057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叶子</cp:lastModifiedBy>
  <cp:lastPrinted>2019-05-13T03:19:00Z</cp:lastPrinted>
  <dcterms:modified xsi:type="dcterms:W3CDTF">2021-07-26T15:08:24Z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ED646F281E5F41328CC1541F873221DD</vt:lpwstr>
  </property>
</Properties>
</file>