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北京市国林诚意园林有限公司</w:t>
      </w:r>
      <w:bookmarkEnd w:id="0"/>
    </w:p>
    <w:p>
      <w:pPr>
        <w:snapToGrid w:val="0"/>
        <w:spacing w:after="93" w:afterLines="30"/>
        <w:ind w:firstLine="321" w:firstLineChars="1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rPr>
          <w:rStyle w:val="15"/>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6"/>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Q:29.06.02,35.17.00</w:t>
            </w:r>
          </w:p>
          <w:p>
            <w:pPr>
              <w:spacing w:line="240" w:lineRule="exact"/>
              <w:jc w:val="center"/>
              <w:rPr>
                <w:b/>
                <w:color w:val="000000" w:themeColor="text1"/>
                <w:sz w:val="20"/>
                <w:szCs w:val="20"/>
              </w:rPr>
            </w:pPr>
            <w:r>
              <w:rPr>
                <w:b/>
                <w:color w:val="000000" w:themeColor="text1"/>
                <w:sz w:val="20"/>
                <w:szCs w:val="20"/>
              </w:rPr>
              <w:t>E:29.06.02,35.17.00</w:t>
            </w:r>
          </w:p>
          <w:p>
            <w:pPr>
              <w:spacing w:line="240" w:lineRule="exact"/>
              <w:jc w:val="center"/>
              <w:rPr>
                <w:b/>
                <w:color w:val="000000" w:themeColor="text1"/>
                <w:sz w:val="20"/>
                <w:szCs w:val="20"/>
              </w:rPr>
            </w:pPr>
            <w:r>
              <w:rPr>
                <w:b/>
                <w:color w:val="000000" w:themeColor="text1"/>
                <w:sz w:val="20"/>
                <w:szCs w:val="20"/>
              </w:rP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Q:29.06.02</w:t>
            </w:r>
          </w:p>
          <w:p>
            <w:pPr>
              <w:spacing w:line="240" w:lineRule="exact"/>
              <w:jc w:val="center"/>
              <w:rPr>
                <w:b/>
                <w:color w:val="000000" w:themeColor="text1"/>
                <w:sz w:val="20"/>
                <w:szCs w:val="20"/>
              </w:rPr>
            </w:pPr>
            <w:r>
              <w:rPr>
                <w:b/>
                <w:color w:val="000000" w:themeColor="text1"/>
                <w:sz w:val="20"/>
                <w:szCs w:val="20"/>
              </w:rPr>
              <w:t>E:29.06.02</w:t>
            </w:r>
          </w:p>
          <w:p>
            <w:pPr>
              <w:spacing w:line="240" w:lineRule="exact"/>
              <w:jc w:val="center"/>
              <w:rPr>
                <w:b/>
                <w:color w:val="000000" w:themeColor="text1"/>
                <w:sz w:val="20"/>
                <w:szCs w:val="20"/>
              </w:rPr>
            </w:pPr>
            <w:r>
              <w:rPr>
                <w:b/>
                <w:color w:val="000000" w:themeColor="text1"/>
                <w:sz w:val="20"/>
                <w:szCs w:val="20"/>
              </w:rP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6"/>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6"/>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北京市国林诚意园林有限公司</w:t>
            </w:r>
            <w:bookmarkEnd w:id="1"/>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rPr>
              <w:t>2</w:t>
            </w:r>
            <w:r>
              <w:rPr>
                <w:rFonts w:ascii="宋体"/>
                <w:b/>
              </w:rPr>
              <w:t>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北京市海淀区中关村东路18号1幢11层A-1203号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北京市海淀区上庄路和云水路交叉口往北20米路东</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吴国恩</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18910199589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吴国恩</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吴国恩</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黄建军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Q：城市园林绿化服务；城镇绿化苗、花卉的销售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E：城市园林绿化服务；城镇绿化苗、花卉的销售所涉及场所的相关环境管理活动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O：城市园林绿化服务；城镇绿化苗、花卉的销售所涉及场所的相关职业健康安全管理活动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Q：29.06.02;35.17.00</w:t>
            </w:r>
          </w:p>
          <w:p>
            <w:pPr>
              <w:spacing w:line="320" w:lineRule="exact"/>
              <w:rPr>
                <w:rFonts w:ascii="宋体" w:hAnsi="宋体"/>
                <w:b/>
                <w:color w:val="000000" w:themeColor="text1"/>
                <w:sz w:val="20"/>
                <w:szCs w:val="20"/>
              </w:rPr>
            </w:pPr>
            <w:r>
              <w:rPr>
                <w:rFonts w:ascii="宋体" w:hAnsi="宋体"/>
                <w:b/>
                <w:color w:val="000000" w:themeColor="text1"/>
                <w:sz w:val="20"/>
                <w:szCs w:val="20"/>
              </w:rPr>
              <w:t>E：29.06.02;35.17.00</w:t>
            </w:r>
          </w:p>
          <w:p>
            <w:pPr>
              <w:spacing w:line="320" w:lineRule="exact"/>
              <w:rPr>
                <w:rFonts w:ascii="宋体" w:hAnsi="宋体"/>
                <w:b/>
                <w:color w:val="000000" w:themeColor="text1"/>
                <w:sz w:val="20"/>
                <w:szCs w:val="20"/>
              </w:rPr>
            </w:pPr>
            <w:r>
              <w:rPr>
                <w:rFonts w:ascii="宋体" w:hAnsi="宋体"/>
                <w:b/>
                <w:color w:val="000000" w:themeColor="text1"/>
                <w:sz w:val="20"/>
                <w:szCs w:val="20"/>
              </w:rPr>
              <w:t>O：29.06.02;35.17.00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 w:name="体系运行时间"/>
            <w:r>
              <w:rPr>
                <w:rFonts w:ascii="宋体" w:hAnsi="宋体"/>
                <w:b/>
                <w:color w:val="000000" w:themeColor="text1"/>
                <w:sz w:val="20"/>
                <w:szCs w:val="20"/>
              </w:rPr>
              <w:t>2020-08-10 0:00:00</w:t>
            </w:r>
            <w:bookmarkEnd w:id="2"/>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rPr>
            </w:pPr>
            <w:r>
              <w:rPr>
                <w:rFonts w:hint="eastAsia"/>
              </w:rPr>
              <w:t>北京壹号庄园项目三期2502别墅园林景观工程     城市园林绿化施工</w:t>
            </w:r>
          </w:p>
          <w:p>
            <w:pPr>
              <w:rPr>
                <w:rFonts w:hint="eastAsia"/>
              </w:rPr>
            </w:pPr>
            <w:r>
              <w:rPr>
                <w:rFonts w:hint="eastAsia"/>
              </w:rPr>
              <w:t>北京市昌平区北七家镇定泗路88号</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w:t>
            </w:r>
          </w:p>
        </w:tc>
        <w:tc>
          <w:tcPr>
            <w:tcW w:w="6804" w:type="dxa"/>
          </w:tcPr>
          <w:p>
            <w:pPr>
              <w:ind w:firstLine="420" w:firstLineChars="200"/>
              <w:rPr>
                <w:rFonts w:ascii="宋体" w:hAnsi="宋体" w:cs="宋体"/>
                <w:szCs w:val="21"/>
              </w:rPr>
            </w:pPr>
            <w:r>
              <w:rPr>
                <w:rFonts w:hint="eastAsia" w:ascii="宋体" w:hAnsi="宋体" w:cs="宋体"/>
                <w:szCs w:val="21"/>
              </w:rPr>
              <w:t>a、按时、保质保量完成生产任务；</w:t>
            </w:r>
          </w:p>
          <w:p>
            <w:pPr>
              <w:rPr>
                <w:color w:val="000000"/>
                <w:szCs w:val="21"/>
              </w:rPr>
            </w:pPr>
            <w:r>
              <w:rPr>
                <w:rFonts w:hint="eastAsia" w:ascii="宋体" w:hAnsi="宋体" w:cs="宋体"/>
                <w:szCs w:val="21"/>
              </w:rPr>
              <w:t>b、负责</w:t>
            </w:r>
            <w:r>
              <w:rPr>
                <w:rFonts w:hint="eastAsia" w:ascii="宋体" w:hAnsi="宋体"/>
                <w:szCs w:val="21"/>
              </w:rPr>
              <w:t>园林绿化服务</w:t>
            </w:r>
            <w:r>
              <w:rPr>
                <w:rFonts w:hint="eastAsia" w:ascii="宋体" w:hAnsi="宋体" w:cs="宋体"/>
                <w:szCs w:val="21"/>
              </w:rPr>
              <w:t>过程中的产品防护工作；</w:t>
            </w:r>
          </w:p>
          <w:p>
            <w:pPr>
              <w:ind w:firstLine="420" w:firstLineChars="200"/>
              <w:rPr>
                <w:rFonts w:ascii="宋体" w:hAnsi="宋体" w:cs="宋体"/>
                <w:szCs w:val="21"/>
              </w:rPr>
            </w:pPr>
            <w:r>
              <w:rPr>
                <w:rFonts w:hint="eastAsia" w:ascii="宋体" w:hAnsi="宋体" w:cs="宋体"/>
                <w:szCs w:val="21"/>
              </w:rPr>
              <w:t>c、对发现的可能导致质量问题的各种隐患尽快消除，对已出现的质量事故积极处理，并制定防范措施。</w:t>
            </w:r>
          </w:p>
          <w:p>
            <w:pPr>
              <w:ind w:firstLine="420" w:firstLineChars="200"/>
              <w:rPr>
                <w:rFonts w:ascii="宋体" w:hAnsi="宋体" w:cs="宋体"/>
                <w:szCs w:val="21"/>
              </w:rPr>
            </w:pPr>
            <w:r>
              <w:rPr>
                <w:rFonts w:hint="eastAsia" w:ascii="宋体" w:hAnsi="宋体" w:cs="宋体"/>
                <w:szCs w:val="21"/>
              </w:rPr>
              <w:t>d、组织员工参与、协商和沟通，确保员工安全健康得到保证；</w:t>
            </w:r>
          </w:p>
          <w:p>
            <w:pPr>
              <w:ind w:firstLine="420" w:firstLineChars="200"/>
              <w:rPr>
                <w:rFonts w:ascii="宋体" w:hAnsi="宋体" w:cs="宋体"/>
                <w:szCs w:val="21"/>
              </w:rPr>
            </w:pPr>
            <w:r>
              <w:rPr>
                <w:rFonts w:hint="eastAsia" w:ascii="宋体" w:hAnsi="宋体" w:cs="宋体"/>
                <w:szCs w:val="21"/>
              </w:rPr>
              <w:t>e、负责车间重要环境因素、不可接受风险控制的监视和测量，包括目标、指标和方案、运行控制等；</w:t>
            </w:r>
          </w:p>
          <w:p>
            <w:pPr>
              <w:ind w:firstLine="420" w:firstLineChars="200"/>
              <w:rPr>
                <w:rFonts w:ascii="宋体" w:hAnsi="宋体" w:cs="宋体"/>
                <w:szCs w:val="21"/>
              </w:rPr>
            </w:pPr>
            <w:r>
              <w:rPr>
                <w:rFonts w:hint="eastAsia" w:ascii="宋体" w:hAnsi="宋体" w:cs="宋体"/>
                <w:szCs w:val="21"/>
              </w:rPr>
              <w:t>f、负责公司火灾、工伤、危险化学品泄漏等潜在事故和紧急情况应急准备与响应措施的落实，以及组织事故处置工作；</w:t>
            </w:r>
          </w:p>
          <w:p>
            <w:pPr>
              <w:ind w:firstLine="420" w:firstLineChars="200"/>
              <w:rPr>
                <w:rFonts w:ascii="宋体" w:hAnsi="宋体" w:cs="宋体"/>
                <w:szCs w:val="21"/>
              </w:rPr>
            </w:pPr>
            <w:r>
              <w:rPr>
                <w:rFonts w:hint="eastAsia" w:ascii="宋体" w:hAnsi="宋体" w:cs="宋体"/>
                <w:szCs w:val="21"/>
              </w:rPr>
              <w:t>g、参与安全事故的调查和处理；</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lang w:val="en-US" w:eastAsia="zh-CN"/>
        </w:rPr>
        <w:t>1</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auto"/>
                <w:sz w:val="20"/>
                <w:szCs w:val="20"/>
              </w:rPr>
            </w:pPr>
            <w:r>
              <w:rPr>
                <w:rFonts w:hint="eastAsia" w:ascii="宋体" w:hAnsi="宋体"/>
                <w:b/>
                <w:color w:val="auto"/>
                <w:sz w:val="20"/>
                <w:szCs w:val="20"/>
              </w:rPr>
              <w:t>(一)策划的充分与合理性</w:t>
            </w:r>
          </w:p>
        </w:tc>
        <w:tc>
          <w:tcPr>
            <w:tcW w:w="9198" w:type="dxa"/>
          </w:tcPr>
          <w:p>
            <w:pPr>
              <w:spacing w:line="240" w:lineRule="exact"/>
              <w:rPr>
                <w:color w:val="auto"/>
              </w:rPr>
            </w:pPr>
            <w:r>
              <w:rPr>
                <w:color w:val="auto"/>
              </w:rPr>
              <w:t>1、</w:t>
            </w:r>
            <w:r>
              <w:rPr>
                <w:rFonts w:hint="eastAsia"/>
                <w:color w:val="auto"/>
              </w:rPr>
              <w:t>组织及其环境的识别情况</w:t>
            </w:r>
          </w:p>
          <w:p>
            <w:pPr>
              <w:rPr>
                <w:rFonts w:hint="eastAsia"/>
                <w:color w:val="auto"/>
              </w:rPr>
            </w:pPr>
            <w:r>
              <w:rPr>
                <w:rFonts w:hint="eastAsia" w:ascii="宋体" w:hAnsi="宋体"/>
                <w:color w:val="auto"/>
                <w:szCs w:val="21"/>
              </w:rPr>
              <w:t>北京市国林诚意园林有限公司,2002年12月19日成立，经营范围包括城市园林绿化；绿植租摆；培育种子、种苗；生产、销售造林苗、城镇绿化苗、经济林苗、花卉；销售花、草及观赏植物、植物幼苗；技术开发、技术咨询、技术服务；电脑动画设计；专业保洁服务；家政服务（不符合家政服务通用要求不得开展经营活动）；工程设计；施工总承包；专业承包；劳务分包。（市场主体依法自主选择经营项目，开展经营活动；工程设计以及依法须经批准的项目，经相关部门批准后依批准的内容开展经营活动；不得从事国家和本市产业政策禁止和限制类项目的经营活动。）</w:t>
            </w:r>
          </w:p>
          <w:p>
            <w:pPr>
              <w:pStyle w:val="2"/>
              <w:rPr>
                <w:rFonts w:hint="eastAsia"/>
                <w:color w:val="auto"/>
              </w:rPr>
            </w:pPr>
            <w:r>
              <w:rPr>
                <w:rFonts w:hint="eastAsia"/>
                <w:color w:val="auto"/>
              </w:rPr>
              <w:t>注 册 地 址</w:t>
            </w:r>
            <w:r>
              <w:rPr>
                <w:rFonts w:hint="eastAsia"/>
                <w:color w:val="auto"/>
              </w:rPr>
              <w:tab/>
            </w:r>
            <w:r>
              <w:rPr>
                <w:rFonts w:hint="eastAsia"/>
                <w:color w:val="auto"/>
              </w:rPr>
              <w:t>北京市海淀区中关村东路18号1幢11层A-1203号</w:t>
            </w:r>
          </w:p>
          <w:p>
            <w:pPr>
              <w:pStyle w:val="2"/>
              <w:rPr>
                <w:rFonts w:hint="eastAsia"/>
                <w:color w:val="auto"/>
              </w:rPr>
            </w:pPr>
            <w:r>
              <w:rPr>
                <w:rFonts w:hint="eastAsia"/>
                <w:color w:val="auto"/>
              </w:rPr>
              <w:t>生产经营地址</w:t>
            </w:r>
            <w:r>
              <w:rPr>
                <w:rFonts w:hint="eastAsia"/>
                <w:color w:val="auto"/>
              </w:rPr>
              <w:tab/>
            </w:r>
            <w:r>
              <w:rPr>
                <w:rFonts w:hint="eastAsia"/>
                <w:color w:val="auto"/>
              </w:rPr>
              <w:t>北京市海淀区上庄路和云水路交叉口往北20米路东</w:t>
            </w:r>
          </w:p>
          <w:p>
            <w:pPr>
              <w:spacing w:line="240" w:lineRule="exact"/>
              <w:rPr>
                <w:b/>
                <w:color w:val="auto"/>
                <w:sz w:val="20"/>
                <w:szCs w:val="20"/>
              </w:rPr>
            </w:pPr>
            <w:r>
              <w:rPr>
                <w:rFonts w:hint="eastAsia"/>
                <w:b/>
                <w:color w:val="auto"/>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40" w:lineRule="exact"/>
              <w:rPr>
                <w:b/>
                <w:color w:val="auto"/>
                <w:sz w:val="20"/>
                <w:szCs w:val="20"/>
              </w:rPr>
            </w:pPr>
            <w:r>
              <w:rPr>
                <w:rFonts w:hint="eastAsia"/>
                <w:b/>
                <w:color w:val="auto"/>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相关方需求和期望识别情况</w:t>
            </w:r>
          </w:p>
          <w:p>
            <w:pPr>
              <w:spacing w:line="240" w:lineRule="exact"/>
              <w:rPr>
                <w:b/>
                <w:color w:val="auto"/>
                <w:sz w:val="20"/>
                <w:szCs w:val="20"/>
              </w:rPr>
            </w:pPr>
            <w:r>
              <w:rPr>
                <w:rFonts w:hint="eastAsia"/>
                <w:color w:val="auto"/>
              </w:rPr>
              <w:t>在</w:t>
            </w:r>
            <w:r>
              <w:rPr>
                <w:rFonts w:hint="eastAsia"/>
                <w:b/>
                <w:color w:val="auto"/>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40" w:lineRule="exact"/>
              <w:rPr>
                <w:b/>
                <w:color w:val="auto"/>
                <w:sz w:val="20"/>
                <w:szCs w:val="20"/>
              </w:rPr>
            </w:pPr>
            <w:bookmarkStart w:id="4" w:name="_Toc475019994"/>
            <w:bookmarkStart w:id="5" w:name="_Toc475020125"/>
            <w:r>
              <w:rPr>
                <w:rFonts w:hint="eastAsia"/>
                <w:b/>
                <w:color w:val="auto"/>
                <w:sz w:val="20"/>
                <w:szCs w:val="20"/>
              </w:rPr>
              <w:t>与质量/环境/职业健康安全管理体系有关的相关方</w:t>
            </w:r>
            <w:bookmarkEnd w:id="4"/>
            <w:bookmarkEnd w:id="5"/>
            <w:r>
              <w:rPr>
                <w:rFonts w:hint="eastAsia"/>
                <w:b/>
                <w:color w:val="auto"/>
                <w:sz w:val="20"/>
                <w:szCs w:val="20"/>
              </w:rPr>
              <w:t>；</w:t>
            </w:r>
          </w:p>
          <w:p>
            <w:pPr>
              <w:spacing w:line="240" w:lineRule="exact"/>
              <w:rPr>
                <w:b/>
                <w:color w:val="auto"/>
                <w:sz w:val="20"/>
                <w:szCs w:val="20"/>
              </w:rPr>
            </w:pPr>
            <w:r>
              <w:rPr>
                <w:rFonts w:hint="eastAsia"/>
                <w:b/>
                <w:color w:val="auto"/>
                <w:sz w:val="20"/>
                <w:szCs w:val="20"/>
              </w:rPr>
              <w:t>公司的相关方包括：顾客、员工、银行、外部供应商、雇员及其他为组织工作者、法律法规及监管机关、非政府组织等。</w:t>
            </w:r>
          </w:p>
          <w:p>
            <w:pPr>
              <w:spacing w:line="240" w:lineRule="exact"/>
              <w:rPr>
                <w:b/>
                <w:color w:val="auto"/>
                <w:sz w:val="20"/>
                <w:szCs w:val="20"/>
              </w:rPr>
            </w:pPr>
            <w:r>
              <w:rPr>
                <w:rFonts w:hint="eastAsia"/>
                <w:b/>
                <w:color w:val="auto"/>
                <w:sz w:val="20"/>
                <w:szCs w:val="20"/>
              </w:rPr>
              <w:t>公司对这些相关方及其要求的相关信息进行监视和评审，理解和持续满足相关方的需求和期望。</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80" w:lineRule="exact"/>
              <w:rPr>
                <w:rFonts w:ascii="宋体" w:hAnsi="宋体"/>
                <w:b/>
                <w:color w:val="auto"/>
                <w:sz w:val="20"/>
                <w:szCs w:val="20"/>
              </w:rPr>
            </w:pPr>
            <w:r>
              <w:rPr>
                <w:b/>
                <w:color w:val="auto"/>
                <w:sz w:val="20"/>
                <w:szCs w:val="20"/>
              </w:rPr>
              <w:t>3.</w:t>
            </w:r>
            <w:r>
              <w:rPr>
                <w:rFonts w:hint="eastAsia" w:ascii="宋体" w:hAnsi="宋体" w:cs="宋体"/>
                <w:b/>
                <w:color w:val="auto"/>
                <w:spacing w:val="-10"/>
                <w:sz w:val="20"/>
                <w:szCs w:val="20"/>
              </w:rPr>
              <w:t>█</w:t>
            </w:r>
            <w:r>
              <w:rPr>
                <w:rFonts w:hint="eastAsia" w:ascii="宋体" w:hAnsi="宋体"/>
                <w:b/>
                <w:color w:val="auto"/>
                <w:sz w:val="20"/>
                <w:szCs w:val="20"/>
              </w:rPr>
              <w:t>质量/</w:t>
            </w:r>
            <w:r>
              <w:rPr>
                <w:rFonts w:hint="eastAsia" w:ascii="宋体" w:hAnsi="宋体" w:cs="宋体"/>
                <w:b/>
                <w:color w:val="auto"/>
                <w:spacing w:val="-10"/>
                <w:sz w:val="20"/>
                <w:szCs w:val="20"/>
              </w:rPr>
              <w:t>█</w:t>
            </w:r>
            <w:r>
              <w:rPr>
                <w:rFonts w:hint="eastAsia" w:ascii="宋体" w:hAnsi="宋体"/>
                <w:b/>
                <w:color w:val="auto"/>
                <w:sz w:val="20"/>
                <w:szCs w:val="20"/>
              </w:rPr>
              <w:t>环境/</w:t>
            </w:r>
            <w:r>
              <w:rPr>
                <w:rFonts w:hint="eastAsia" w:ascii="宋体" w:hAnsi="宋体" w:cs="宋体"/>
                <w:b/>
                <w:color w:val="auto"/>
                <w:spacing w:val="-10"/>
                <w:sz w:val="20"/>
                <w:szCs w:val="20"/>
              </w:rPr>
              <w:t>█</w:t>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spacing w:line="480" w:lineRule="exact"/>
              <w:rPr>
                <w:rFonts w:ascii="楷体" w:hAnsi="楷体" w:eastAsia="楷体"/>
                <w:color w:val="auto"/>
                <w:sz w:val="24"/>
              </w:rPr>
            </w:pPr>
            <w:r>
              <w:rPr>
                <w:rFonts w:hint="eastAsia" w:ascii="楷体" w:hAnsi="楷体" w:eastAsia="楷体"/>
                <w:color w:val="auto"/>
                <w:sz w:val="24"/>
              </w:rPr>
              <w:t>公司的管理方针是：</w:t>
            </w:r>
          </w:p>
          <w:p>
            <w:pPr>
              <w:spacing w:line="280" w:lineRule="exact"/>
              <w:rPr>
                <w:rFonts w:ascii="宋体" w:hAnsi="宋体"/>
                <w:b/>
                <w:bCs/>
                <w:color w:val="auto"/>
                <w:sz w:val="20"/>
                <w:szCs w:val="20"/>
              </w:rPr>
            </w:pPr>
            <w:r>
              <w:rPr>
                <w:rFonts w:hint="eastAsia" w:ascii="宋体" w:hAnsi="宋体"/>
                <w:b/>
                <w:bCs/>
                <w:color w:val="auto"/>
                <w:sz w:val="20"/>
                <w:szCs w:val="20"/>
              </w:rPr>
              <w:t>守法诚信追求质量，预防污染保护环境；</w:t>
            </w:r>
          </w:p>
          <w:p>
            <w:pPr>
              <w:spacing w:line="280" w:lineRule="exact"/>
              <w:rPr>
                <w:rFonts w:ascii="宋体" w:hAnsi="宋体"/>
                <w:b/>
                <w:bCs/>
                <w:color w:val="auto"/>
                <w:sz w:val="20"/>
                <w:szCs w:val="20"/>
              </w:rPr>
            </w:pPr>
            <w:r>
              <w:rPr>
                <w:rFonts w:hint="eastAsia" w:ascii="宋体" w:hAnsi="宋体"/>
                <w:b/>
                <w:bCs/>
                <w:color w:val="auto"/>
                <w:sz w:val="20"/>
                <w:szCs w:val="20"/>
              </w:rPr>
              <w:t>关爱员工健康安全，持续改进追求卓越。</w:t>
            </w:r>
          </w:p>
          <w:p>
            <w:pPr>
              <w:spacing w:line="280" w:lineRule="exact"/>
              <w:rPr>
                <w:rFonts w:ascii="宋体" w:hAnsi="宋体"/>
                <w:b/>
                <w:color w:val="auto"/>
                <w:sz w:val="20"/>
                <w:szCs w:val="20"/>
              </w:rPr>
            </w:pPr>
            <w:r>
              <w:rPr>
                <w:rFonts w:hint="eastAsia" w:ascii="宋体" w:hAnsi="宋体"/>
                <w:b/>
                <w:color w:val="auto"/>
                <w:sz w:val="20"/>
                <w:szCs w:val="20"/>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rPr>
                <w:rFonts w:ascii="宋体" w:hAnsi="宋体"/>
                <w:b/>
                <w:color w:val="auto"/>
                <w:sz w:val="20"/>
                <w:szCs w:val="20"/>
              </w:rPr>
            </w:pPr>
            <w:r>
              <w:rPr>
                <w:rFonts w:hint="eastAsia" w:ascii="宋体" w:hAnsi="宋体"/>
                <w:b/>
                <w:color w:val="auto"/>
                <w:sz w:val="20"/>
                <w:szCs w:val="20"/>
              </w:rPr>
              <w:t>总经理用会议、文件等手段保证管理方针为全体员工理解并落实到工作中。总经理说管理评审时对方针的持续适宜性进行了评审，有评审记录。</w:t>
            </w:r>
          </w:p>
          <w:p>
            <w:pPr>
              <w:spacing w:line="280" w:lineRule="exact"/>
              <w:rPr>
                <w:rFonts w:ascii="宋体" w:hAnsi="宋体"/>
                <w:b/>
                <w:color w:val="auto"/>
                <w:sz w:val="20"/>
                <w:szCs w:val="20"/>
              </w:rPr>
            </w:pPr>
            <w:r>
              <w:rPr>
                <w:rFonts w:hint="eastAsia" w:ascii="宋体" w:hAnsi="宋体"/>
                <w:b/>
                <w:color w:val="auto"/>
                <w:sz w:val="20"/>
                <w:szCs w:val="20"/>
              </w:rPr>
              <w:t>以上管理方针通过文件、培训等形式将公司管理方针传达给所有为公司工作或代表公司的人员，相关方也可通过综合部获取公司管理方针。</w:t>
            </w:r>
          </w:p>
          <w:p>
            <w:pPr>
              <w:spacing w:line="240" w:lineRule="exact"/>
              <w:ind w:left="199" w:leftChars="95"/>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风险识别与控制策划</w:t>
            </w:r>
          </w:p>
          <w:p>
            <w:pPr>
              <w:pStyle w:val="2"/>
              <w:rPr>
                <w:color w:val="auto"/>
              </w:rPr>
            </w:pPr>
            <w:r>
              <w:rPr>
                <w:rFonts w:hint="eastAsia" w:ascii="宋体" w:hAnsi="宋体"/>
                <w:b/>
                <w:color w:val="auto"/>
                <w:sz w:val="20"/>
                <w:szCs w:val="20"/>
              </w:rPr>
              <w:t>公司编制《</w:t>
            </w:r>
            <w:r>
              <w:rPr>
                <w:rFonts w:ascii="宋体" w:hAnsi="宋体"/>
                <w:b/>
                <w:color w:val="auto"/>
                <w:sz w:val="20"/>
                <w:szCs w:val="20"/>
              </w:rPr>
              <w:t>应对风险和机遇的措施表</w:t>
            </w:r>
            <w:r>
              <w:rPr>
                <w:rFonts w:hint="eastAsia" w:ascii="宋体" w:hAnsi="宋体"/>
                <w:b/>
                <w:color w:val="auto"/>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质量管理体系过程有：</w:t>
            </w:r>
          </w:p>
          <w:p>
            <w:pPr>
              <w:rPr>
                <w:rFonts w:hint="eastAsia"/>
                <w:b/>
                <w:color w:val="auto"/>
                <w:sz w:val="24"/>
              </w:rPr>
            </w:pPr>
            <w:r>
              <w:rPr>
                <w:rFonts w:hint="eastAsia"/>
                <w:b/>
                <w:color w:val="auto"/>
                <w:sz w:val="24"/>
              </w:rPr>
              <w:t>园林绿化服务：客户洽谈→合同签订→材料采购→进场报验→项目施工→过程检验→竣工验收→后期服务。</w:t>
            </w:r>
          </w:p>
          <w:p>
            <w:pPr>
              <w:pStyle w:val="2"/>
              <w:rPr>
                <w:color w:val="auto"/>
                <w:szCs w:val="22"/>
              </w:rPr>
            </w:pPr>
            <w:r>
              <w:rPr>
                <w:rFonts w:hint="eastAsia"/>
                <w:color w:val="auto"/>
                <w:szCs w:val="22"/>
              </w:rPr>
              <w:t>其中特殊过程为：园林绿化服务过程</w:t>
            </w:r>
          </w:p>
          <w:p>
            <w:pPr>
              <w:rPr>
                <w:color w:val="auto"/>
                <w:szCs w:val="22"/>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color w:val="auto"/>
              </w:rPr>
              <w:t>园林绿化服务过程</w:t>
            </w:r>
          </w:p>
          <w:p>
            <w:pPr>
              <w:pStyle w:val="2"/>
              <w:rPr>
                <w:color w:val="auto"/>
                <w:szCs w:val="22"/>
              </w:rPr>
            </w:pPr>
            <w:r>
              <w:rPr>
                <w:rFonts w:hint="eastAsia" w:ascii="宋体" w:hAnsi="宋体"/>
                <w:b/>
                <w:color w:val="auto"/>
                <w:sz w:val="20"/>
                <w:szCs w:val="20"/>
              </w:rPr>
              <w:t xml:space="preserve">需要确认过程  </w:t>
            </w:r>
            <w:r>
              <w:rPr>
                <w:rFonts w:hint="eastAsia" w:ascii="宋体" w:hAnsi="宋体"/>
                <w:b/>
                <w:color w:val="auto"/>
                <w:sz w:val="20"/>
                <w:szCs w:val="20"/>
                <w:u w:val="single"/>
              </w:rPr>
              <w:t xml:space="preserve"> </w:t>
            </w:r>
            <w:r>
              <w:rPr>
                <w:rFonts w:hint="eastAsia"/>
                <w:color w:val="auto"/>
                <w:szCs w:val="22"/>
              </w:rPr>
              <w:t>园林绿化服务过程</w:t>
            </w:r>
          </w:p>
          <w:p>
            <w:pPr>
              <w:rPr>
                <w:color w:val="auto"/>
                <w:szCs w:val="21"/>
              </w:rPr>
            </w:pPr>
            <w:r>
              <w:rPr>
                <w:rFonts w:hint="eastAsia" w:ascii="宋体" w:hAnsi="宋体"/>
                <w:b/>
                <w:color w:val="auto"/>
                <w:sz w:val="20"/>
                <w:szCs w:val="20"/>
              </w:rPr>
              <w:t>不适用条款是   8.3     ，不适用理由：</w:t>
            </w:r>
            <w:r>
              <w:rPr>
                <w:rFonts w:hint="eastAsia" w:ascii="宋体" w:hAnsi="宋体"/>
                <w:color w:val="auto"/>
                <w:sz w:val="21"/>
                <w:szCs w:val="21"/>
                <w:lang w:val="en-US" w:eastAsia="zh-CN"/>
              </w:rPr>
              <w:t>，因该公司的</w:t>
            </w:r>
            <w:r>
              <w:rPr>
                <w:rFonts w:hint="eastAsia" w:ascii="宋体" w:hAnsi="宋体"/>
                <w:color w:val="auto"/>
                <w:szCs w:val="21"/>
              </w:rPr>
              <w:t>园林绿化服务</w:t>
            </w:r>
            <w:r>
              <w:rPr>
                <w:rFonts w:hint="eastAsia" w:ascii="宋体" w:hAnsi="宋体"/>
                <w:color w:val="auto"/>
                <w:szCs w:val="21"/>
                <w:lang w:val="en-US" w:eastAsia="zh-CN"/>
              </w:rPr>
              <w:t>及销售</w:t>
            </w:r>
            <w:r>
              <w:rPr>
                <w:rFonts w:hint="eastAsia" w:ascii="宋体" w:hAnsi="宋体"/>
                <w:color w:val="auto"/>
                <w:szCs w:val="21"/>
                <w:lang w:eastAsia="zh-CN"/>
              </w:rPr>
              <w:t>，</w:t>
            </w:r>
            <w:r>
              <w:rPr>
                <w:rFonts w:hint="eastAsia" w:ascii="宋体" w:hAnsi="宋体"/>
                <w:color w:val="auto"/>
                <w:szCs w:val="21"/>
                <w:lang w:val="en-US" w:eastAsia="zh-CN"/>
              </w:rPr>
              <w:t>按照顾客的要求进行，该条款的不适用,</w:t>
            </w:r>
            <w:r>
              <w:rPr>
                <w:rFonts w:hint="eastAsia"/>
                <w:color w:val="auto"/>
              </w:rPr>
              <w:t>不影响组织确保其产品和服务合格的能力和责任，也不会对增强顾客满意产生影响</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auto"/>
                <w:sz w:val="20"/>
                <w:szCs w:val="20"/>
              </w:rPr>
            </w:pPr>
          </w:p>
          <w:p>
            <w:pPr>
              <w:tabs>
                <w:tab w:val="left" w:pos="540"/>
              </w:tabs>
              <w:spacing w:line="300" w:lineRule="exact"/>
              <w:ind w:left="211" w:hanging="211" w:hangingChars="100"/>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auto"/>
                <w:kern w:val="0"/>
                <w:szCs w:val="21"/>
              </w:rPr>
              <w:t>服装机械设备及零配件的销售</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3</w:t>
            </w:r>
            <w:r>
              <w:rPr>
                <w:rFonts w:hint="eastAsia"/>
                <w:color w:val="auto"/>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color w:val="auto"/>
                <w:szCs w:val="21"/>
              </w:rPr>
              <w:t>，评价符合程序要求及公司的实际情况。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4</w:t>
            </w:r>
            <w:r>
              <w:rPr>
                <w:rFonts w:hint="eastAsia"/>
                <w:color w:val="auto"/>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pacing w:val="-4"/>
                <w:szCs w:val="21"/>
              </w:rPr>
            </w:pPr>
            <w:r>
              <w:rPr>
                <w:rFonts w:hint="eastAsia"/>
                <w:b/>
                <w:color w:val="auto"/>
                <w:szCs w:val="21"/>
              </w:rPr>
              <w:t xml:space="preserve">4. </w:t>
            </w:r>
            <w:r>
              <w:rPr>
                <w:rFonts w:hint="eastAsia" w:ascii="宋体" w:hAnsi="宋体"/>
                <w:b/>
                <w:color w:val="auto"/>
                <w:spacing w:val="-4"/>
                <w:szCs w:val="21"/>
              </w:rPr>
              <w:t>法律法规及其他要求</w:t>
            </w:r>
          </w:p>
          <w:p>
            <w:pPr>
              <w:tabs>
                <w:tab w:val="left" w:pos="540"/>
              </w:tabs>
              <w:spacing w:line="300" w:lineRule="exact"/>
              <w:ind w:left="211" w:hanging="211" w:hangingChars="100"/>
              <w:rPr>
                <w:rFonts w:ascii="宋体" w:hAnsi="宋体"/>
                <w:b/>
                <w:color w:val="auto"/>
                <w:szCs w:val="21"/>
              </w:rPr>
            </w:pPr>
          </w:p>
          <w:p>
            <w:pPr>
              <w:pStyle w:val="16"/>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6"/>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20"/>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pStyle w:val="20"/>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法律法规要求及时更新了</w:t>
            </w:r>
            <w:r>
              <w:rPr>
                <w:rFonts w:hint="eastAsia" w:ascii="宋体" w:hAnsi="宋体"/>
                <w:color w:val="auto"/>
                <w:szCs w:val="21"/>
              </w:rPr>
              <w:t>每年一次</w:t>
            </w:r>
          </w:p>
          <w:p>
            <w:pPr>
              <w:tabs>
                <w:tab w:val="left" w:pos="0"/>
              </w:tabs>
              <w:spacing w:line="240" w:lineRule="exact"/>
              <w:rPr>
                <w:b/>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Cs w:val="21"/>
              </w:rPr>
            </w:pPr>
            <w:r>
              <w:rPr>
                <w:rFonts w:hint="eastAsia"/>
                <w:b/>
                <w:color w:val="auto"/>
                <w:szCs w:val="21"/>
              </w:rPr>
              <w:t xml:space="preserve">5. </w:t>
            </w:r>
            <w:r>
              <w:rPr>
                <w:rFonts w:hint="eastAsia" w:ascii="宋体" w:hAnsi="宋体"/>
                <w:b/>
                <w:color w:val="auto"/>
                <w:szCs w:val="21"/>
              </w:rPr>
              <w:t>目标、方案</w:t>
            </w:r>
          </w:p>
          <w:p>
            <w:pPr>
              <w:spacing w:line="300" w:lineRule="exact"/>
              <w:rPr>
                <w:rFonts w:ascii="宋体" w:hAnsi="宋体"/>
                <w:b/>
                <w:color w:val="auto"/>
                <w:sz w:val="20"/>
                <w:szCs w:val="20"/>
              </w:rPr>
            </w:pPr>
            <w:r>
              <w:rPr>
                <w:rFonts w:hint="eastAsia"/>
                <w:b/>
                <w:color w:val="auto"/>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pStyle w:val="2"/>
              <w:rPr>
                <w:color w:val="auto"/>
              </w:rPr>
            </w:pPr>
          </w:p>
          <w:p>
            <w:pPr>
              <w:spacing w:line="240" w:lineRule="exact"/>
              <w:ind w:firstLine="420" w:firstLineChars="200"/>
              <w:rPr>
                <w:rFonts w:ascii="宋体" w:hAnsi="宋体"/>
                <w:b/>
                <w:color w:val="auto"/>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color w:val="auto"/>
              </w:rPr>
            </w:pPr>
            <w:r>
              <w:rPr>
                <w:rFonts w:hint="eastAsia"/>
                <w:color w:val="auto"/>
              </w:rPr>
              <w:t>6. 文件与记录控制 (文审修订后文件与标准的符合程度评价、文件控制管理等)</w:t>
            </w:r>
          </w:p>
          <w:p>
            <w:pPr>
              <w:tabs>
                <w:tab w:val="left" w:pos="540"/>
              </w:tabs>
              <w:spacing w:line="240" w:lineRule="exact"/>
              <w:rPr>
                <w:color w:val="auto"/>
              </w:rPr>
            </w:pPr>
          </w:p>
          <w:p>
            <w:pPr>
              <w:pStyle w:val="2"/>
              <w:rPr>
                <w:color w:val="auto"/>
              </w:rPr>
            </w:pPr>
            <w:r>
              <w:rPr>
                <w:rFonts w:hint="eastAsia"/>
                <w:color w:val="auto"/>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auto"/>
                <w:szCs w:val="21"/>
              </w:rPr>
            </w:pPr>
            <w:r>
              <w:rPr>
                <w:b/>
                <w:color w:val="auto"/>
                <w:szCs w:val="21"/>
              </w:rPr>
              <w:br w:type="page"/>
            </w:r>
            <w:r>
              <w:rPr>
                <w:rFonts w:hint="eastAsia" w:ascii="宋体" w:hAnsi="宋体"/>
                <w:b/>
                <w:color w:val="auto"/>
                <w:szCs w:val="21"/>
              </w:rPr>
              <w:t>(二)资源评价</w:t>
            </w:r>
          </w:p>
        </w:tc>
        <w:tc>
          <w:tcPr>
            <w:tcW w:w="9198" w:type="dxa"/>
          </w:tcPr>
          <w:p>
            <w:pPr>
              <w:spacing w:line="300" w:lineRule="exact"/>
              <w:rPr>
                <w:rFonts w:ascii="宋体" w:hAnsi="宋体"/>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pStyle w:val="2"/>
              <w:rPr>
                <w:color w:val="auto"/>
              </w:rPr>
            </w:pPr>
          </w:p>
          <w:p>
            <w:pPr>
              <w:rPr>
                <w:rFonts w:ascii="宋体" w:hAnsi="宋体"/>
                <w:b/>
                <w:color w:val="auto"/>
                <w:sz w:val="20"/>
                <w:szCs w:val="20"/>
              </w:rPr>
            </w:pPr>
            <w:r>
              <w:rPr>
                <w:rFonts w:hint="eastAsia"/>
                <w:bCs/>
                <w:color w:val="auto"/>
                <w:szCs w:val="21"/>
              </w:rPr>
              <w:t>该公司员工共25人，管理人</w:t>
            </w:r>
            <w:r>
              <w:rPr>
                <w:rFonts w:hint="eastAsia"/>
                <w:bCs/>
                <w:color w:val="auto"/>
                <w:szCs w:val="21"/>
                <w:lang w:val="en-US" w:eastAsia="zh-CN"/>
              </w:rPr>
              <w:t>5</w:t>
            </w:r>
            <w:r>
              <w:rPr>
                <w:rFonts w:hint="eastAsia"/>
                <w:bCs/>
                <w:color w:val="auto"/>
                <w:szCs w:val="21"/>
              </w:rPr>
              <w:t>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rPr>
                <w:color w:val="auto"/>
              </w:rPr>
            </w:pPr>
            <w:r>
              <w:rPr>
                <w:rFonts w:hint="eastAsia"/>
                <w:color w:val="auto"/>
                <w:szCs w:val="21"/>
              </w:rPr>
              <w:t>生产设备有：</w:t>
            </w:r>
            <w:r>
              <w:rPr>
                <w:rFonts w:hint="eastAsia"/>
                <w:color w:val="auto"/>
                <w:szCs w:val="22"/>
              </w:rPr>
              <w:t>铁锹、铁镐、手据、园艺剪、割草机、粗枝剪、打草机</w:t>
            </w:r>
            <w:r>
              <w:rPr>
                <w:rFonts w:hint="eastAsia" w:ascii="宋体" w:hAnsi="宋体"/>
                <w:color w:val="auto"/>
                <w:spacing w:val="-10"/>
                <w:sz w:val="20"/>
                <w:szCs w:val="20"/>
              </w:rPr>
              <w:t>等</w:t>
            </w:r>
          </w:p>
          <w:p>
            <w:pPr>
              <w:rPr>
                <w:rFonts w:cs="Lucida Sans"/>
                <w:b/>
                <w:color w:val="auto"/>
                <w:szCs w:val="20"/>
              </w:rPr>
            </w:pPr>
            <w:r>
              <w:rPr>
                <w:rFonts w:hint="eastAsia" w:ascii="黑体" w:hAnsi="黑体" w:eastAsia="黑体" w:cs="黑体"/>
                <w:color w:val="auto"/>
                <w:szCs w:val="21"/>
              </w:rPr>
              <w:t>办公设备:电脑/打印机/传真机/电话等</w:t>
            </w:r>
            <w:r>
              <w:rPr>
                <w:rFonts w:hint="eastAsia" w:cs="Lucida Sans"/>
                <w:b/>
                <w:color w:val="auto"/>
                <w:szCs w:val="20"/>
              </w:rPr>
              <w:t>。提供维修保养计划及记录，满足要求。</w:t>
            </w:r>
          </w:p>
          <w:p>
            <w:pPr>
              <w:rPr>
                <w:color w:val="auto"/>
              </w:rPr>
            </w:pPr>
            <w:bookmarkStart w:id="6" w:name="_Hlk22559941"/>
            <w:r>
              <w:rPr>
                <w:rFonts w:hint="eastAsia" w:cs="Lucida Sans"/>
                <w:b/>
                <w:color w:val="auto"/>
                <w:szCs w:val="20"/>
              </w:rPr>
              <w:t>环保设施包括：</w:t>
            </w:r>
            <w:r>
              <w:rPr>
                <w:rFonts w:hint="eastAsia"/>
                <w:color w:val="auto"/>
              </w:rPr>
              <w:t>灭火器</w:t>
            </w:r>
            <w:r>
              <w:rPr>
                <w:rFonts w:hint="eastAsia"/>
                <w:color w:val="auto"/>
                <w:szCs w:val="21"/>
              </w:rPr>
              <w:t>、</w:t>
            </w:r>
            <w:r>
              <w:rPr>
                <w:rFonts w:hint="eastAsia" w:cs="Lucida Sans"/>
                <w:b/>
                <w:color w:val="auto"/>
                <w:szCs w:val="20"/>
              </w:rPr>
              <w:t>垃圾桶；</w:t>
            </w:r>
          </w:p>
          <w:p>
            <w:pPr>
              <w:widowControl/>
              <w:spacing w:line="460" w:lineRule="exact"/>
              <w:jc w:val="left"/>
              <w:rPr>
                <w:color w:val="auto"/>
                <w:szCs w:val="21"/>
              </w:rPr>
            </w:pPr>
            <w:r>
              <w:rPr>
                <w:rFonts w:hint="eastAsia" w:cs="Lucida Sans"/>
                <w:b/>
                <w:color w:val="auto"/>
                <w:szCs w:val="20"/>
              </w:rPr>
              <w:t>安全设施配置主要有：标识牌、灭火器、消防器材等，</w:t>
            </w:r>
          </w:p>
          <w:bookmarkEnd w:id="6"/>
          <w:p>
            <w:pPr>
              <w:spacing w:line="240" w:lineRule="exact"/>
              <w:rPr>
                <w:rFonts w:ascii="宋体" w:hAnsi="宋体"/>
                <w:b/>
                <w:color w:val="auto"/>
                <w:sz w:val="20"/>
                <w:szCs w:val="20"/>
              </w:rPr>
            </w:pP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rPr>
                <w:color w:val="auto"/>
              </w:rPr>
            </w:pPr>
            <w:r>
              <w:rPr>
                <w:rFonts w:hint="eastAsia"/>
                <w:color w:val="auto"/>
              </w:rPr>
              <w:t>现场观察生产区和办公区域环境卫生管理，工作场所布局合理，温湿度适宜，照明良好，满足办公需求。</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rPr>
                <w:rFonts w:hint="eastAsia" w:eastAsia="宋体" w:cs="Lucida Sans"/>
                <w:b/>
                <w:color w:val="auto"/>
                <w:szCs w:val="20"/>
                <w:lang w:val="en-US" w:eastAsia="zh-CN"/>
              </w:rPr>
            </w:pPr>
            <w:r>
              <w:rPr>
                <w:rFonts w:hint="eastAsia" w:cs="Lucida Sans"/>
                <w:b/>
                <w:color w:val="auto"/>
                <w:szCs w:val="20"/>
              </w:rPr>
              <w:t>监视和测量设备有：</w:t>
            </w:r>
            <w:r>
              <w:rPr>
                <w:rFonts w:hint="eastAsia" w:cs="Lucida Sans"/>
                <w:b/>
                <w:color w:val="auto"/>
                <w:szCs w:val="20"/>
                <w:lang w:val="en-US" w:eastAsia="zh-CN"/>
              </w:rPr>
              <w:t>无</w:t>
            </w:r>
          </w:p>
          <w:p>
            <w:pPr>
              <w:spacing w:line="240" w:lineRule="exact"/>
              <w:rPr>
                <w:rFonts w:ascii="宋体" w:hAnsi="宋体"/>
                <w:b/>
                <w:color w:val="auto"/>
                <w:sz w:val="20"/>
                <w:szCs w:val="20"/>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color w:val="auto"/>
                <w:sz w:val="20"/>
                <w:szCs w:val="20"/>
              </w:rPr>
            </w:pPr>
            <w:r>
              <w:rPr>
                <w:rFonts w:hint="eastAsia"/>
                <w:color w:val="auto"/>
              </w:rPr>
              <w:t>灭火器</w:t>
            </w:r>
            <w:r>
              <w:rPr>
                <w:rFonts w:hint="eastAsia"/>
                <w:color w:val="auto"/>
                <w:szCs w:val="21"/>
              </w:rPr>
              <w:t>、</w:t>
            </w:r>
            <w:r>
              <w:rPr>
                <w:rFonts w:hint="eastAsia" w:cs="Lucida Sans"/>
                <w:b/>
                <w:color w:val="auto"/>
                <w:szCs w:val="20"/>
              </w:rPr>
              <w:t>垃圾桶</w:t>
            </w:r>
            <w:r>
              <w:rPr>
                <w:rFonts w:hint="eastAsia"/>
                <w:color w:val="auto"/>
              </w:rPr>
              <w:t>。</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b/>
                <w:bCs/>
                <w:color w:val="auto"/>
              </w:rPr>
            </w:pPr>
            <w:r>
              <w:rPr>
                <w:rFonts w:hint="eastAsia"/>
                <w:b/>
                <w:bCs/>
                <w:color w:val="auto"/>
              </w:rPr>
              <w:t>职业健康安全设施：</w:t>
            </w:r>
          </w:p>
          <w:p>
            <w:pPr>
              <w:pStyle w:val="2"/>
              <w:rPr>
                <w:rFonts w:ascii="宋体" w:hAnsi="宋体"/>
                <w:b/>
                <w:color w:val="auto"/>
                <w:sz w:val="20"/>
                <w:szCs w:val="20"/>
              </w:rPr>
            </w:pPr>
            <w:r>
              <w:rPr>
                <w:rFonts w:hint="eastAsia" w:cs="Lucida Sans"/>
                <w:b/>
                <w:color w:val="auto"/>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auto"/>
                <w:sz w:val="20"/>
                <w:szCs w:val="20"/>
              </w:rPr>
            </w:pPr>
            <w:r>
              <w:rPr>
                <w:rFonts w:hint="eastAsia"/>
                <w:b/>
                <w:color w:val="auto"/>
                <w:sz w:val="20"/>
                <w:szCs w:val="20"/>
              </w:rPr>
              <w:t>(三)体系运行情况</w:t>
            </w:r>
          </w:p>
        </w:tc>
        <w:tc>
          <w:tcPr>
            <w:tcW w:w="9198" w:type="dxa"/>
          </w:tcPr>
          <w:p>
            <w:pPr>
              <w:spacing w:line="300" w:lineRule="exact"/>
              <w:rPr>
                <w:b/>
                <w:bCs/>
                <w:color w:val="auto"/>
              </w:rPr>
            </w:pPr>
            <w:r>
              <w:rPr>
                <w:rFonts w:hint="eastAsia"/>
                <w:b/>
                <w:bCs/>
                <w:color w:val="auto"/>
              </w:rPr>
              <w:t>1. 针对方针的管理职责评审</w:t>
            </w:r>
          </w:p>
          <w:p>
            <w:pPr>
              <w:spacing w:line="300" w:lineRule="exact"/>
              <w:ind w:left="1"/>
              <w:rPr>
                <w:b/>
                <w:bCs/>
                <w:color w:val="auto"/>
              </w:rPr>
            </w:pPr>
            <w:r>
              <w:rPr>
                <w:rFonts w:hint="eastAsia"/>
                <w:b/>
                <w:bCs/>
                <w:color w:val="auto"/>
              </w:rPr>
              <w:t>（包括针对组织宗旨，制定相关管理方针政策、确保方针为员工理解并在运营中实施，监视方针的实施并评审方针的适宜性）</w:t>
            </w:r>
          </w:p>
          <w:p>
            <w:pPr>
              <w:pStyle w:val="2"/>
              <w:rPr>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pStyle w:val="2"/>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159" w:hanging="159" w:hangingChars="79"/>
              <w:rPr>
                <w:b/>
                <w:color w:val="auto"/>
                <w:sz w:val="20"/>
                <w:szCs w:val="20"/>
              </w:rPr>
            </w:pPr>
            <w:r>
              <w:rPr>
                <w:rFonts w:hint="eastAsia"/>
                <w:b/>
                <w:color w:val="auto"/>
                <w:sz w:val="20"/>
                <w:szCs w:val="20"/>
              </w:rPr>
              <w:t>2.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spacing w:line="240" w:lineRule="exact"/>
              <w:rPr>
                <w:rFonts w:ascii="楷体_GB2312" w:eastAsia="楷体_GB2312"/>
                <w:b/>
                <w:color w:val="auto"/>
                <w:sz w:val="20"/>
                <w:szCs w:val="20"/>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spacing w:line="240" w:lineRule="exact"/>
              <w:jc w:val="left"/>
              <w:rPr>
                <w:bCs/>
                <w:color w:val="auto"/>
                <w:szCs w:val="21"/>
              </w:rPr>
            </w:pPr>
          </w:p>
          <w:p>
            <w:pPr>
              <w:jc w:val="left"/>
              <w:rPr>
                <w:b/>
                <w:color w:val="auto"/>
                <w:sz w:val="20"/>
                <w:szCs w:val="20"/>
              </w:rPr>
            </w:pPr>
            <w:r>
              <w:rPr>
                <w:rFonts w:hint="eastAsia"/>
                <w:bCs/>
                <w:color w:val="auto"/>
                <w:szCs w:val="21"/>
              </w:rPr>
              <w:t>园林绿化服务过程为特殊过程，公司制定了“特殊过程评审、确认准则”，能对重要过程实施控制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00" w:lineRule="exact"/>
              <w:rPr>
                <w:b/>
                <w:color w:val="auto"/>
                <w:sz w:val="20"/>
                <w:szCs w:val="20"/>
              </w:rPr>
            </w:pPr>
          </w:p>
          <w:p>
            <w:pPr>
              <w:spacing w:line="300" w:lineRule="exact"/>
              <w:rPr>
                <w:b/>
                <w:color w:val="auto"/>
                <w:sz w:val="20"/>
                <w:szCs w:val="20"/>
              </w:rPr>
            </w:pPr>
          </w:p>
          <w:p>
            <w:pPr>
              <w:rPr>
                <w:bCs/>
                <w:color w:val="auto"/>
                <w:szCs w:val="21"/>
              </w:rPr>
            </w:pPr>
            <w:r>
              <w:rPr>
                <w:rFonts w:hint="eastAsia"/>
                <w:bCs/>
                <w:color w:val="auto"/>
                <w:szCs w:val="21"/>
              </w:rPr>
              <w:t>按照顾客和合同要求进行服务，能够稳定的向顾客提供合格的园林绿化服务。</w:t>
            </w: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300" w:lineRule="exact"/>
              <w:ind w:firstLine="197" w:firstLineChars="98"/>
              <w:rPr>
                <w:b/>
                <w:color w:val="auto"/>
                <w:sz w:val="20"/>
                <w:szCs w:val="20"/>
              </w:rPr>
            </w:pPr>
            <w:r>
              <w:rPr>
                <w:rFonts w:hint="eastAsia"/>
                <w:b/>
                <w:color w:val="auto"/>
                <w:sz w:val="20"/>
                <w:szCs w:val="20"/>
              </w:rPr>
              <w:t>（附相关证据）：无</w:t>
            </w:r>
            <w:r>
              <w:rPr>
                <w:b/>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color w:val="auto"/>
              </w:rPr>
            </w:pPr>
            <w:r>
              <w:rPr>
                <w:rFonts w:hint="eastAsia"/>
                <w:color w:val="auto"/>
              </w:rPr>
              <w:t>6. 不合格品/项的识别、控制;</w:t>
            </w:r>
          </w:p>
          <w:p>
            <w:pPr>
              <w:pStyle w:val="2"/>
              <w:rPr>
                <w:color w:val="auto"/>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widowControl/>
              <w:spacing w:line="460" w:lineRule="exact"/>
              <w:jc w:val="left"/>
              <w:rPr>
                <w:b/>
                <w:color w:val="auto"/>
                <w:sz w:val="20"/>
                <w:szCs w:val="20"/>
              </w:rPr>
            </w:pPr>
            <w:r>
              <w:rPr>
                <w:rFonts w:hint="eastAsia"/>
                <w:bCs/>
                <w:color w:val="auto"/>
                <w:szCs w:val="21"/>
              </w:rPr>
              <w:t>对重要环境因素（</w:t>
            </w:r>
            <w:r>
              <w:rPr>
                <w:rFonts w:hint="eastAsia"/>
                <w:color w:val="auto"/>
                <w:szCs w:val="21"/>
              </w:rPr>
              <w:t>固废排放、火灾</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对不可接受风险（</w:t>
            </w:r>
            <w:r>
              <w:rPr>
                <w:rFonts w:hint="eastAsia"/>
                <w:color w:val="auto"/>
                <w:szCs w:val="21"/>
              </w:rPr>
              <w:t>火灾、触电、意外伤害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201" w:hanging="201" w:hangingChars="100"/>
              <w:rPr>
                <w:b/>
                <w:color w:val="auto"/>
                <w:sz w:val="20"/>
                <w:szCs w:val="20"/>
              </w:rPr>
            </w:pPr>
            <w:r>
              <w:rPr>
                <w:rFonts w:hint="eastAsia"/>
                <w:b/>
                <w:color w:val="auto"/>
                <w:sz w:val="20"/>
                <w:szCs w:val="20"/>
              </w:rPr>
              <w:t xml:space="preserve">9. 应急准备与相应活动的演练及对预案可行性的评价(当有规定时) </w:t>
            </w:r>
          </w:p>
          <w:p>
            <w:pPr>
              <w:spacing w:line="240" w:lineRule="exact"/>
              <w:rPr>
                <w:b/>
                <w:color w:val="auto"/>
                <w:spacing w:val="-4"/>
                <w:sz w:val="20"/>
                <w:szCs w:val="20"/>
              </w:rPr>
            </w:pPr>
          </w:p>
          <w:p>
            <w:pPr>
              <w:spacing w:line="240" w:lineRule="exact"/>
              <w:rPr>
                <w:b/>
                <w:color w:val="auto"/>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10. 对特种设备的维护; （适用时）</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bCs/>
                <w:color w:val="auto"/>
              </w:rPr>
            </w:pPr>
            <w:r>
              <w:rPr>
                <w:rFonts w:hint="eastAsia"/>
                <w:b/>
                <w:bCs/>
                <w:color w:val="auto"/>
              </w:rPr>
              <w:t>11 .对危险化学品销售、使用、储存、运输处置，规定的执行力度(必要时); （适用时）</w:t>
            </w:r>
          </w:p>
          <w:p>
            <w:pPr>
              <w:pStyle w:val="2"/>
              <w:rPr>
                <w:b/>
                <w:color w:val="auto"/>
                <w:sz w:val="20"/>
                <w:szCs w:val="20"/>
              </w:rPr>
            </w:pPr>
          </w:p>
          <w:p>
            <w:pPr>
              <w:pStyle w:val="2"/>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hint="eastAsia"/>
                <w:b/>
                <w:color w:val="auto"/>
                <w:szCs w:val="21"/>
              </w:rPr>
              <w:t>(四)监视测量方面</w:t>
            </w:r>
          </w:p>
        </w:tc>
        <w:tc>
          <w:tcPr>
            <w:tcW w:w="9198" w:type="dxa"/>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auto"/>
                <w:sz w:val="20"/>
                <w:szCs w:val="20"/>
              </w:rPr>
            </w:pPr>
            <w:r>
              <w:rPr>
                <w:rFonts w:hint="eastAsia" w:ascii="宋体" w:hAnsi="宋体" w:cs="宋体"/>
                <w:color w:val="000000" w:themeColor="text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8月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2021年6</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5" w:hangingChars="50"/>
              <w:rPr>
                <w:color w:val="000000" w:themeColor="text1"/>
              </w:rPr>
            </w:pPr>
          </w:p>
          <w:p>
            <w:pPr>
              <w:spacing w:line="240" w:lineRule="exact"/>
              <w:ind w:left="105" w:leftChars="0" w:hanging="105" w:hangingChars="50"/>
              <w:rPr>
                <w:rFonts w:hint="eastAsia"/>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rPr>
              <w:t>8</w:t>
            </w:r>
            <w:r>
              <w:rPr>
                <w:rFonts w:hint="eastAsia"/>
                <w:color w:val="000000" w:themeColor="text1"/>
              </w:rPr>
              <w:t>分，总体实现了顾客满意度的质量目标要求。</w:t>
            </w:r>
          </w:p>
          <w:p>
            <w:pPr>
              <w:spacing w:line="240" w:lineRule="exact"/>
              <w:ind w:left="105" w:hanging="100" w:hangingChars="50"/>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b/>
                <w:color w:val="auto"/>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w:t>
            </w:r>
            <w:r>
              <w:rPr>
                <w:rFonts w:hint="eastAsia"/>
                <w:lang w:val="en-US" w:eastAsia="zh-CN"/>
              </w:rPr>
              <w:t>0</w:t>
            </w:r>
            <w:r>
              <w:rPr>
                <w:rFonts w:hint="default"/>
                <w:lang w:val="en-US" w:eastAsia="zh-CN"/>
              </w:rPr>
              <w:t>年</w:t>
            </w:r>
            <w:r>
              <w:rPr>
                <w:rFonts w:hint="eastAsia"/>
                <w:lang w:val="en-US" w:eastAsia="zh-CN"/>
              </w:rPr>
              <w:t>12</w:t>
            </w:r>
            <w:r>
              <w:rPr>
                <w:rFonts w:hint="default"/>
                <w:lang w:val="en-US" w:eastAsia="zh-CN"/>
              </w:rPr>
              <w:t>月</w:t>
            </w:r>
            <w:r>
              <w:rPr>
                <w:rFonts w:hint="eastAsia"/>
                <w:lang w:val="en-US" w:eastAsia="zh-CN"/>
              </w:rPr>
              <w:t>20</w:t>
            </w:r>
            <w:r>
              <w:rPr>
                <w:rFonts w:hint="default"/>
                <w:lang w:val="en-US" w:eastAsia="zh-CN"/>
              </w:rPr>
              <w:t>日</w:t>
            </w:r>
            <w:r>
              <w:rPr>
                <w:rFonts w:hint="eastAsia" w:ascii="宋体" w:hAnsi="宋体" w:eastAsia="宋体" w:cs="宋体"/>
                <w:color w:val="000000" w:themeColor="text1"/>
                <w:szCs w:val="21"/>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r>
              <w:rPr>
                <w:rFonts w:hint="eastAsia" w:ascii="宋体" w:hAnsi="宋体" w:cs="宋体"/>
                <w:color w:val="000000" w:themeColor="text1"/>
                <w:szCs w:val="21"/>
              </w:rPr>
              <w:t>管理评审频次为一年一次、本次管理评审于</w:t>
            </w:r>
            <w:r>
              <w:rPr>
                <w:rFonts w:hint="default"/>
                <w:lang w:val="en-US" w:eastAsia="zh-CN"/>
              </w:rPr>
              <w:t>202</w:t>
            </w:r>
            <w:r>
              <w:rPr>
                <w:rFonts w:hint="eastAsia"/>
                <w:lang w:val="en-US" w:eastAsia="zh-CN"/>
              </w:rPr>
              <w:t>0</w:t>
            </w:r>
            <w:r>
              <w:rPr>
                <w:rFonts w:hint="default"/>
                <w:lang w:val="en-US" w:eastAsia="zh-CN"/>
              </w:rPr>
              <w:t>年</w:t>
            </w:r>
            <w:r>
              <w:rPr>
                <w:rFonts w:hint="eastAsia"/>
                <w:lang w:val="en-US" w:eastAsia="zh-CN"/>
              </w:rPr>
              <w:t>12</w:t>
            </w:r>
            <w:r>
              <w:rPr>
                <w:rFonts w:hint="default"/>
                <w:lang w:val="en-US" w:eastAsia="zh-CN"/>
              </w:rPr>
              <w:t>月</w:t>
            </w:r>
            <w:r>
              <w:rPr>
                <w:rFonts w:hint="eastAsia"/>
                <w:lang w:val="en-US" w:eastAsia="zh-CN"/>
              </w:rPr>
              <w:t>28</w:t>
            </w:r>
            <w:r>
              <w:rPr>
                <w:rFonts w:hint="default"/>
                <w:lang w:val="en-US" w:eastAsia="zh-CN"/>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5.  EMS是否按规定对主要污染物（污水、废气、噪声等）及排放实施了例行的监视或测量，结果是否满足相关要求？</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 xml:space="preserve">国家/地方环保部门监测结果、新改扩建项目符合环评报告、三同时验收报告要求情况及措施 </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z w:val="20"/>
                <w:szCs w:val="20"/>
              </w:rPr>
            </w:pPr>
            <w:r>
              <w:rPr>
                <w:rFonts w:hint="eastAsia"/>
                <w:b/>
                <w:color w:val="auto"/>
                <w:sz w:val="20"/>
                <w:szCs w:val="20"/>
              </w:rPr>
              <w:t>7. OHSMS是否按规定对职业健康安全项目进行定期测量，结果是否满足相关要求：</w:t>
            </w:r>
          </w:p>
          <w:p>
            <w:pPr>
              <w:spacing w:line="30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auto"/>
                <w:sz w:val="20"/>
              </w:rPr>
            </w:pPr>
          </w:p>
        </w:tc>
        <w:tc>
          <w:tcPr>
            <w:tcW w:w="9198"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spacing w:line="240" w:lineRule="exact"/>
              <w:ind w:firstLine="420" w:firstLineChars="200"/>
              <w:rPr>
                <w:rFonts w:hint="eastAsia"/>
                <w:color w:val="000000" w:themeColor="text1"/>
              </w:rPr>
            </w:pPr>
            <w:r>
              <w:rPr>
                <w:rFonts w:hint="eastAsia"/>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auto"/>
                <w:sz w:val="20"/>
                <w:szCs w:val="20"/>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rPr>
                <w:b/>
                <w:color w:val="auto"/>
                <w:spacing w:val="-20"/>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p>
          <w:p>
            <w:pPr>
              <w:spacing w:line="240" w:lineRule="exact"/>
              <w:rPr>
                <w:rFonts w:hint="default" w:eastAsia="宋体"/>
                <w:b/>
                <w:color w:val="auto"/>
                <w:spacing w:val="-20"/>
                <w:sz w:val="20"/>
                <w:szCs w:val="20"/>
                <w:lang w:val="en-US" w:eastAsia="zh-CN"/>
              </w:rPr>
            </w:pPr>
            <w:r>
              <w:rPr>
                <w:rFonts w:hint="eastAsia"/>
                <w:bCs/>
                <w:color w:val="auto"/>
                <w:szCs w:val="21"/>
              </w:rPr>
              <w:t>一阶段</w:t>
            </w:r>
            <w:r>
              <w:rPr>
                <w:rFonts w:hint="eastAsia"/>
                <w:bCs/>
                <w:color w:val="auto"/>
                <w:szCs w:val="21"/>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Cs w:val="21"/>
              </w:rPr>
            </w:pPr>
            <w:r>
              <w:rPr>
                <w:rFonts w:hint="eastAsia"/>
                <w:b/>
                <w:color w:val="auto"/>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w:t>
      </w:r>
      <w:r>
        <w:rPr>
          <w:rFonts w:hint="eastAsia"/>
          <w:b/>
          <w:color w:val="auto"/>
        </w:rPr>
        <w:t>合</w:t>
      </w:r>
      <w:r>
        <w:rPr>
          <w:rFonts w:hint="eastAsia"/>
          <w:b/>
          <w:color w:val="auto"/>
          <w:lang w:val="en-US" w:eastAsia="zh-CN"/>
        </w:rPr>
        <w:t>2</w:t>
      </w:r>
      <w:r>
        <w:rPr>
          <w:rFonts w:hint="eastAsia"/>
          <w:b/>
          <w:color w:val="auto"/>
        </w:rPr>
        <w:t>项，观</w:t>
      </w:r>
      <w:r>
        <w:rPr>
          <w:rFonts w:hint="eastAsia"/>
          <w:b/>
          <w:color w:val="000000" w:themeColor="text1"/>
        </w:rPr>
        <w:t>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3"/>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hRule="atLeast"/>
        </w:trPr>
        <w:tc>
          <w:tcPr>
            <w:tcW w:w="10080" w:type="dxa"/>
            <w:vAlign w:val="top"/>
          </w:tcPr>
          <w:p>
            <w:pPr>
              <w:spacing w:line="280" w:lineRule="exact"/>
              <w:rPr>
                <w:color w:val="000000" w:themeColor="text1"/>
              </w:rPr>
            </w:pPr>
            <w:r>
              <w:rPr>
                <w:rFonts w:hint="eastAsia"/>
                <w:color w:val="000000" w:themeColor="text1"/>
              </w:rPr>
              <w:t>1. ■QMS     ■EMS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rPr>
            </w:pPr>
            <w:r>
              <w:rPr>
                <w:rFonts w:hint="eastAsia"/>
                <w:color w:val="000000" w:themeColor="text1"/>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rPr>
                <w:rFonts w:hint="eastAsia"/>
                <w:color w:val="000000" w:themeColor="text1"/>
              </w:rPr>
            </w:pPr>
          </w:p>
          <w:p>
            <w:pPr>
              <w:pStyle w:val="21"/>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rFonts w:hint="eastAsia" w:ascii="宋体" w:hAnsi="宋体"/>
                <w:szCs w:val="21"/>
              </w:rPr>
              <w:t>北京市国林诚意园林有限公司</w:t>
            </w:r>
            <w:r>
              <w:rPr>
                <w:rFonts w:hint="eastAsia"/>
                <w:color w:val="000000" w:themeColor="text1"/>
                <w:kern w:val="2"/>
                <w:sz w:val="21"/>
                <w:szCs w:val="21"/>
                <w:lang w:val="en-GB"/>
              </w:rPr>
              <w:t>的</w:t>
            </w:r>
          </w:p>
          <w:p>
            <w:pPr>
              <w:pStyle w:val="21"/>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12"/>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pStyle w:val="2"/>
              <w:rPr>
                <w:rFonts w:hint="eastAsia"/>
                <w:color w:val="000000" w:themeColor="text1"/>
              </w:rPr>
            </w:pPr>
          </w:p>
          <w:p>
            <w:pPr>
              <w:spacing w:line="240" w:lineRule="exact"/>
              <w:rPr>
                <w:color w:val="000000" w:themeColor="text1"/>
              </w:rPr>
            </w:pPr>
            <w:r>
              <w:rPr>
                <w:rFonts w:hint="eastAsia"/>
                <w:color w:val="000000" w:themeColor="text1"/>
              </w:rPr>
              <w:t xml:space="preserve">■QMS  </w:t>
            </w:r>
            <w:r>
              <w:rPr>
                <w:rFonts w:hint="eastAsia" w:ascii="宋体" w:hAnsi="宋体" w:eastAsia="宋体" w:cs="宋体"/>
                <w:color w:val="000000" w:themeColor="text1"/>
              </w:rPr>
              <w:t>▇</w:t>
            </w:r>
            <w:r>
              <w:rPr>
                <w:rFonts w:hint="eastAsia"/>
                <w:color w:val="000000" w:themeColor="text1"/>
              </w:rPr>
              <w:t>EMS  ■OHSMS持续的符合性及运行的有效性，以及与认证范围的持续相关性和适宜性及自我完善机制等。</w:t>
            </w:r>
          </w:p>
          <w:p>
            <w:pPr>
              <w:spacing w:line="240" w:lineRule="exact"/>
              <w:rPr>
                <w:color w:val="000000" w:themeColor="text1"/>
              </w:rPr>
            </w:pPr>
          </w:p>
          <w:p>
            <w:pPr>
              <w:spacing w:line="240" w:lineRule="exact"/>
              <w:ind w:firstLine="420" w:firstLineChars="200"/>
              <w:rPr>
                <w:color w:val="000000" w:themeColor="text1"/>
              </w:rPr>
            </w:pPr>
            <w:r>
              <w:rPr>
                <w:rFonts w:hint="eastAsia"/>
                <w:color w:val="000000" w:themeColor="text1"/>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color w:val="000000" w:themeColor="text1"/>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lang w:val="en-US" w:eastAsia="zh-CN"/>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pStyle w:val="2"/>
        <w:widowControl w:val="0"/>
        <w:numPr>
          <w:numId w:val="0"/>
        </w:numPr>
        <w:spacing w:before="25" w:after="25"/>
        <w:jc w:val="both"/>
        <w:rPr>
          <w:rFonts w:hint="eastAsia"/>
          <w:lang w:val="en-US" w:eastAsia="zh-CN"/>
        </w:rPr>
      </w:pPr>
    </w:p>
    <w:p>
      <w:pPr>
        <w:pStyle w:val="2"/>
        <w:widowControl w:val="0"/>
        <w:numPr>
          <w:numId w:val="0"/>
        </w:numPr>
        <w:spacing w:before="25" w:after="25"/>
        <w:jc w:val="both"/>
        <w:rPr>
          <w:rFonts w:hint="eastAsia"/>
          <w:lang w:val="en-US" w:eastAsia="zh-CN"/>
        </w:rPr>
      </w:pPr>
    </w:p>
    <w:p>
      <w:pPr>
        <w:pStyle w:val="2"/>
        <w:widowControl w:val="0"/>
        <w:numPr>
          <w:numId w:val="0"/>
        </w:numPr>
        <w:spacing w:before="25" w:after="25"/>
        <w:jc w:val="both"/>
        <w:rPr>
          <w:rFonts w:hint="eastAsia"/>
          <w:lang w:val="en-US" w:eastAsia="zh-CN"/>
        </w:rPr>
      </w:pPr>
    </w:p>
    <w:p>
      <w:pPr>
        <w:pStyle w:val="2"/>
        <w:widowControl w:val="0"/>
        <w:numPr>
          <w:numId w:val="0"/>
        </w:numPr>
        <w:spacing w:before="25" w:after="25"/>
        <w:jc w:val="both"/>
        <w:rPr>
          <w:rFonts w:hint="eastAsia"/>
          <w:lang w:val="en-US" w:eastAsia="zh-CN"/>
        </w:rPr>
      </w:pPr>
    </w:p>
    <w:p>
      <w:pPr>
        <w:pStyle w:val="2"/>
        <w:widowControl w:val="0"/>
        <w:numPr>
          <w:numId w:val="0"/>
        </w:numPr>
        <w:spacing w:before="25" w:after="25"/>
        <w:jc w:val="both"/>
        <w:rPr>
          <w:rFonts w:hint="eastAsia"/>
          <w:lang w:val="en-US" w:eastAsia="zh-CN"/>
        </w:rPr>
      </w:pPr>
    </w:p>
    <w:p>
      <w:pPr>
        <w:pStyle w:val="2"/>
        <w:widowControl w:val="0"/>
        <w:numPr>
          <w:numId w:val="0"/>
        </w:numPr>
        <w:spacing w:before="25" w:after="25"/>
        <w:jc w:val="both"/>
        <w:rPr>
          <w:rFonts w:hint="eastAsia"/>
          <w:lang w:val="en-US" w:eastAsia="zh-CN"/>
        </w:rPr>
      </w:pPr>
      <w:bookmarkStart w:id="7" w:name="_GoBack"/>
      <w:bookmarkEnd w:id="7"/>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31190"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EMS(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OHSMS( 1)个一般不符合，(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r>
        <w:rPr>
          <w:rFonts w:hint="eastAsia"/>
          <w:b/>
          <w:color w:val="000000" w:themeColor="text1"/>
          <w:szCs w:val="21"/>
        </w:rPr>
        <w:t xml:space="preserve">                         日期:    202</w:t>
      </w:r>
      <w:r>
        <w:rPr>
          <w:rFonts w:hint="eastAsia"/>
          <w:b/>
          <w:color w:val="000000" w:themeColor="text1"/>
          <w:szCs w:val="21"/>
          <w:lang w:val="en-US" w:eastAsia="zh-CN"/>
        </w:rPr>
        <w:t>1</w:t>
      </w:r>
      <w:r>
        <w:rPr>
          <w:rFonts w:hint="eastAsia"/>
          <w:b/>
          <w:color w:val="000000" w:themeColor="text1"/>
          <w:szCs w:val="21"/>
        </w:rPr>
        <w:t xml:space="preserve">  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19</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16DC5"/>
    <w:multiLevelType w:val="singleLevel"/>
    <w:tmpl w:val="3E516DC5"/>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1611269"/>
    <w:rsid w:val="21A15F24"/>
    <w:rsid w:val="23BF4AB8"/>
    <w:rsid w:val="25CF38CC"/>
    <w:rsid w:val="2C0A04A2"/>
    <w:rsid w:val="32315F0D"/>
    <w:rsid w:val="33594BC6"/>
    <w:rsid w:val="360662CD"/>
    <w:rsid w:val="3C6210A8"/>
    <w:rsid w:val="4B4A3A22"/>
    <w:rsid w:val="51746377"/>
    <w:rsid w:val="58757E83"/>
    <w:rsid w:val="5CDD1C2D"/>
    <w:rsid w:val="5DE7039B"/>
    <w:rsid w:val="6D034814"/>
    <w:rsid w:val="6D072060"/>
    <w:rsid w:val="6E224CA1"/>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3"/>
    <w:unhideWhenUsed/>
    <w:qFormat/>
    <w:uiPriority w:val="99"/>
    <w:pPr>
      <w:spacing w:before="100" w:beforeAutospacing="1"/>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1</TotalTime>
  <ScaleCrop>false</ScaleCrop>
  <LinksUpToDate>false</LinksUpToDate>
  <CharactersWithSpaces>8991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2021-07-22T13:39:06Z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85907D0CC309420395C7486B7993AD2E</vt:lpwstr>
  </property>
</Properties>
</file>