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425"/>
        <w:gridCol w:w="11063"/>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425"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1063" w:type="dxa"/>
            <w:vAlign w:val="center"/>
          </w:tcPr>
          <w:p>
            <w:pPr>
              <w:rPr>
                <w:rFonts w:hint="default"/>
                <w:color w:val="auto"/>
                <w:lang w:val="en-US" w:eastAsia="zh-CN"/>
              </w:rPr>
            </w:pPr>
            <w:r>
              <w:rPr>
                <w:rFonts w:hint="eastAsia"/>
                <w:color w:val="auto"/>
                <w:sz w:val="24"/>
                <w:szCs w:val="24"/>
              </w:rPr>
              <w:t>受审核部门：</w:t>
            </w:r>
            <w:r>
              <w:rPr>
                <w:rFonts w:hint="eastAsia" w:ascii="宋体" w:hAnsi="宋体"/>
                <w:color w:val="auto"/>
                <w:lang w:val="en-US" w:eastAsia="zh-CN"/>
              </w:rPr>
              <w:t>管理层</w:t>
            </w:r>
            <w:r>
              <w:rPr>
                <w:rFonts w:hint="eastAsia" w:ascii="宋体" w:hAnsi="宋体"/>
                <w:color w:val="auto"/>
              </w:rPr>
              <w:t>、</w:t>
            </w:r>
            <w:r>
              <w:rPr>
                <w:rFonts w:hint="default"/>
                <w:color w:val="auto"/>
                <w:lang w:val="en-US" w:eastAsia="zh-CN"/>
              </w:rPr>
              <w:t>综合部、</w:t>
            </w:r>
            <w:r>
              <w:rPr>
                <w:rFonts w:hint="eastAsia"/>
                <w:color w:val="auto"/>
                <w:lang w:val="en-US" w:eastAsia="zh-CN"/>
              </w:rPr>
              <w:t>工程部  项目部</w:t>
            </w:r>
          </w:p>
          <w:p>
            <w:pPr>
              <w:rPr>
                <w:rFonts w:hint="default"/>
                <w:color w:val="auto"/>
                <w:sz w:val="24"/>
                <w:szCs w:val="24"/>
                <w:lang w:val="en-US"/>
              </w:rPr>
            </w:pPr>
            <w:r>
              <w:rPr>
                <w:rFonts w:hint="eastAsia"/>
                <w:color w:val="auto"/>
                <w:sz w:val="24"/>
                <w:szCs w:val="24"/>
              </w:rPr>
              <w:t>主管领导/陪同人员：</w:t>
            </w:r>
            <w:r>
              <w:rPr>
                <w:rFonts w:hint="eastAsia"/>
              </w:rPr>
              <w:t>吴国恩</w:t>
            </w:r>
            <w:r>
              <w:rPr>
                <w:rFonts w:hint="eastAsia"/>
                <w:lang w:val="en-US" w:eastAsia="zh-CN"/>
              </w:rPr>
              <w:t xml:space="preserve"> </w:t>
            </w:r>
            <w:r>
              <w:rPr>
                <w:rFonts w:hint="eastAsia" w:ascii="宋体" w:hAnsi="宋体" w:eastAsia="宋体" w:cs="宋体"/>
                <w:color w:val="auto"/>
                <w:kern w:val="0"/>
                <w:sz w:val="21"/>
                <w:szCs w:val="21"/>
                <w:lang w:val="en-US" w:eastAsia="zh-CN" w:bidi="ar"/>
              </w:rPr>
              <w:t>/</w:t>
            </w:r>
            <w:r>
              <w:rPr>
                <w:rFonts w:hint="eastAsia"/>
              </w:rPr>
              <w:t>肖青英</w:t>
            </w:r>
          </w:p>
        </w:tc>
        <w:tc>
          <w:tcPr>
            <w:tcW w:w="1061"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425" w:type="dxa"/>
            <w:vMerge w:val="continue"/>
            <w:vAlign w:val="center"/>
          </w:tcPr>
          <w:p>
            <w:pPr>
              <w:rPr>
                <w:color w:val="auto"/>
              </w:rPr>
            </w:pPr>
          </w:p>
        </w:tc>
        <w:tc>
          <w:tcPr>
            <w:tcW w:w="11063"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sz w:val="18"/>
                <w:szCs w:val="18"/>
                <w:lang w:val="en-US" w:eastAsia="zh-CN"/>
              </w:rPr>
              <w:t xml:space="preserve">李京田 </w:t>
            </w:r>
            <w:r>
              <w:rPr>
                <w:rFonts w:hint="eastAsia"/>
                <w:sz w:val="18"/>
                <w:szCs w:val="18"/>
              </w:rPr>
              <w:t>李雅静</w:t>
            </w:r>
            <w:r>
              <w:rPr>
                <w:rFonts w:hint="eastAsia"/>
                <w:color w:val="auto"/>
              </w:rPr>
              <w:t xml:space="preserve">   </w:t>
            </w:r>
            <w:r>
              <w:rPr>
                <w:rFonts w:hint="eastAsia"/>
                <w:color w:val="auto"/>
                <w:sz w:val="24"/>
                <w:szCs w:val="24"/>
              </w:rPr>
              <w:t xml:space="preserve">      审核时间：20</w:t>
            </w:r>
            <w:r>
              <w:rPr>
                <w:rFonts w:hint="eastAsia"/>
                <w:color w:val="auto"/>
                <w:sz w:val="24"/>
                <w:szCs w:val="24"/>
                <w:lang w:val="en-US" w:eastAsia="zh-CN"/>
              </w:rPr>
              <w:t>21.7.16</w:t>
            </w:r>
          </w:p>
        </w:tc>
        <w:tc>
          <w:tcPr>
            <w:tcW w:w="10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425" w:type="dxa"/>
            <w:vMerge w:val="continue"/>
            <w:vAlign w:val="center"/>
          </w:tcPr>
          <w:p>
            <w:pPr>
              <w:rPr>
                <w:color w:val="auto"/>
              </w:rPr>
            </w:pPr>
          </w:p>
        </w:tc>
        <w:tc>
          <w:tcPr>
            <w:tcW w:w="11063" w:type="dxa"/>
            <w:vAlign w:val="center"/>
          </w:tcPr>
          <w:p>
            <w:pPr>
              <w:rPr>
                <w:color w:val="auto"/>
                <w:sz w:val="24"/>
                <w:szCs w:val="24"/>
              </w:rPr>
            </w:pPr>
            <w:r>
              <w:rPr>
                <w:rFonts w:hint="eastAsia"/>
                <w:color w:val="auto"/>
                <w:sz w:val="24"/>
                <w:szCs w:val="24"/>
              </w:rPr>
              <w:t>审核条款：</w:t>
            </w:r>
          </w:p>
        </w:tc>
        <w:tc>
          <w:tcPr>
            <w:tcW w:w="1061"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numPr>
                <w:ilvl w:val="0"/>
                <w:numId w:val="1"/>
              </w:numPr>
              <w:shd w:val="clear" w:color="auto" w:fill="FFFFFF"/>
              <w:spacing w:line="400" w:lineRule="exact"/>
              <w:rPr>
                <w:rFonts w:ascii="宋体" w:hAnsi="宋体" w:cs="宋体"/>
                <w:bCs/>
                <w:color w:val="auto"/>
                <w:szCs w:val="21"/>
              </w:rPr>
            </w:pPr>
            <w:r>
              <w:rPr>
                <w:rFonts w:hint="eastAsia" w:ascii="宋体" w:hAnsi="宋体" w:cs="宋体"/>
                <w:bCs/>
                <w:color w:val="auto"/>
                <w:szCs w:val="21"/>
              </w:rPr>
              <w:t>营业执照、资质、组织机构代码等原件的确认；</w:t>
            </w:r>
          </w:p>
          <w:p>
            <w:pPr>
              <w:pStyle w:val="2"/>
              <w:rPr>
                <w:rFonts w:ascii="宋体" w:hAnsi="宋体" w:cs="宋体"/>
                <w:color w:val="auto"/>
                <w:szCs w:val="21"/>
              </w:rPr>
            </w:pPr>
          </w:p>
          <w:p>
            <w:pPr>
              <w:pStyle w:val="2"/>
              <w:rPr>
                <w:rFonts w:ascii="宋体" w:hAnsi="宋体" w:cs="宋体"/>
                <w:color w:val="auto"/>
                <w:szCs w:val="21"/>
              </w:rPr>
            </w:pPr>
          </w:p>
          <w:p>
            <w:pPr>
              <w:pStyle w:val="2"/>
              <w:rPr>
                <w:rFonts w:ascii="宋体" w:hAnsi="宋体" w:cs="宋体"/>
                <w:color w:val="auto"/>
                <w:szCs w:val="21"/>
              </w:rPr>
            </w:pPr>
          </w:p>
          <w:p>
            <w:pPr>
              <w:shd w:val="clear" w:color="auto" w:fill="FFFFFF"/>
              <w:spacing w:line="400" w:lineRule="exact"/>
              <w:rPr>
                <w:rFonts w:ascii="宋体" w:hAnsi="宋体" w:cs="宋体"/>
                <w:bCs/>
                <w:color w:val="auto"/>
                <w:szCs w:val="21"/>
              </w:rPr>
            </w:pPr>
            <w:r>
              <w:rPr>
                <w:rFonts w:hint="eastAsia" w:ascii="宋体" w:hAnsi="宋体" w:cs="宋体"/>
                <w:bCs/>
                <w:color w:val="auto"/>
                <w:szCs w:val="21"/>
              </w:rPr>
              <w:t>审核范围的确认；</w:t>
            </w:r>
          </w:p>
          <w:p>
            <w:pPr>
              <w:pStyle w:val="2"/>
              <w:rPr>
                <w:rFonts w:ascii="宋体" w:hAnsi="宋体" w:cs="宋体"/>
                <w:color w:val="auto"/>
                <w:szCs w:val="21"/>
              </w:rPr>
            </w:pPr>
          </w:p>
          <w:p>
            <w:pPr>
              <w:rPr>
                <w:color w:val="auto"/>
              </w:rPr>
            </w:pPr>
          </w:p>
        </w:tc>
        <w:tc>
          <w:tcPr>
            <w:tcW w:w="425" w:type="dxa"/>
          </w:tcPr>
          <w:p>
            <w:pPr>
              <w:rPr>
                <w:color w:val="auto"/>
              </w:rPr>
            </w:pPr>
          </w:p>
        </w:tc>
        <w:tc>
          <w:tcPr>
            <w:tcW w:w="11063" w:type="dxa"/>
          </w:tcPr>
          <w:p>
            <w:pPr>
              <w:rPr>
                <w:rFonts w:hint="eastAsia" w:ascii="宋体" w:hAnsi="宋体"/>
                <w:szCs w:val="21"/>
              </w:rPr>
            </w:pPr>
          </w:p>
          <w:p>
            <w:pPr>
              <w:rPr>
                <w:rFonts w:hint="eastAsia" w:ascii="宋体" w:hAnsi="宋体"/>
                <w:szCs w:val="21"/>
              </w:rPr>
            </w:pPr>
            <w:r>
              <w:rPr>
                <w:rFonts w:hint="eastAsia" w:ascii="宋体" w:hAnsi="宋体"/>
                <w:szCs w:val="21"/>
              </w:rPr>
              <w:t>北京市国林诚意园林有限公司,2002年12月19日成立，经营范围包括城市园林绿化；绿植租摆；培育种子、种苗；生产、销售造林苗、城镇绿化苗、经济林苗、花卉；销售花、草及观赏植物、植物幼苗；技术开发、技术咨询、技术服务；电脑动画设计；专业保洁服务；家政服务（不符合家政服务通用要求不得开展经营活动）；工程设计；施工总承包；专业承包；劳务分包。（市场主体依法自主选择经营项目，开展经营活动；工程设计以及依法须经批准的项目，经相关部门批准后依批准的内容开展经营活动；不得从事国家和本市产业政策禁止和限制类项目的经营活动。）</w:t>
            </w:r>
          </w:p>
          <w:p>
            <w:pPr>
              <w:pStyle w:val="2"/>
              <w:rPr>
                <w:rFonts w:hint="eastAsia"/>
              </w:rPr>
            </w:pPr>
          </w:p>
          <w:p>
            <w:pPr>
              <w:pStyle w:val="2"/>
              <w:rPr>
                <w:rFonts w:hint="eastAsia"/>
              </w:rPr>
            </w:pPr>
            <w:r>
              <w:rPr>
                <w:rFonts w:hint="eastAsia"/>
              </w:rPr>
              <w:t>注 册 地 址</w:t>
            </w:r>
            <w:r>
              <w:rPr>
                <w:rFonts w:hint="eastAsia"/>
              </w:rPr>
              <w:tab/>
            </w:r>
            <w:r>
              <w:rPr>
                <w:rFonts w:hint="eastAsia"/>
              </w:rPr>
              <w:t>北京市海淀区中关村东路18号1幢11层A-1203号</w:t>
            </w:r>
          </w:p>
          <w:p>
            <w:pPr>
              <w:pStyle w:val="2"/>
              <w:rPr>
                <w:rFonts w:hint="eastAsia"/>
              </w:rPr>
            </w:pPr>
            <w:r>
              <w:rPr>
                <w:rFonts w:hint="eastAsia"/>
              </w:rPr>
              <w:t>生产经营地址</w:t>
            </w:r>
            <w:r>
              <w:rPr>
                <w:rFonts w:hint="eastAsia"/>
              </w:rPr>
              <w:tab/>
            </w:r>
            <w:r>
              <w:rPr>
                <w:rFonts w:hint="eastAsia"/>
              </w:rPr>
              <w:t>北京市海淀区上庄路和云水路交叉口往北20米路东</w:t>
            </w:r>
          </w:p>
          <w:p>
            <w:pPr>
              <w:pStyle w:val="2"/>
              <w:rPr>
                <w:rFonts w:hint="eastAsia"/>
              </w:rPr>
            </w:pP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认证范围：</w:t>
            </w:r>
          </w:p>
          <w:p>
            <w:pPr>
              <w:rPr>
                <w:rFonts w:hint="eastAsia"/>
                <w:color w:val="000000"/>
                <w:szCs w:val="21"/>
              </w:rPr>
            </w:pPr>
            <w:bookmarkStart w:id="0" w:name="审核范围"/>
            <w:r>
              <w:rPr>
                <w:rFonts w:hint="eastAsia" w:ascii="宋体" w:hAnsi="宋体"/>
                <w:szCs w:val="21"/>
              </w:rPr>
              <w:t>Q：城市园林绿化服务；城镇绿化苗、花卉的销售</w:t>
            </w:r>
          </w:p>
          <w:p>
            <w:pPr>
              <w:rPr>
                <w:rFonts w:hint="eastAsia" w:ascii="宋体" w:hAnsi="宋体"/>
                <w:szCs w:val="21"/>
              </w:rPr>
            </w:pPr>
            <w:r>
              <w:rPr>
                <w:rFonts w:hint="eastAsia" w:ascii="宋体" w:hAnsi="宋体"/>
                <w:szCs w:val="21"/>
              </w:rPr>
              <w:t>E：城市园林绿化服务；城镇绿化苗、花卉的销售所涉及场所的相关环境管理活动</w:t>
            </w:r>
          </w:p>
          <w:p>
            <w:pPr>
              <w:rPr>
                <w:rFonts w:hint="eastAsia" w:ascii="宋体" w:hAnsi="宋体"/>
                <w:szCs w:val="21"/>
              </w:rPr>
            </w:pPr>
            <w:r>
              <w:rPr>
                <w:rFonts w:hint="eastAsia" w:ascii="宋体" w:hAnsi="宋体"/>
                <w:szCs w:val="21"/>
              </w:rPr>
              <w:t>O：城市园林绿化服务；城镇绿化苗、花卉的销售所涉及场所的相关职业健康安全管理活动</w:t>
            </w:r>
            <w:bookmarkEnd w:id="0"/>
          </w:p>
          <w:p>
            <w:pPr>
              <w:pStyle w:val="2"/>
              <w:rPr>
                <w:rFonts w:hint="eastAsia"/>
              </w:rPr>
            </w:pPr>
          </w:p>
          <w:p>
            <w:pP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组织机构：</w:t>
            </w:r>
            <w:r>
              <w:rPr>
                <w:rFonts w:hint="default"/>
                <w:color w:val="auto"/>
                <w:lang w:val="en-US" w:eastAsia="zh-CN"/>
              </w:rPr>
              <w:t>综合部、</w:t>
            </w:r>
            <w:r>
              <w:rPr>
                <w:rFonts w:hint="eastAsia"/>
                <w:color w:val="auto"/>
                <w:lang w:val="en-US" w:eastAsia="zh-CN"/>
              </w:rPr>
              <w:t>管理层、工程部  项目部</w:t>
            </w:r>
          </w:p>
          <w:p>
            <w:pPr>
              <w:rPr>
                <w:sz w:val="21"/>
                <w:szCs w:val="21"/>
              </w:rPr>
            </w:pPr>
            <w:r>
              <w:rPr>
                <w:rFonts w:hint="eastAsia" w:asciiTheme="minorEastAsia" w:hAnsiTheme="minorEastAsia" w:eastAsiaTheme="minorEastAsia" w:cstheme="minorEastAsia"/>
                <w:color w:val="auto"/>
                <w:szCs w:val="21"/>
              </w:rPr>
              <w:t>认证范围在经营范围内</w:t>
            </w:r>
            <w:r>
              <w:rPr>
                <w:rFonts w:hint="eastAsia" w:ascii="宋体" w:hAnsi="宋体"/>
                <w:szCs w:val="21"/>
              </w:rPr>
              <w:t>。不适用条款:</w:t>
            </w:r>
            <w:r>
              <w:rPr>
                <w:rFonts w:hint="eastAsia" w:ascii="宋体" w:hAnsi="宋体"/>
                <w:szCs w:val="21"/>
                <w:lang w:val="en-US" w:eastAsia="zh-CN"/>
              </w:rPr>
              <w:t>8.3，不适用理由：因该公司的</w:t>
            </w:r>
            <w:r>
              <w:rPr>
                <w:rFonts w:hint="eastAsia" w:ascii="宋体" w:hAnsi="宋体"/>
                <w:szCs w:val="21"/>
              </w:rPr>
              <w:t>园林绿化服务</w:t>
            </w:r>
            <w:r>
              <w:rPr>
                <w:rFonts w:hint="eastAsia" w:ascii="宋体" w:hAnsi="宋体"/>
                <w:szCs w:val="21"/>
                <w:lang w:val="en-US" w:eastAsia="zh-CN"/>
              </w:rPr>
              <w:t>及销售</w:t>
            </w:r>
            <w:r>
              <w:rPr>
                <w:rFonts w:hint="eastAsia" w:ascii="宋体" w:hAnsi="宋体"/>
                <w:szCs w:val="21"/>
                <w:lang w:eastAsia="zh-CN"/>
              </w:rPr>
              <w:t>，</w:t>
            </w:r>
            <w:r>
              <w:rPr>
                <w:rFonts w:hint="eastAsia" w:ascii="宋体" w:hAnsi="宋体"/>
                <w:szCs w:val="21"/>
                <w:lang w:val="en-US" w:eastAsia="zh-CN"/>
              </w:rPr>
              <w:t>按照顾客的要求进行，该条款的不适用,</w:t>
            </w:r>
            <w:r>
              <w:rPr>
                <w:rFonts w:hint="eastAsia" w:ascii="宋体" w:hAnsi="宋体"/>
                <w:szCs w:val="21"/>
              </w:rPr>
              <w:t>不影响组织确保其产品和服务合格的能力和责</w:t>
            </w:r>
            <w:r>
              <w:rPr>
                <w:rFonts w:hint="eastAsia"/>
              </w:rPr>
              <w:t>任，也不会对增强顾客满意产生影响。</w:t>
            </w:r>
          </w:p>
          <w:p>
            <w:pPr>
              <w:pStyle w:val="2"/>
              <w:rPr>
                <w:rFonts w:hint="default"/>
                <w:lang w:val="en-US" w:eastAsia="zh-CN"/>
              </w:rPr>
            </w:pPr>
          </w:p>
          <w:p>
            <w:pPr>
              <w:rPr>
                <w:rFonts w:ascii="宋体"/>
                <w:color w:val="auto"/>
                <w:szCs w:val="21"/>
              </w:rPr>
            </w:pPr>
            <w:r>
              <w:rPr>
                <w:rFonts w:hint="eastAsia" w:asciiTheme="minorEastAsia" w:hAnsiTheme="minorEastAsia" w:eastAsiaTheme="minorEastAsia" w:cstheme="minorEastAsia"/>
                <w:color w:val="auto"/>
                <w:szCs w:val="21"/>
              </w:rPr>
              <w:t>查国家企业信用信息公示系统，企业无异常经营记录、无违法失信记录。</w:t>
            </w:r>
          </w:p>
          <w:p>
            <w:pPr>
              <w:pStyle w:val="2"/>
              <w:rPr>
                <w:rFonts w:asciiTheme="minorEastAsia" w:hAnsiTheme="minorEastAsia" w:eastAsiaTheme="minorEastAsia" w:cstheme="minorEastAsia"/>
                <w:bCs w:val="0"/>
                <w:color w:val="auto"/>
                <w:szCs w:val="21"/>
              </w:rPr>
            </w:pPr>
            <w:r>
              <w:rPr>
                <w:rFonts w:hint="eastAsia" w:asciiTheme="minorEastAsia" w:hAnsiTheme="minorEastAsia" w:eastAsiaTheme="minorEastAsia" w:cstheme="minorEastAsia"/>
                <w:bCs w:val="0"/>
                <w:color w:val="auto"/>
                <w:szCs w:val="21"/>
              </w:rPr>
              <w:t>对于企业的外包过程也进行了充分识别，公司无外包</w:t>
            </w:r>
          </w:p>
          <w:p>
            <w:pPr>
              <w:pStyle w:val="2"/>
              <w:rPr>
                <w:rFonts w:hint="default"/>
                <w:lang w:val="en-US" w:eastAsia="zh-CN"/>
              </w:rPr>
            </w:pPr>
          </w:p>
          <w:p>
            <w:pPr>
              <w:pStyle w:val="2"/>
              <w:rPr>
                <w:color w:val="auto"/>
              </w:rPr>
            </w:pP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60" w:type="dxa"/>
          </w:tcPr>
          <w:p>
            <w:pPr>
              <w:shd w:val="clear" w:color="auto" w:fill="FFFFFF"/>
              <w:spacing w:line="400" w:lineRule="exact"/>
              <w:rPr>
                <w:rFonts w:ascii="宋体" w:hAnsi="宋体" w:cs="宋体"/>
                <w:bCs/>
                <w:color w:val="auto"/>
                <w:szCs w:val="21"/>
              </w:rPr>
            </w:pPr>
            <w:r>
              <w:rPr>
                <w:rFonts w:hint="eastAsia" w:ascii="宋体" w:hAnsi="宋体" w:cs="宋体"/>
                <w:bCs/>
                <w:color w:val="auto"/>
                <w:szCs w:val="21"/>
              </w:rPr>
              <w:t>体系的总体策划及运行情况；管理方针、目标的策划、形成、批准过程及适宜性；</w:t>
            </w:r>
          </w:p>
          <w:p>
            <w:pPr>
              <w:rPr>
                <w:rFonts w:ascii="宋体" w:hAnsi="宋体" w:cs="宋体"/>
                <w:color w:val="auto"/>
                <w:kern w:val="0"/>
                <w:szCs w:val="21"/>
              </w:rPr>
            </w:pPr>
          </w:p>
        </w:tc>
        <w:tc>
          <w:tcPr>
            <w:tcW w:w="425" w:type="dxa"/>
          </w:tcPr>
          <w:p>
            <w:pPr>
              <w:rPr>
                <w:color w:val="auto"/>
              </w:rPr>
            </w:pPr>
          </w:p>
        </w:tc>
        <w:tc>
          <w:tcPr>
            <w:tcW w:w="11063" w:type="dxa"/>
          </w:tcPr>
          <w:p>
            <w:pPr>
              <w:spacing w:line="400" w:lineRule="exact"/>
              <w:ind w:firstLine="210" w:firstLineChars="100"/>
              <w:rPr>
                <w:color w:val="auto"/>
              </w:rPr>
            </w:pPr>
            <w:r>
              <w:rPr>
                <w:rFonts w:hint="eastAsia"/>
                <w:color w:val="auto"/>
              </w:rPr>
              <w:t>组织于20</w:t>
            </w:r>
            <w:r>
              <w:rPr>
                <w:rFonts w:hint="eastAsia"/>
                <w:color w:val="auto"/>
                <w:lang w:val="en-US" w:eastAsia="zh-CN"/>
              </w:rPr>
              <w:t>20.8.10</w:t>
            </w:r>
            <w:r>
              <w:rPr>
                <w:rFonts w:hint="eastAsia"/>
                <w:color w:val="auto"/>
              </w:rPr>
              <w:t>发布并实施管理体系。同时根据自身的实际情况和标准的要求组织工作人员编制了管理手册、作业文件和记录表格，制定了管理方针和管理目标。通过对过程监测结果进行分析，公司管理体系不断改进。</w:t>
            </w:r>
          </w:p>
          <w:p>
            <w:pPr>
              <w:ind w:firstLine="420" w:firstLineChars="200"/>
              <w:rPr>
                <w:color w:val="auto"/>
              </w:rPr>
            </w:pPr>
            <w:r>
              <w:rPr>
                <w:rFonts w:hint="eastAsia"/>
                <w:color w:val="auto"/>
              </w:rPr>
              <w:t>确定了管理体系所需的过程，如文件与记录管理过程、合同评审过程、销售过程、产品实现过程等，并明确各过程的目标和职责，及各过程之间的衔接和影响。 提供了支持过程策划和运行的形成文件的信息。见“部门管理目标策划记录”对管理目标完成情况进行检查、统计、记录。</w:t>
            </w:r>
          </w:p>
          <w:p>
            <w:pPr>
              <w:spacing w:line="400" w:lineRule="exact"/>
              <w:ind w:firstLine="420" w:firstLineChars="200"/>
              <w:rPr>
                <w:color w:val="auto"/>
              </w:rPr>
            </w:pPr>
            <w:r>
              <w:rPr>
                <w:rFonts w:hint="eastAsia"/>
                <w:color w:val="auto"/>
              </w:rPr>
              <w:t>体系从建立至今运行良好，没有变化。</w:t>
            </w:r>
          </w:p>
          <w:p>
            <w:pPr>
              <w:pStyle w:val="2"/>
              <w:rPr>
                <w:color w:val="auto"/>
              </w:rPr>
            </w:pPr>
            <w:r>
              <w:rPr>
                <w:rFonts w:hint="eastAsia"/>
                <w:color w:val="auto"/>
              </w:rPr>
              <w:t>公司的管理方针为：</w:t>
            </w:r>
          </w:p>
          <w:p>
            <w:pPr>
              <w:rPr>
                <w:rFonts w:hint="default"/>
                <w:color w:val="auto"/>
                <w:lang w:val="en-US" w:eastAsia="zh-CN"/>
              </w:rPr>
            </w:pPr>
            <w:r>
              <w:rPr>
                <w:rFonts w:hint="default"/>
                <w:color w:val="auto"/>
                <w:lang w:val="en-US" w:eastAsia="zh-CN"/>
              </w:rPr>
              <w:t>守法诚信追求精品，预防污染保护环境；</w:t>
            </w:r>
          </w:p>
          <w:p>
            <w:pPr>
              <w:rPr>
                <w:rFonts w:hint="default"/>
                <w:color w:val="auto"/>
                <w:lang w:val="en-US" w:eastAsia="zh-CN"/>
              </w:rPr>
            </w:pPr>
            <w:r>
              <w:rPr>
                <w:rFonts w:hint="default"/>
                <w:color w:val="auto"/>
                <w:lang w:val="en-US" w:eastAsia="zh-CN"/>
              </w:rPr>
              <w:t>关爱员工健康安全，持续改进追求卓越。</w:t>
            </w:r>
          </w:p>
          <w:p>
            <w:pPr>
              <w:spacing w:line="400" w:lineRule="exact"/>
              <w:ind w:firstLine="210" w:firstLineChars="100"/>
              <w:rPr>
                <w:rFonts w:hint="eastAsia" w:ascii="Times New Roman" w:hAnsi="Times New Roman" w:eastAsia="宋体" w:cs="Times New Roman"/>
                <w:color w:val="auto"/>
              </w:rPr>
            </w:pPr>
          </w:p>
          <w:p>
            <w:pPr>
              <w:spacing w:line="400" w:lineRule="exact"/>
              <w:ind w:firstLine="210" w:firstLineChars="100"/>
              <w:rPr>
                <w:rFonts w:hint="eastAsia" w:ascii="Times New Roman" w:hAnsi="Times New Roman" w:eastAsia="宋体" w:cs="Times New Roman"/>
                <w:color w:val="auto"/>
              </w:rPr>
            </w:pPr>
            <w:r>
              <w:rPr>
                <w:rFonts w:hint="eastAsia" w:ascii="Times New Roman" w:hAnsi="Times New Roman" w:eastAsia="宋体" w:cs="Times New Roman"/>
                <w:color w:val="auto"/>
              </w:rPr>
              <w:t>制定了本公司的质量、环境和职业健康安全的目标为：</w:t>
            </w:r>
          </w:p>
          <w:p>
            <w:pPr>
              <w:rPr>
                <w:rFonts w:hint="eastAsia"/>
              </w:rPr>
            </w:pPr>
            <w:r>
              <w:rPr>
                <w:rFonts w:hint="eastAsia"/>
              </w:rPr>
              <w:t xml:space="preserve">质量目标： </w:t>
            </w:r>
          </w:p>
          <w:p>
            <w:pPr>
              <w:rPr>
                <w:rFonts w:hint="eastAsia"/>
              </w:rPr>
            </w:pPr>
            <w:r>
              <w:rPr>
                <w:rFonts w:hint="eastAsia"/>
              </w:rPr>
              <w:t>1）服务质量合格率100%</w:t>
            </w:r>
          </w:p>
          <w:p>
            <w:pPr>
              <w:rPr>
                <w:rFonts w:hint="eastAsia"/>
              </w:rPr>
            </w:pPr>
            <w:r>
              <w:rPr>
                <w:rFonts w:hint="eastAsia"/>
              </w:rPr>
              <w:t>2)</w:t>
            </w:r>
            <w:r>
              <w:rPr>
                <w:rFonts w:hint="eastAsia"/>
              </w:rPr>
              <w:tab/>
            </w:r>
            <w:r>
              <w:rPr>
                <w:rFonts w:hint="eastAsia"/>
              </w:rPr>
              <w:t>顾客满意程度95%以上。</w:t>
            </w:r>
          </w:p>
          <w:p>
            <w:pPr>
              <w:rPr>
                <w:rFonts w:hint="eastAsia"/>
              </w:rPr>
            </w:pPr>
            <w:r>
              <w:rPr>
                <w:rFonts w:hint="eastAsia"/>
              </w:rPr>
              <w:t>3)</w:t>
            </w:r>
            <w:r>
              <w:rPr>
                <w:rFonts w:hint="eastAsia"/>
              </w:rPr>
              <w:tab/>
            </w:r>
            <w:r>
              <w:rPr>
                <w:rFonts w:hint="eastAsia"/>
              </w:rPr>
              <w:t>服务按时完成率100%</w:t>
            </w:r>
          </w:p>
          <w:p>
            <w:pPr>
              <w:rPr>
                <w:rFonts w:hint="eastAsia"/>
              </w:rPr>
            </w:pPr>
            <w:r>
              <w:rPr>
                <w:rFonts w:hint="eastAsia"/>
              </w:rPr>
              <w:t xml:space="preserve">    环境目标：1）固体废弃物100%分类，合理处理；</w:t>
            </w:r>
          </w:p>
          <w:p>
            <w:pPr>
              <w:rPr>
                <w:rFonts w:hint="eastAsia"/>
              </w:rPr>
            </w:pPr>
            <w:r>
              <w:rPr>
                <w:rFonts w:hint="eastAsia"/>
              </w:rPr>
              <w:t xml:space="preserve">              2）环境污染事故发生率为零</w:t>
            </w:r>
          </w:p>
          <w:p>
            <w:pPr>
              <w:rPr>
                <w:rFonts w:hint="eastAsia"/>
              </w:rPr>
            </w:pPr>
            <w:r>
              <w:rPr>
                <w:rFonts w:hint="eastAsia"/>
              </w:rPr>
              <w:t xml:space="preserve">    职业健康安全目标和指标：1）各类重伤以上事故发生率为零； </w:t>
            </w:r>
          </w:p>
          <w:p>
            <w:pPr>
              <w:numPr>
                <w:ilvl w:val="0"/>
                <w:numId w:val="2"/>
              </w:numPr>
              <w:ind w:left="3045" w:leftChars="0" w:firstLine="0" w:firstLineChars="0"/>
              <w:rPr>
                <w:rFonts w:hint="eastAsia"/>
              </w:rPr>
            </w:pPr>
            <w:r>
              <w:rPr>
                <w:rFonts w:hint="eastAsia"/>
              </w:rPr>
              <w:t>火灾事故发生率为零。</w:t>
            </w:r>
          </w:p>
          <w:p>
            <w:pPr>
              <w:pStyle w:val="2"/>
              <w:ind w:firstLine="230" w:firstLineChars="100"/>
              <w:rPr>
                <w:rFonts w:hint="default" w:asciiTheme="minorEastAsia" w:hAnsiTheme="minorEastAsia" w:eastAsiaTheme="minorEastAsia" w:cstheme="minorEastAsia"/>
                <w:bCs w:val="0"/>
                <w:color w:val="auto"/>
                <w:szCs w:val="21"/>
                <w:lang w:val="en-US" w:eastAsia="zh-CN"/>
              </w:rPr>
            </w:pPr>
            <w:r>
              <w:rPr>
                <w:rFonts w:hint="eastAsia" w:asciiTheme="minorEastAsia" w:hAnsiTheme="minorEastAsia" w:eastAsiaTheme="minorEastAsia" w:cstheme="minorEastAsia"/>
                <w:bCs w:val="0"/>
                <w:color w:val="auto"/>
                <w:szCs w:val="21"/>
                <w:lang w:val="en-US" w:eastAsia="zh-CN"/>
              </w:rPr>
              <w:t>提供受控文件清单：现场未见“</w:t>
            </w:r>
            <w:r>
              <w:rPr>
                <w:rFonts w:hint="eastAsia" w:ascii="宋体" w:hAnsi="宋体"/>
              </w:rPr>
              <w:t>进货检验规范制度</w:t>
            </w:r>
            <w:r>
              <w:rPr>
                <w:rFonts w:hint="eastAsia" w:asciiTheme="minorEastAsia" w:hAnsiTheme="minorEastAsia" w:eastAsiaTheme="minorEastAsia" w:cstheme="minorEastAsia"/>
                <w:bCs w:val="0"/>
                <w:color w:val="auto"/>
                <w:szCs w:val="21"/>
                <w:lang w:val="en-US" w:eastAsia="zh-CN"/>
              </w:rPr>
              <w:t>”</w:t>
            </w:r>
          </w:p>
          <w:p>
            <w:pPr>
              <w:pStyle w:val="2"/>
              <w:ind w:firstLine="230" w:firstLineChars="100"/>
              <w:rPr>
                <w:rFonts w:hint="default" w:eastAsia="宋体"/>
                <w:color w:val="auto"/>
                <w:lang w:val="en-US" w:eastAsia="zh-CN"/>
              </w:rPr>
            </w:pPr>
            <w:r>
              <w:rPr>
                <w:rFonts w:hint="eastAsia" w:asciiTheme="minorEastAsia" w:hAnsiTheme="minorEastAsia" w:eastAsiaTheme="minorEastAsia" w:cstheme="minorEastAsia"/>
                <w:bCs w:val="0"/>
                <w:color w:val="auto"/>
                <w:szCs w:val="21"/>
              </w:rPr>
              <w:t>提供法律法规清单</w:t>
            </w:r>
            <w:r>
              <w:rPr>
                <w:color w:val="auto"/>
              </w:rPr>
              <w:t xml:space="preserve"> </w:t>
            </w:r>
            <w:r>
              <w:rPr>
                <w:rFonts w:hint="eastAsia"/>
                <w:color w:val="auto"/>
              </w:rPr>
              <w:t>，外来文件清单</w:t>
            </w:r>
            <w:r>
              <w:rPr>
                <w:rFonts w:hint="eastAsia"/>
                <w:color w:val="auto"/>
                <w:lang w:eastAsia="zh-CN"/>
              </w:rPr>
              <w:t>，</w:t>
            </w:r>
            <w:r>
              <w:rPr>
                <w:rFonts w:hint="eastAsia"/>
                <w:color w:val="auto"/>
                <w:lang w:val="en-US" w:eastAsia="zh-CN"/>
              </w:rPr>
              <w:t>识别比较全面，符合要求</w:t>
            </w:r>
          </w:p>
          <w:p>
            <w:pPr>
              <w:pStyle w:val="2"/>
              <w:ind w:firstLine="230" w:firstLineChars="100"/>
              <w:rPr>
                <w:rFonts w:hint="default" w:eastAsia="宋体"/>
                <w:color w:val="auto"/>
                <w:lang w:val="en-US" w:eastAsia="zh-CN"/>
              </w:rPr>
            </w:pPr>
          </w:p>
        </w:tc>
        <w:tc>
          <w:tcPr>
            <w:tcW w:w="1061" w:type="dxa"/>
          </w:tcPr>
          <w:p>
            <w:pPr>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160" w:type="dxa"/>
          </w:tcPr>
          <w:p>
            <w:pPr>
              <w:rPr>
                <w:rFonts w:ascii="宋体" w:hAnsi="宋体" w:cs="宋体"/>
                <w:color w:val="auto"/>
                <w:kern w:val="0"/>
                <w:szCs w:val="21"/>
              </w:rPr>
            </w:pPr>
            <w:r>
              <w:rPr>
                <w:rFonts w:hint="eastAsia" w:ascii="宋体" w:hAnsi="宋体" w:cs="宋体"/>
                <w:color w:val="auto"/>
                <w:szCs w:val="21"/>
              </w:rPr>
              <w:t>内审策划、实施的符合性。</w:t>
            </w:r>
          </w:p>
        </w:tc>
        <w:tc>
          <w:tcPr>
            <w:tcW w:w="425" w:type="dxa"/>
          </w:tcPr>
          <w:p>
            <w:pPr>
              <w:rPr>
                <w:color w:val="auto"/>
              </w:rPr>
            </w:pPr>
          </w:p>
        </w:tc>
        <w:tc>
          <w:tcPr>
            <w:tcW w:w="11063" w:type="dxa"/>
          </w:tcPr>
          <w:p>
            <w:pPr>
              <w:ind w:firstLine="420" w:firstLineChars="200"/>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color w:val="auto"/>
                <w:szCs w:val="21"/>
              </w:rPr>
              <w:t>公司制定《内部审核控制程序 》，提供了《20</w:t>
            </w:r>
            <w:r>
              <w:rPr>
                <w:rFonts w:hint="eastAsia" w:asciiTheme="minorEastAsia" w:hAnsiTheme="minorEastAsia" w:eastAsiaTheme="minorEastAsia" w:cstheme="minorEastAsia"/>
                <w:color w:val="auto"/>
                <w:szCs w:val="21"/>
                <w:lang w:val="en-US" w:eastAsia="zh-CN"/>
              </w:rPr>
              <w:t>21</w:t>
            </w:r>
            <w:r>
              <w:rPr>
                <w:rFonts w:hint="eastAsia" w:asciiTheme="minorEastAsia" w:hAnsiTheme="minorEastAsia" w:eastAsiaTheme="minorEastAsia" w:cstheme="minorEastAsia"/>
                <w:color w:val="auto"/>
                <w:szCs w:val="21"/>
              </w:rPr>
              <w:t>年内部审核实施计划》，计划内容有：目的、范围、审核准则、拟审核时间</w:t>
            </w:r>
            <w:r>
              <w:rPr>
                <w:rFonts w:hint="eastAsia"/>
                <w:color w:val="auto"/>
              </w:rPr>
              <w:t>202</w:t>
            </w:r>
            <w:r>
              <w:rPr>
                <w:rFonts w:hint="eastAsia"/>
                <w:color w:val="auto"/>
                <w:lang w:val="en-US" w:eastAsia="zh-CN"/>
              </w:rPr>
              <w:t>0</w:t>
            </w:r>
            <w:r>
              <w:rPr>
                <w:rFonts w:hint="eastAsia"/>
                <w:color w:val="auto"/>
              </w:rPr>
              <w:t>年</w:t>
            </w:r>
            <w:r>
              <w:rPr>
                <w:rFonts w:hint="eastAsia"/>
                <w:color w:val="auto"/>
                <w:lang w:val="en-US" w:eastAsia="zh-CN"/>
              </w:rPr>
              <w:t>12</w:t>
            </w:r>
            <w:r>
              <w:rPr>
                <w:rFonts w:hint="eastAsia"/>
                <w:color w:val="auto"/>
              </w:rPr>
              <w:t>月20日</w:t>
            </w:r>
            <w:r>
              <w:rPr>
                <w:rFonts w:hint="eastAsia" w:asciiTheme="minorEastAsia" w:hAnsiTheme="minorEastAsia" w:eastAsiaTheme="minorEastAsia" w:cstheme="minorEastAsia"/>
                <w:color w:val="auto"/>
                <w:szCs w:val="21"/>
              </w:rPr>
              <w:t>，拟稿-</w:t>
            </w:r>
            <w:r>
              <w:rPr>
                <w:rFonts w:hint="eastAsia" w:asciiTheme="minorEastAsia" w:hAnsiTheme="minorEastAsia" w:eastAsiaTheme="minorEastAsia" w:cstheme="minorEastAsia"/>
                <w:color w:val="auto"/>
                <w:szCs w:val="21"/>
                <w:lang w:eastAsia="zh-CN"/>
              </w:rPr>
              <w:t>综合部</w:t>
            </w:r>
            <w:r>
              <w:rPr>
                <w:rFonts w:hint="eastAsia" w:asciiTheme="minorEastAsia" w:hAnsiTheme="minorEastAsia" w:eastAsiaTheme="minorEastAsia" w:cstheme="minorEastAsia"/>
                <w:color w:val="auto"/>
                <w:szCs w:val="21"/>
              </w:rPr>
              <w:t xml:space="preserve"> ， 签发-</w:t>
            </w:r>
            <w:r>
              <w:rPr>
                <w:rFonts w:hint="eastAsia"/>
              </w:rPr>
              <w:t>吴国恩</w:t>
            </w:r>
            <w:r>
              <w:rPr>
                <w:rFonts w:hint="eastAsia" w:asciiTheme="minorEastAsia" w:hAnsiTheme="minorEastAsia" w:eastAsiaTheme="minorEastAsia" w:cstheme="minorEastAsia"/>
                <w:color w:val="auto"/>
                <w:szCs w:val="21"/>
              </w:rPr>
              <w:t xml:space="preserve"> 提供了《内审不合格报告》，不符合和项1个，进行了原因分析并制定纠正措施计划，经过审核组验证，纠正措施有效。</w:t>
            </w:r>
          </w:p>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提供《审核报告》，</w:t>
            </w:r>
            <w:bookmarkStart w:id="1" w:name="_Hlk22415168"/>
            <w:r>
              <w:rPr>
                <w:rFonts w:hint="eastAsia" w:asciiTheme="minorEastAsia" w:hAnsiTheme="minorEastAsia" w:eastAsiaTheme="minorEastAsia" w:cstheme="minorEastAsia"/>
                <w:color w:val="auto"/>
                <w:szCs w:val="21"/>
              </w:rPr>
              <w:t>审核组长：</w:t>
            </w:r>
            <w:r>
              <w:rPr>
                <w:rFonts w:hint="eastAsia"/>
              </w:rPr>
              <w:t>黄建军</w:t>
            </w:r>
            <w:r>
              <w:rPr>
                <w:rFonts w:hint="eastAsia" w:asciiTheme="minorEastAsia" w:hAnsiTheme="minorEastAsia" w:eastAsiaTheme="minorEastAsia" w:cstheme="minorEastAsia"/>
                <w:color w:val="auto"/>
                <w:szCs w:val="21"/>
              </w:rPr>
              <w:t>，审核组成员：</w:t>
            </w:r>
            <w:bookmarkEnd w:id="1"/>
            <w:r>
              <w:rPr>
                <w:rFonts w:hint="eastAsia"/>
              </w:rPr>
              <w:t>肖青英</w:t>
            </w:r>
          </w:p>
          <w:p>
            <w:pPr>
              <w:spacing w:line="400" w:lineRule="exact"/>
              <w:ind w:firstLine="420" w:firstLineChars="200"/>
              <w:rPr>
                <w:color w:val="auto"/>
              </w:rPr>
            </w:pPr>
            <w:r>
              <w:rPr>
                <w:rFonts w:hint="eastAsia" w:asciiTheme="minorEastAsia" w:hAnsiTheme="minorEastAsia" w:eastAsiaTheme="minorEastAsia" w:cstheme="minorEastAsia"/>
                <w:color w:val="auto"/>
                <w:szCs w:val="21"/>
              </w:rPr>
              <w:t>提供了内审员培训记录，审核员没有审核自己部门工作，具有独立性。</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2160" w:type="dxa"/>
          </w:tcPr>
          <w:p>
            <w:pPr>
              <w:rPr>
                <w:rFonts w:ascii="宋体" w:hAnsi="宋体" w:cs="宋体"/>
                <w:color w:val="auto"/>
                <w:kern w:val="0"/>
                <w:szCs w:val="21"/>
              </w:rPr>
            </w:pPr>
            <w:r>
              <w:rPr>
                <w:rFonts w:hint="eastAsia" w:ascii="宋体" w:hAnsi="宋体" w:cs="宋体"/>
                <w:bCs/>
                <w:color w:val="auto"/>
                <w:szCs w:val="21"/>
              </w:rPr>
              <w:t>管理评审的策划、实施情况及符合性、有效性</w:t>
            </w:r>
          </w:p>
        </w:tc>
        <w:tc>
          <w:tcPr>
            <w:tcW w:w="425" w:type="dxa"/>
          </w:tcPr>
          <w:p>
            <w:pPr>
              <w:rPr>
                <w:color w:val="auto"/>
              </w:rPr>
            </w:pPr>
          </w:p>
        </w:tc>
        <w:tc>
          <w:tcPr>
            <w:tcW w:w="11063" w:type="dxa"/>
          </w:tcPr>
          <w:p>
            <w:pPr>
              <w:ind w:firstLine="420" w:firstLineChars="200"/>
              <w:rPr>
                <w:color w:val="auto"/>
              </w:rPr>
            </w:pPr>
            <w:r>
              <w:rPr>
                <w:rFonts w:hint="eastAsia"/>
                <w:color w:val="auto"/>
              </w:rPr>
              <w:t>公司于</w:t>
            </w:r>
            <w:bookmarkStart w:id="2" w:name="OLE_LINK1"/>
            <w:r>
              <w:rPr>
                <w:rFonts w:hint="eastAsia"/>
                <w:color w:val="auto"/>
              </w:rPr>
              <w:t>20</w:t>
            </w:r>
            <w:r>
              <w:rPr>
                <w:rFonts w:hint="eastAsia"/>
                <w:color w:val="auto"/>
                <w:lang w:val="en-US" w:eastAsia="zh-CN"/>
              </w:rPr>
              <w:t>20</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28</w:t>
            </w:r>
            <w:r>
              <w:rPr>
                <w:rFonts w:hint="eastAsia"/>
                <w:color w:val="auto"/>
              </w:rPr>
              <w:t>日</w:t>
            </w:r>
            <w:bookmarkEnd w:id="2"/>
            <w:r>
              <w:rPr>
                <w:rFonts w:hint="eastAsia"/>
                <w:color w:val="auto"/>
              </w:rPr>
              <w:t>，依据：GB/T19001-2016\GB/T24001-2016\GB/T</w:t>
            </w:r>
            <w:r>
              <w:rPr>
                <w:rFonts w:hint="eastAsia"/>
                <w:color w:val="auto"/>
                <w:lang w:val="en-US" w:eastAsia="zh-CN"/>
              </w:rPr>
              <w:t>45</w:t>
            </w:r>
            <w:r>
              <w:rPr>
                <w:rFonts w:hint="eastAsia"/>
                <w:color w:val="auto"/>
              </w:rPr>
              <w:t>001-20</w:t>
            </w:r>
            <w:r>
              <w:rPr>
                <w:rFonts w:hint="eastAsia"/>
                <w:color w:val="auto"/>
                <w:lang w:val="en-US" w:eastAsia="zh-CN"/>
              </w:rPr>
              <w:t>20</w:t>
            </w:r>
            <w:r>
              <w:rPr>
                <w:rFonts w:hint="eastAsia"/>
                <w:color w:val="auto"/>
              </w:rPr>
              <w:t>标准进行管理评审。</w:t>
            </w:r>
          </w:p>
          <w:p>
            <w:pPr>
              <w:ind w:firstLine="420" w:firstLineChars="200"/>
              <w:rPr>
                <w:color w:val="auto"/>
              </w:rPr>
            </w:pPr>
            <w:r>
              <w:rPr>
                <w:rFonts w:hint="eastAsia"/>
                <w:color w:val="auto"/>
              </w:rPr>
              <w:t>目前按标准要求平稳运行，至今暂无变更情况发生。</w:t>
            </w:r>
          </w:p>
          <w:p>
            <w:pPr>
              <w:rPr>
                <w:color w:val="auto"/>
              </w:rPr>
            </w:pPr>
            <w:r>
              <w:rPr>
                <w:rFonts w:hint="eastAsia"/>
                <w:color w:val="auto"/>
              </w:rPr>
              <w:t>查阅公司管理评审资料：</w:t>
            </w:r>
          </w:p>
          <w:p>
            <w:pPr>
              <w:rPr>
                <w:color w:val="auto"/>
              </w:rPr>
            </w:pPr>
            <w:r>
              <w:rPr>
                <w:rFonts w:hint="eastAsia"/>
                <w:color w:val="auto"/>
              </w:rPr>
              <w:t>一，</w:t>
            </w:r>
            <w:r>
              <w:rPr>
                <w:rFonts w:hint="eastAsia"/>
                <w:color w:val="auto"/>
                <w:lang w:eastAsia="zh-CN"/>
              </w:rPr>
              <w:t>综合部</w:t>
            </w:r>
            <w:r>
              <w:rPr>
                <w:rFonts w:hint="eastAsia"/>
                <w:color w:val="auto"/>
              </w:rPr>
              <w:t xml:space="preserve"> 发布管理评审计划， 拟稿-</w:t>
            </w:r>
            <w:r>
              <w:rPr>
                <w:rFonts w:hint="eastAsia"/>
                <w:color w:val="auto"/>
                <w:lang w:eastAsia="zh-CN"/>
              </w:rPr>
              <w:t>综合部</w:t>
            </w:r>
            <w:r>
              <w:rPr>
                <w:rFonts w:hint="eastAsia"/>
                <w:color w:val="auto"/>
              </w:rPr>
              <w:t xml:space="preserve"> ，批准：</w:t>
            </w:r>
            <w:r>
              <w:rPr>
                <w:rFonts w:hint="eastAsia"/>
              </w:rPr>
              <w:t>吴国恩</w:t>
            </w:r>
            <w:r>
              <w:rPr>
                <w:rFonts w:hint="eastAsia"/>
                <w:color w:val="auto"/>
              </w:rPr>
              <w:t>，评审方式：会议评审，拟评审时间：20</w:t>
            </w:r>
            <w:r>
              <w:rPr>
                <w:rFonts w:hint="eastAsia"/>
                <w:color w:val="auto"/>
                <w:lang w:val="en-US" w:eastAsia="zh-CN"/>
              </w:rPr>
              <w:t>20</w:t>
            </w:r>
            <w:r>
              <w:rPr>
                <w:rFonts w:hint="eastAsia"/>
                <w:color w:val="auto"/>
              </w:rPr>
              <w:t>年</w:t>
            </w:r>
            <w:r>
              <w:rPr>
                <w:rFonts w:hint="eastAsia"/>
                <w:color w:val="auto"/>
                <w:lang w:val="en-US" w:eastAsia="zh-CN"/>
              </w:rPr>
              <w:t>12</w:t>
            </w:r>
            <w:r>
              <w:rPr>
                <w:rFonts w:hint="eastAsia"/>
                <w:color w:val="auto"/>
              </w:rPr>
              <w:t>月</w:t>
            </w:r>
            <w:r>
              <w:rPr>
                <w:rFonts w:hint="eastAsia"/>
                <w:color w:val="auto"/>
                <w:lang w:val="en-US" w:eastAsia="zh-CN"/>
              </w:rPr>
              <w:t>20</w:t>
            </w:r>
            <w:r>
              <w:rPr>
                <w:rFonts w:hint="eastAsia"/>
                <w:color w:val="auto"/>
              </w:rPr>
              <w:t>日。</w:t>
            </w:r>
          </w:p>
          <w:p>
            <w:pPr>
              <w:rPr>
                <w:color w:val="auto"/>
              </w:rPr>
            </w:pPr>
            <w:r>
              <w:rPr>
                <w:rFonts w:hint="eastAsia"/>
                <w:color w:val="auto"/>
              </w:rPr>
              <w:t>二、管理评审输入：</w:t>
            </w:r>
          </w:p>
          <w:p>
            <w:pPr>
              <w:ind w:firstLine="420" w:firstLineChars="200"/>
              <w:rPr>
                <w:color w:val="auto"/>
              </w:rPr>
            </w:pPr>
            <w:r>
              <w:rPr>
                <w:rFonts w:hint="eastAsia"/>
                <w:color w:val="auto"/>
              </w:rPr>
              <w:t>方针目标适宜性、质量目标的实现程度、体系策划和运行情况、可能的变更、外部供方的绩效、内审情况、顾客满意情况及纠正措施完成情况，应对风险和机遇所采取措施的有效性以及改进的建议等等。</w:t>
            </w:r>
          </w:p>
          <w:p>
            <w:pPr>
              <w:numPr>
                <w:ilvl w:val="0"/>
                <w:numId w:val="3"/>
              </w:numPr>
              <w:rPr>
                <w:color w:val="auto"/>
              </w:rPr>
            </w:pPr>
            <w:r>
              <w:rPr>
                <w:rFonts w:hint="eastAsia"/>
                <w:color w:val="auto"/>
              </w:rPr>
              <w:t>查看“管理评审报告”，报告中对本次管理评审做了总结，评价了公司建立、运行管理体系的效果。</w:t>
            </w:r>
          </w:p>
          <w:p>
            <w:pPr>
              <w:rPr>
                <w:color w:val="auto"/>
              </w:rPr>
            </w:pPr>
            <w:r>
              <w:rPr>
                <w:rFonts w:hint="eastAsia"/>
                <w:color w:val="auto"/>
              </w:rPr>
              <w:t>四、管理评审输出/评审结论：</w:t>
            </w:r>
          </w:p>
          <w:p>
            <w:pPr>
              <w:rPr>
                <w:color w:val="auto"/>
              </w:rPr>
            </w:pPr>
            <w:r>
              <w:rPr>
                <w:rFonts w:hint="eastAsia"/>
                <w:color w:val="auto"/>
              </w:rPr>
              <w:t>通过本次评审，最终得出本公司管理体系是适宜的、充分的、有效的，方针和目标是适宜的和有效的。提出了管理评审改进决议：</w:t>
            </w:r>
            <w:r>
              <w:rPr>
                <w:rFonts w:hint="eastAsia" w:asciiTheme="minorEastAsia" w:hAnsiTheme="minorEastAsia" w:eastAsiaTheme="minorEastAsia" w:cstheme="minorEastAsia"/>
                <w:color w:val="auto"/>
                <w:szCs w:val="21"/>
              </w:rPr>
              <w:t>基本符合。</w:t>
            </w:r>
            <w:r>
              <w:rPr>
                <w:rFonts w:hint="eastAsia" w:ascii="宋体" w:hAnsi="宋体"/>
                <w:color w:val="auto"/>
                <w:szCs w:val="21"/>
              </w:rPr>
              <w:t>。</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jc w:val="left"/>
              <w:rPr>
                <w:rFonts w:ascii="宋体" w:hAnsi="宋体" w:cs="宋体"/>
                <w:color w:val="auto"/>
                <w:szCs w:val="21"/>
              </w:rPr>
            </w:pPr>
            <w:r>
              <w:rPr>
                <w:rFonts w:hint="eastAsia" w:ascii="宋体" w:hAnsi="宋体" w:cs="宋体"/>
                <w:color w:val="auto"/>
                <w:szCs w:val="21"/>
              </w:rPr>
              <w:t>内外部沟通及相关方抱怨、投诉的处理情况。</w:t>
            </w:r>
          </w:p>
          <w:p>
            <w:pPr>
              <w:rPr>
                <w:rFonts w:ascii="宋体" w:hAnsi="宋体" w:cs="宋体"/>
                <w:color w:val="auto"/>
                <w:kern w:val="0"/>
                <w:szCs w:val="21"/>
              </w:rPr>
            </w:pPr>
          </w:p>
        </w:tc>
        <w:tc>
          <w:tcPr>
            <w:tcW w:w="425" w:type="dxa"/>
          </w:tcPr>
          <w:p>
            <w:pPr>
              <w:rPr>
                <w:color w:val="auto"/>
              </w:rPr>
            </w:pPr>
          </w:p>
        </w:tc>
        <w:tc>
          <w:tcPr>
            <w:tcW w:w="11063" w:type="dxa"/>
          </w:tcPr>
          <w:p>
            <w:pPr>
              <w:spacing w:line="400" w:lineRule="exact"/>
              <w:rPr>
                <w:rFonts w:ascii="宋体" w:hAnsi="宋体"/>
                <w:color w:val="auto"/>
                <w:szCs w:val="21"/>
                <w:lang w:val="zh-CN"/>
              </w:rPr>
            </w:pPr>
            <w:r>
              <w:rPr>
                <w:rFonts w:hint="eastAsia" w:ascii="宋体" w:hAnsi="宋体"/>
                <w:color w:val="auto"/>
                <w:szCs w:val="21"/>
                <w:lang w:val="zh-CN"/>
              </w:rPr>
              <w:t>内外部沟通的主要方式为：</w:t>
            </w:r>
          </w:p>
          <w:p>
            <w:pPr>
              <w:spacing w:line="400" w:lineRule="exact"/>
              <w:rPr>
                <w:rFonts w:ascii="宋体" w:hAnsi="宋体"/>
                <w:color w:val="auto"/>
                <w:szCs w:val="21"/>
                <w:lang w:val="zh-CN"/>
              </w:rPr>
            </w:pPr>
            <w:r>
              <w:rPr>
                <w:rFonts w:hint="eastAsia" w:ascii="宋体" w:hAnsi="宋体"/>
                <w:color w:val="auto"/>
                <w:szCs w:val="21"/>
                <w:lang w:val="zh-CN"/>
              </w:rPr>
              <w:t>a)会议形式。如各种例会、协调会、座谈会、评审会和研讨会等；</w:t>
            </w:r>
          </w:p>
          <w:p>
            <w:pPr>
              <w:spacing w:line="400" w:lineRule="exact"/>
              <w:rPr>
                <w:rFonts w:ascii="宋体" w:hAnsi="宋体"/>
                <w:color w:val="auto"/>
                <w:szCs w:val="21"/>
                <w:lang w:val="zh-CN"/>
              </w:rPr>
            </w:pPr>
            <w:r>
              <w:rPr>
                <w:rFonts w:hint="eastAsia" w:ascii="宋体" w:hAnsi="宋体"/>
                <w:color w:val="auto"/>
                <w:szCs w:val="21"/>
                <w:lang w:val="zh-CN"/>
              </w:rPr>
              <w:t>b)文件形式。如工作报告、情况简报、技术服务报告、各种分析报告和布告等；</w:t>
            </w:r>
          </w:p>
          <w:p>
            <w:pPr>
              <w:spacing w:line="400" w:lineRule="exact"/>
              <w:rPr>
                <w:rFonts w:ascii="宋体" w:hAnsi="宋体"/>
                <w:color w:val="auto"/>
                <w:szCs w:val="21"/>
                <w:lang w:val="zh-CN"/>
              </w:rPr>
            </w:pPr>
            <w:r>
              <w:rPr>
                <w:rFonts w:hint="eastAsia" w:ascii="宋体" w:hAnsi="宋体"/>
                <w:color w:val="auto"/>
                <w:szCs w:val="21"/>
                <w:lang w:val="zh-CN"/>
              </w:rPr>
              <w:t>c)电子媒介形式。如录像、广播、信息网络等；</w:t>
            </w:r>
          </w:p>
          <w:p>
            <w:pPr>
              <w:spacing w:line="400" w:lineRule="exact"/>
              <w:rPr>
                <w:rFonts w:ascii="宋体" w:hAnsi="宋体"/>
                <w:color w:val="auto"/>
                <w:szCs w:val="21"/>
                <w:lang w:val="zh-CN"/>
              </w:rPr>
            </w:pPr>
            <w:r>
              <w:rPr>
                <w:rFonts w:hint="eastAsia" w:ascii="宋体" w:hAnsi="宋体"/>
                <w:color w:val="auto"/>
                <w:szCs w:val="21"/>
                <w:lang w:val="zh-CN"/>
              </w:rPr>
              <w:t>d)管理评审及内审；</w:t>
            </w:r>
          </w:p>
          <w:p>
            <w:pPr>
              <w:spacing w:line="400" w:lineRule="exact"/>
              <w:rPr>
                <w:rFonts w:ascii="宋体" w:hAnsi="宋体"/>
                <w:color w:val="auto"/>
                <w:szCs w:val="21"/>
                <w:lang w:val="zh-CN"/>
              </w:rPr>
            </w:pPr>
            <w:r>
              <w:rPr>
                <w:rFonts w:hint="eastAsia" w:ascii="宋体" w:hAnsi="宋体"/>
                <w:color w:val="auto"/>
                <w:szCs w:val="21"/>
                <w:lang w:val="zh-CN"/>
              </w:rPr>
              <w:t>e)谈话交流等方式。</w:t>
            </w:r>
          </w:p>
          <w:p>
            <w:pPr>
              <w:spacing w:line="400" w:lineRule="exact"/>
              <w:ind w:firstLine="420" w:firstLineChars="200"/>
              <w:rPr>
                <w:rFonts w:ascii="宋体" w:hAnsi="宋体"/>
                <w:color w:val="auto"/>
                <w:szCs w:val="21"/>
                <w:lang w:val="zh-CN"/>
              </w:rPr>
            </w:pPr>
            <w:r>
              <w:rPr>
                <w:rFonts w:hint="eastAsia" w:ascii="宋体" w:hAnsi="宋体"/>
                <w:color w:val="auto"/>
                <w:szCs w:val="21"/>
                <w:lang w:val="zh-CN"/>
              </w:rPr>
              <w:t>内部沟通的主要内容为：</w:t>
            </w:r>
          </w:p>
          <w:p>
            <w:pPr>
              <w:spacing w:line="400" w:lineRule="exact"/>
              <w:rPr>
                <w:rFonts w:ascii="宋体" w:hAnsi="宋体"/>
                <w:color w:val="auto"/>
                <w:szCs w:val="21"/>
                <w:lang w:val="zh-CN"/>
              </w:rPr>
            </w:pPr>
            <w:r>
              <w:rPr>
                <w:rFonts w:hint="eastAsia" w:ascii="宋体" w:hAnsi="宋体"/>
                <w:color w:val="auto"/>
                <w:szCs w:val="21"/>
                <w:lang w:val="zh-CN"/>
              </w:rPr>
              <w:t>a)质量管理体系运行状态、业绩及任何需要改进的信息；</w:t>
            </w:r>
          </w:p>
          <w:p>
            <w:pPr>
              <w:spacing w:line="400" w:lineRule="exact"/>
              <w:rPr>
                <w:rFonts w:ascii="宋体" w:hAnsi="宋体"/>
                <w:color w:val="auto"/>
                <w:szCs w:val="21"/>
                <w:lang w:val="zh-CN"/>
              </w:rPr>
            </w:pPr>
            <w:r>
              <w:rPr>
                <w:rFonts w:hint="eastAsia" w:ascii="宋体" w:hAnsi="宋体"/>
                <w:color w:val="auto"/>
                <w:szCs w:val="21"/>
                <w:lang w:val="zh-CN"/>
              </w:rPr>
              <w:t>b)产品要求，特别是顾客要求；</w:t>
            </w:r>
          </w:p>
          <w:p>
            <w:pPr>
              <w:spacing w:line="400" w:lineRule="exact"/>
              <w:rPr>
                <w:rFonts w:ascii="宋体" w:hAnsi="宋体"/>
                <w:color w:val="auto"/>
                <w:szCs w:val="21"/>
                <w:lang w:val="zh-CN"/>
              </w:rPr>
            </w:pPr>
            <w:r>
              <w:rPr>
                <w:rFonts w:hint="eastAsia" w:ascii="宋体" w:hAnsi="宋体"/>
                <w:color w:val="auto"/>
                <w:szCs w:val="21"/>
                <w:lang w:val="zh-CN"/>
              </w:rPr>
              <w:t>c)顾客反馈，包括顾客投诉与抱怨的信息；</w:t>
            </w:r>
          </w:p>
          <w:p>
            <w:pPr>
              <w:spacing w:line="400" w:lineRule="exact"/>
              <w:rPr>
                <w:rFonts w:ascii="宋体" w:hAnsi="宋体"/>
                <w:color w:val="auto"/>
                <w:szCs w:val="21"/>
                <w:lang w:val="zh-CN"/>
              </w:rPr>
            </w:pPr>
            <w:r>
              <w:rPr>
                <w:rFonts w:hint="eastAsia" w:ascii="宋体" w:hAnsi="宋体"/>
                <w:color w:val="auto"/>
                <w:szCs w:val="21"/>
                <w:lang w:val="zh-CN"/>
              </w:rPr>
              <w:t>d)产品的采购、生产、试验、交付、交付后活动等过程和信息；</w:t>
            </w:r>
          </w:p>
          <w:p>
            <w:pPr>
              <w:spacing w:line="400" w:lineRule="exact"/>
              <w:rPr>
                <w:rFonts w:ascii="宋体" w:hAnsi="宋体"/>
                <w:color w:val="auto"/>
                <w:szCs w:val="21"/>
                <w:lang w:val="zh-CN"/>
              </w:rPr>
            </w:pPr>
            <w:r>
              <w:rPr>
                <w:rFonts w:hint="eastAsia" w:ascii="宋体" w:hAnsi="宋体"/>
                <w:color w:val="auto"/>
                <w:szCs w:val="21"/>
                <w:lang w:val="zh-CN"/>
              </w:rPr>
              <w:t>e)质量方针、质量目标，职责、权限和相互关系；</w:t>
            </w:r>
          </w:p>
          <w:p>
            <w:pPr>
              <w:spacing w:line="400" w:lineRule="exact"/>
              <w:rPr>
                <w:rFonts w:ascii="宋体" w:hAnsi="宋体"/>
                <w:color w:val="auto"/>
                <w:szCs w:val="21"/>
                <w:lang w:val="zh-CN"/>
              </w:rPr>
            </w:pPr>
            <w:r>
              <w:rPr>
                <w:rFonts w:hint="eastAsia" w:ascii="宋体" w:hAnsi="宋体"/>
                <w:color w:val="auto"/>
                <w:szCs w:val="21"/>
                <w:lang w:val="zh-CN"/>
              </w:rPr>
              <w:t>f)质量问题的通报与处理等。</w:t>
            </w:r>
          </w:p>
          <w:p>
            <w:pPr>
              <w:spacing w:line="400" w:lineRule="exact"/>
              <w:ind w:firstLine="420" w:firstLineChars="200"/>
              <w:rPr>
                <w:rFonts w:ascii="宋体" w:hAnsi="宋体"/>
                <w:color w:val="auto"/>
                <w:szCs w:val="21"/>
                <w:lang w:val="zh-CN"/>
              </w:rPr>
            </w:pPr>
            <w:r>
              <w:rPr>
                <w:rFonts w:hint="eastAsia" w:ascii="宋体" w:hAnsi="宋体"/>
                <w:color w:val="auto"/>
                <w:szCs w:val="21"/>
                <w:lang w:val="zh-CN"/>
              </w:rPr>
              <w:t>外部沟通的主要内容为：</w:t>
            </w:r>
          </w:p>
          <w:p>
            <w:pPr>
              <w:numPr>
                <w:ilvl w:val="0"/>
                <w:numId w:val="4"/>
              </w:numPr>
              <w:spacing w:line="400" w:lineRule="exact"/>
              <w:rPr>
                <w:rFonts w:ascii="宋体" w:hAnsi="宋体"/>
                <w:color w:val="auto"/>
                <w:szCs w:val="21"/>
                <w:lang w:val="zh-CN"/>
              </w:rPr>
            </w:pPr>
            <w:r>
              <w:rPr>
                <w:rFonts w:hint="eastAsia" w:ascii="宋体" w:hAnsi="宋体"/>
                <w:color w:val="auto"/>
                <w:szCs w:val="21"/>
                <w:lang w:val="zh-CN"/>
              </w:rPr>
              <w:t>法规要求/技术规范要求/上级或行业要求；</w:t>
            </w:r>
            <w:r>
              <w:rPr>
                <w:rFonts w:hint="eastAsia" w:ascii="宋体" w:hAnsi="宋体"/>
                <w:color w:val="auto"/>
                <w:szCs w:val="21"/>
                <w:lang w:val="zh-CN"/>
              </w:rPr>
              <w:br w:type="textWrapping"/>
            </w:r>
            <w:r>
              <w:rPr>
                <w:rFonts w:hint="eastAsia" w:ascii="宋体" w:hAnsi="宋体"/>
                <w:color w:val="auto"/>
                <w:szCs w:val="21"/>
                <w:lang w:val="zh-CN"/>
              </w:rPr>
              <w:t>b)相关方的要求和期望，以及顾客反馈的信息；</w:t>
            </w:r>
            <w:r>
              <w:rPr>
                <w:rFonts w:hint="eastAsia" w:ascii="宋体" w:hAnsi="宋体"/>
                <w:color w:val="auto"/>
                <w:szCs w:val="21"/>
                <w:lang w:val="zh-CN"/>
              </w:rPr>
              <w:br w:type="textWrapping"/>
            </w:r>
            <w:r>
              <w:rPr>
                <w:rFonts w:hint="eastAsia" w:ascii="宋体" w:hAnsi="宋体"/>
                <w:color w:val="auto"/>
                <w:szCs w:val="21"/>
                <w:lang w:val="zh-CN"/>
              </w:rPr>
              <w:t>c)对相关方施加影响；</w:t>
            </w:r>
          </w:p>
          <w:p>
            <w:pPr>
              <w:spacing w:line="400" w:lineRule="exact"/>
              <w:ind w:firstLine="420" w:firstLineChars="200"/>
              <w:rPr>
                <w:color w:val="auto"/>
              </w:rPr>
            </w:pPr>
            <w:r>
              <w:rPr>
                <w:rFonts w:hint="eastAsia" w:ascii="宋体" w:hAnsi="宋体"/>
                <w:color w:val="auto"/>
                <w:szCs w:val="21"/>
                <w:lang w:val="zh-CN"/>
              </w:rPr>
              <w:t>对于承包方，应就影响他们的职业健康安全的变更进行协商。在管理需要时，应就有关的职业健康安全事务与相关的外部相关方进行协商。具体按《信息交流与协商沟通控制程序》要求执行。</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0" w:type="dxa"/>
          </w:tcPr>
          <w:p>
            <w:pPr>
              <w:numPr>
                <w:ilvl w:val="0"/>
                <w:numId w:val="5"/>
              </w:numPr>
              <w:spacing w:line="360" w:lineRule="auto"/>
              <w:jc w:val="left"/>
              <w:rPr>
                <w:rFonts w:ascii="宋体" w:hAnsi="宋体" w:cs="宋体"/>
                <w:color w:val="auto"/>
                <w:szCs w:val="21"/>
              </w:rPr>
            </w:pPr>
            <w:r>
              <w:rPr>
                <w:rFonts w:hint="eastAsia" w:ascii="宋体" w:hAnsi="宋体" w:cs="宋体"/>
                <w:color w:val="auto"/>
                <w:szCs w:val="21"/>
              </w:rPr>
              <w:t>财务部资金投入</w:t>
            </w:r>
          </w:p>
          <w:p>
            <w:pPr>
              <w:rPr>
                <w:rFonts w:ascii="宋体" w:hAnsi="宋体" w:cs="宋体"/>
                <w:color w:val="auto"/>
                <w:kern w:val="0"/>
                <w:szCs w:val="21"/>
              </w:rPr>
            </w:pPr>
          </w:p>
        </w:tc>
        <w:tc>
          <w:tcPr>
            <w:tcW w:w="425" w:type="dxa"/>
          </w:tcPr>
          <w:p>
            <w:pPr>
              <w:rPr>
                <w:color w:val="auto"/>
              </w:rPr>
            </w:pPr>
          </w:p>
        </w:tc>
        <w:tc>
          <w:tcPr>
            <w:tcW w:w="11063" w:type="dxa"/>
          </w:tcPr>
          <w:p>
            <w:pPr>
              <w:rPr>
                <w:color w:val="auto"/>
              </w:rPr>
            </w:pPr>
            <w:r>
              <w:rPr>
                <w:rFonts w:hint="eastAsia" w:ascii="宋体" w:hAnsi="宋体"/>
                <w:color w:val="auto"/>
                <w:szCs w:val="21"/>
              </w:rPr>
              <w:t>经与财务部负责人沟通，对环境、职业健康安全目标及管理方案已经进行了资金投入；对公司员工按法律法规要求，缴纳了养老、医疗、意外等社会保险</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2160" w:type="dxa"/>
          </w:tcPr>
          <w:p>
            <w:pPr>
              <w:rPr>
                <w:rFonts w:ascii="宋体" w:hAnsi="宋体" w:cs="宋体"/>
                <w:color w:val="auto"/>
                <w:kern w:val="0"/>
                <w:szCs w:val="21"/>
              </w:rPr>
            </w:pPr>
            <w:r>
              <w:rPr>
                <w:rFonts w:hint="eastAsia" w:ascii="宋体" w:hAnsi="宋体" w:cs="宋体"/>
                <w:color w:val="auto"/>
                <w:szCs w:val="21"/>
              </w:rPr>
              <w:t>了解产品实现过程的策划、实施和监视测量情况</w:t>
            </w:r>
          </w:p>
        </w:tc>
        <w:tc>
          <w:tcPr>
            <w:tcW w:w="425" w:type="dxa"/>
          </w:tcPr>
          <w:p>
            <w:pPr>
              <w:rPr>
                <w:color w:val="auto"/>
              </w:rPr>
            </w:pPr>
          </w:p>
        </w:tc>
        <w:tc>
          <w:tcPr>
            <w:tcW w:w="11063" w:type="dxa"/>
          </w:tcPr>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项目实施流程：</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客户洽谈→合同签订→材料采购→进场报验→项目施工→过程检验→竣工验收→后期服务。</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销售：客户接触----合同评审----签订合同-----客户付款------入帐------采购-----客户提货-----验收</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关键过程有：园林绿化服务过程</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针对关键过程建立的控制文件有：园林绿化服务过程控制程序</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需要确认过程：销售过程</w:t>
            </w:r>
          </w:p>
          <w:p>
            <w:pPr>
              <w:rPr>
                <w:rFonts w:hint="eastAsia"/>
              </w:rPr>
            </w:pPr>
            <w:r>
              <w:rPr>
                <w:rFonts w:hint="eastAsia" w:ascii="宋体" w:hAnsi="宋体"/>
                <w:szCs w:val="21"/>
              </w:rPr>
              <w:t>城市园林绿化服务</w:t>
            </w:r>
            <w:r>
              <w:rPr>
                <w:rFonts w:hint="eastAsia" w:ascii="宋体" w:hAnsi="宋体"/>
                <w:spacing w:val="-10"/>
                <w:sz w:val="20"/>
              </w:rPr>
              <w:t>设施：</w:t>
            </w:r>
            <w:r>
              <w:rPr>
                <w:rFonts w:hint="eastAsia"/>
              </w:rPr>
              <w:t>铁锹、铁镐、手据、园艺剪、割草机、粗枝剪、打草机</w:t>
            </w:r>
          </w:p>
          <w:p>
            <w:pPr>
              <w:rPr>
                <w:rFonts w:ascii="宋体" w:hAnsi="宋体"/>
                <w:spacing w:val="-10"/>
                <w:sz w:val="20"/>
              </w:rPr>
            </w:pPr>
            <w:r>
              <w:rPr>
                <w:rFonts w:hint="eastAsia" w:ascii="宋体" w:hAnsi="宋体"/>
                <w:spacing w:val="-10"/>
                <w:sz w:val="20"/>
              </w:rPr>
              <w:t>养护耗材：花肥、营养液、备用树苗、除草剂、防虫液、防冻液</w:t>
            </w:r>
          </w:p>
          <w:p>
            <w:pPr>
              <w:spacing w:line="400" w:lineRule="exact"/>
              <w:ind w:firstLine="420" w:firstLineChars="200"/>
              <w:rPr>
                <w:rFonts w:hint="eastAsia" w:cs="Lucida Sans"/>
                <w:b w:val="0"/>
                <w:bCs w:val="0"/>
              </w:rPr>
            </w:pPr>
            <w:r>
              <w:rPr>
                <w:rFonts w:hint="eastAsia" w:cs="Lucida Sans"/>
                <w:b w:val="0"/>
                <w:bCs w:val="0"/>
                <w:szCs w:val="22"/>
              </w:rPr>
              <w:t>办公设备:电脑/打印机/传真机/电话等。</w:t>
            </w:r>
            <w:r>
              <w:rPr>
                <w:rFonts w:hint="eastAsia" w:cs="Lucida Sans"/>
                <w:b w:val="0"/>
                <w:bCs w:val="0"/>
              </w:rPr>
              <w:t>提供维修保养计划及记录，满足要求</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环保设施包括：垃圾桶、灭火器；</w:t>
            </w:r>
          </w:p>
          <w:p>
            <w:pPr>
              <w:spacing w:line="400" w:lineRule="exact"/>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安全设施配置主要有：标识牌、灭火器、消防器材等</w:t>
            </w:r>
          </w:p>
          <w:p>
            <w:pPr>
              <w:spacing w:line="400" w:lineRule="exact"/>
              <w:ind w:firstLine="420" w:firstLineChars="200"/>
              <w:rPr>
                <w:rFonts w:hint="default" w:ascii="宋体" w:hAnsi="宋体" w:eastAsia="宋体" w:cs="Times New Roman"/>
                <w:color w:val="auto"/>
                <w:szCs w:val="21"/>
                <w:lang w:val="en-US" w:eastAsia="zh-CN"/>
              </w:rPr>
            </w:pPr>
            <w:r>
              <w:rPr>
                <w:rFonts w:hint="eastAsia" w:ascii="宋体" w:hAnsi="宋体" w:cs="Times New Roman"/>
                <w:color w:val="auto"/>
                <w:szCs w:val="21"/>
                <w:lang w:val="en-US" w:eastAsia="zh-CN"/>
              </w:rPr>
              <w:t>配备了园林绿化施工人员、销售人员、办公人员等</w:t>
            </w:r>
          </w:p>
          <w:p>
            <w:pPr>
              <w:spacing w:line="400" w:lineRule="exact"/>
              <w:ind w:firstLine="420" w:firstLineChars="200"/>
              <w:rPr>
                <w:color w:val="auto"/>
              </w:rPr>
            </w:pP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2160" w:type="dxa"/>
          </w:tcPr>
          <w:p>
            <w:pPr>
              <w:rPr>
                <w:rFonts w:ascii="宋体" w:hAnsi="宋体" w:cs="宋体"/>
                <w:color w:val="auto"/>
                <w:szCs w:val="21"/>
              </w:rPr>
            </w:pPr>
            <w:r>
              <w:rPr>
                <w:rFonts w:hint="eastAsia" w:ascii="宋体" w:hAnsi="宋体" w:cs="宋体"/>
                <w:color w:val="auto"/>
                <w:szCs w:val="21"/>
              </w:rPr>
              <w:t>检验人员对产品质量的保障情况，产品放行情况</w:t>
            </w:r>
          </w:p>
        </w:tc>
        <w:tc>
          <w:tcPr>
            <w:tcW w:w="425" w:type="dxa"/>
          </w:tcPr>
          <w:p>
            <w:pPr>
              <w:rPr>
                <w:color w:val="auto"/>
              </w:rPr>
            </w:pPr>
          </w:p>
        </w:tc>
        <w:tc>
          <w:tcPr>
            <w:tcW w:w="11063" w:type="dxa"/>
          </w:tcPr>
          <w:p>
            <w:pPr>
              <w:pStyle w:val="2"/>
              <w:rPr>
                <w:color w:val="auto"/>
              </w:rPr>
            </w:pPr>
            <w:r>
              <w:rPr>
                <w:rFonts w:hint="eastAsia"/>
                <w:color w:val="auto"/>
                <w:szCs w:val="22"/>
              </w:rPr>
              <w:t>监测资源：</w:t>
            </w:r>
            <w:r>
              <w:rPr>
                <w:rFonts w:hint="eastAsia"/>
                <w:color w:val="auto"/>
                <w:szCs w:val="22"/>
                <w:lang w:val="en-US" w:eastAsia="zh-CN"/>
              </w:rPr>
              <w:t>平时的检查、内审、管评</w:t>
            </w:r>
            <w:r>
              <w:rPr>
                <w:rFonts w:hint="eastAsia"/>
                <w:color w:val="auto"/>
              </w:rPr>
              <w:t>等</w:t>
            </w:r>
          </w:p>
          <w:p>
            <w:pPr>
              <w:pStyle w:val="2"/>
              <w:rPr>
                <w:color w:val="auto"/>
              </w:rPr>
            </w:pPr>
            <w:r>
              <w:rPr>
                <w:rFonts w:hint="eastAsia"/>
                <w:color w:val="auto"/>
              </w:rPr>
              <w:t>二阶段进一步审核</w:t>
            </w:r>
          </w:p>
          <w:p>
            <w:pPr>
              <w:spacing w:line="400" w:lineRule="exact"/>
              <w:rPr>
                <w:rFonts w:ascii="宋体" w:hAnsi="宋体"/>
                <w:color w:val="auto"/>
                <w:szCs w:val="21"/>
              </w:rPr>
            </w:pP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不符合、纠正预防措施的控制与实施的有效性（Q/E/S）；</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企业经过策划，采用对产品的监视和测量，对不合格品控制等来证实产品的符合性。企业通过过程的监视和测量、绩效考核、内审、管理评审等方式和机制，确保质量管理制度有效执行。制定《不合格品控制程序》、《事故、事件、不符合管理程序》和《纠正预防措施控制程序》等，通过分析实际存在的或潜在的不符合的原因，制定纠正和预防措施，并验证其效果，以防止不符合的发生／再发生，实现持续改进绩效的目的。</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 xml:space="preserve">对内审中的不符合，采取了纠正措施，并验证； </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为保证公司职业健康安全管理体系的有效运行，通过对安全事件的调查处理，以确保管理体系运行的有效性。</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经查在公司正常经营活动中，出现了轻微不符合，部门已经采取纠正和纠正措施，经验证纠正措施有效。</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公司未发生过环境、安全等事故。</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了解公司环境因素、危险源的识别、评价和控制情况</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zh-CN"/>
              </w:rPr>
              <w:t>查到</w:t>
            </w:r>
            <w:r>
              <w:rPr>
                <w:rFonts w:hint="eastAsia" w:ascii="宋体" w:hAnsi="宋体" w:eastAsia="宋体" w:cs="Times New Roman"/>
                <w:color w:val="auto"/>
                <w:szCs w:val="21"/>
                <w:lang w:val="en-GB"/>
              </w:rPr>
              <w:t>《应急准备与响应控制程序 》，及《应急预案 》包含有事件级别及不同级别事件的处理程序、事件处理组织机构及职责分工、通用及特殊处理程序、各岗位要求等。具有可操作性。编制：</w:t>
            </w:r>
            <w:r>
              <w:rPr>
                <w:rFonts w:hint="eastAsia" w:ascii="宋体" w:hAnsi="宋体" w:cs="Times New Roman"/>
                <w:color w:val="auto"/>
                <w:szCs w:val="21"/>
                <w:lang w:val="en-US" w:eastAsia="zh-CN"/>
              </w:rPr>
              <w:t>综合部</w:t>
            </w:r>
            <w:r>
              <w:rPr>
                <w:rFonts w:hint="eastAsia" w:ascii="宋体" w:hAnsi="宋体" w:eastAsia="宋体" w:cs="Times New Roman"/>
                <w:color w:val="auto"/>
                <w:szCs w:val="21"/>
                <w:lang w:val="en-GB"/>
              </w:rPr>
              <w:t xml:space="preserve">  </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zh-CN"/>
              </w:rPr>
              <w:t>批准：</w:t>
            </w:r>
            <w:r>
              <w:rPr>
                <w:rFonts w:hint="eastAsia"/>
              </w:rPr>
              <w:t>吴国恩</w:t>
            </w:r>
            <w:r>
              <w:rPr>
                <w:rFonts w:hint="eastAsia"/>
              </w:rPr>
              <w:tab/>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hint="eastAsia" w:ascii="宋体" w:hAnsi="宋体" w:eastAsia="宋体" w:cs="Times New Roman"/>
                <w:color w:val="auto"/>
                <w:szCs w:val="21"/>
                <w:lang w:val="en-GB"/>
              </w:rPr>
              <w:t>抽查消防安全应急预案演练记录</w:t>
            </w:r>
            <w:r>
              <w:rPr>
                <w:rFonts w:hint="eastAsia" w:ascii="宋体" w:hAnsi="宋体" w:eastAsia="宋体" w:cs="Times New Roman"/>
                <w:color w:val="auto"/>
                <w:szCs w:val="21"/>
                <w:lang w:val="zh-CN"/>
              </w:rPr>
              <w:t xml:space="preserve">  详见二阶段记录</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运行控制和应急准备与响应活动的符合性（E/S）；</w:t>
            </w:r>
          </w:p>
          <w:p>
            <w:pPr>
              <w:spacing w:line="400" w:lineRule="exact"/>
              <w:ind w:firstLine="420" w:firstLineChars="200"/>
              <w:rPr>
                <w:rFonts w:hint="eastAsia" w:ascii="宋体" w:hAnsi="宋体" w:eastAsia="宋体" w:cs="Times New Roman"/>
                <w:color w:val="auto"/>
                <w:szCs w:val="21"/>
                <w:lang w:val="zh-CN"/>
              </w:rPr>
            </w:pP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执行节能降耗控制程序、固体废弃物控制程序、环境管理控制程序、档案管理制定合同管理制定、印章管理制度、代理工作办法项目管理手册</w:t>
            </w:r>
            <w:r>
              <w:rPr>
                <w:rFonts w:hint="eastAsia" w:ascii="宋体" w:hAnsi="宋体" w:eastAsia="宋体" w:cs="Times New Roman"/>
                <w:color w:val="auto"/>
                <w:szCs w:val="21"/>
                <w:lang w:val="en-GB"/>
              </w:rPr>
              <w:t>、车辆管理规定</w:t>
            </w:r>
            <w:r>
              <w:rPr>
                <w:rFonts w:hint="eastAsia" w:ascii="宋体" w:hAnsi="宋体" w:eastAsia="宋体" w:cs="Times New Roman"/>
                <w:color w:val="auto"/>
                <w:szCs w:val="21"/>
                <w:lang w:val="zh-CN"/>
              </w:rPr>
              <w:t>等。</w:t>
            </w:r>
            <w:r>
              <w:rPr>
                <w:rFonts w:hint="eastAsia" w:ascii="宋体" w:hAnsi="宋体" w:eastAsia="宋体" w:cs="Times New Roman"/>
                <w:color w:val="auto"/>
                <w:szCs w:val="21"/>
                <w:lang w:val="en-GB"/>
              </w:rPr>
              <w:t>办公用品按要求由</w:t>
            </w:r>
            <w:r>
              <w:rPr>
                <w:rFonts w:hint="eastAsia" w:ascii="宋体" w:hAnsi="宋体" w:cs="Times New Roman"/>
                <w:color w:val="auto"/>
                <w:szCs w:val="21"/>
                <w:lang w:val="zh-CN"/>
              </w:rPr>
              <w:t>综合部</w:t>
            </w:r>
            <w:r>
              <w:rPr>
                <w:rFonts w:hint="eastAsia" w:ascii="宋体" w:hAnsi="宋体" w:eastAsia="宋体" w:cs="Times New Roman"/>
                <w:color w:val="auto"/>
                <w:szCs w:val="21"/>
                <w:lang w:val="en-GB"/>
              </w:rPr>
              <w:t>负责发放，作好记录；</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运行控制情况：办公过程注意节约用电，做到人走灯灭，电脑长时间不用时关机，下班前要关闭电源；办公区域内配置的灭火器,在有效期内，</w:t>
            </w:r>
            <w:r>
              <w:rPr>
                <w:rFonts w:hint="eastAsia" w:ascii="宋体" w:hAnsi="宋体" w:eastAsia="宋体" w:cs="Times New Roman"/>
                <w:color w:val="auto"/>
                <w:szCs w:val="21"/>
                <w:lang w:val="zh-CN"/>
              </w:rPr>
              <w:t>办公过程使用的电器如：空调、电脑、灯具均符合安全设计要求，使用过程注意安全，预防触电，工作时间平均每天8小时；</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spacing w:line="400" w:lineRule="exact"/>
              <w:ind w:firstLine="420" w:firstLineChars="200"/>
              <w:rPr>
                <w:rFonts w:hint="eastAsia" w:ascii="宋体" w:hAnsi="宋体" w:eastAsia="宋体" w:cs="Times New Roman"/>
                <w:color w:val="auto"/>
                <w:szCs w:val="21"/>
                <w:lang w:val="en-GB"/>
              </w:rPr>
            </w:pPr>
            <w:r>
              <w:rPr>
                <w:rFonts w:hint="eastAsia" w:ascii="宋体" w:hAnsi="宋体" w:eastAsia="宋体" w:cs="Times New Roman"/>
                <w:color w:val="auto"/>
                <w:szCs w:val="21"/>
                <w:lang w:val="en-GB"/>
              </w:rPr>
              <w:t>公司为员工缴纳了养老、工伤、医疗等保险。</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en-GB"/>
              </w:rPr>
              <w:t>提供了缴纳保险的</w:t>
            </w:r>
            <w:r>
              <w:rPr>
                <w:rFonts w:hint="eastAsia" w:ascii="宋体" w:hAnsi="宋体" w:eastAsia="宋体" w:cs="Times New Roman"/>
                <w:color w:val="auto"/>
                <w:szCs w:val="21"/>
                <w:lang w:val="zh-CN"/>
              </w:rPr>
              <w:t>票据及社会保险在职人员信息统计表。</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驾驶员要求遵守道路交通安全法，不违章驾车，驾驶证和车辆定期年审，确保行车安全。</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2160" w:type="dxa"/>
          </w:tcPr>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办公区域现场观察：与质量、环境、职业健康安全有关活动的现场观察</w:t>
            </w:r>
          </w:p>
        </w:tc>
        <w:tc>
          <w:tcPr>
            <w:tcW w:w="425" w:type="dxa"/>
          </w:tcPr>
          <w:p>
            <w:pPr>
              <w:spacing w:line="400" w:lineRule="exact"/>
              <w:ind w:firstLine="420" w:firstLineChars="200"/>
              <w:rPr>
                <w:rFonts w:hint="eastAsia" w:ascii="宋体" w:hAnsi="宋体" w:eastAsia="宋体" w:cs="Times New Roman"/>
                <w:color w:val="auto"/>
                <w:szCs w:val="21"/>
                <w:lang w:val="zh-CN"/>
              </w:rPr>
            </w:pPr>
          </w:p>
        </w:tc>
        <w:tc>
          <w:tcPr>
            <w:tcW w:w="11063" w:type="dxa"/>
          </w:tcPr>
          <w:p>
            <w:pPr>
              <w:spacing w:line="380" w:lineRule="exact"/>
              <w:ind w:firstLine="421"/>
            </w:pPr>
            <w:r>
              <w:rPr>
                <w:rFonts w:hint="eastAsia"/>
              </w:rPr>
              <w:t>废水管控：主要为生活污水，生活废水排入市政管网。</w:t>
            </w:r>
          </w:p>
          <w:p>
            <w:pPr>
              <w:spacing w:line="380" w:lineRule="exact"/>
              <w:ind w:firstLine="421"/>
            </w:pPr>
            <w:r>
              <w:rPr>
                <w:rFonts w:hint="eastAsia"/>
              </w:rPr>
              <w:t>废气管控：无废气产生，城市园林绿化服务过程中会产生少量的尘土，施工员工佩戴口罩等措施进行防护。</w:t>
            </w:r>
          </w:p>
          <w:p>
            <w:pPr>
              <w:spacing w:line="380" w:lineRule="exact"/>
              <w:ind w:firstLine="421"/>
            </w:pPr>
            <w:r>
              <w:rPr>
                <w:rFonts w:hint="eastAsia"/>
              </w:rPr>
              <w:t>噪声管控：生产过程加工和辅助设备选用了低噪声的设备和工具，做好基础减震，在厂房内生产隔声，同时加强设备的检查和维保，确保机械设备在正常工况下运行。</w:t>
            </w:r>
          </w:p>
          <w:p>
            <w:pPr>
              <w:pStyle w:val="2"/>
              <w:rPr>
                <w:rFonts w:hint="eastAsia"/>
                <w:lang w:val="en-US" w:eastAsia="zh-CN"/>
              </w:rPr>
            </w:pPr>
            <w:r>
              <w:rPr>
                <w:rFonts w:hint="eastAsia"/>
              </w:rPr>
              <w:t>固废管控：城市园林绿化服务过程中主要为木屑、</w:t>
            </w:r>
            <w:r>
              <w:rPr>
                <w:rFonts w:hint="eastAsia"/>
                <w:lang w:val="en-US" w:eastAsia="zh-CN"/>
              </w:rPr>
              <w:t>纸屑、农药</w:t>
            </w:r>
            <w:r>
              <w:rPr>
                <w:rFonts w:hint="eastAsia"/>
              </w:rPr>
              <w:t>包装等。</w:t>
            </w:r>
            <w:r>
              <w:rPr>
                <w:rFonts w:hint="eastAsia"/>
                <w:lang w:val="en-US" w:eastAsia="zh-CN"/>
              </w:rPr>
              <w:t>①</w:t>
            </w:r>
            <w:r>
              <w:rPr>
                <w:rFonts w:hint="eastAsia"/>
              </w:rPr>
              <w:t>工程部将木屑、</w:t>
            </w:r>
            <w:r>
              <w:rPr>
                <w:rFonts w:hint="eastAsia"/>
                <w:lang w:val="en-US" w:eastAsia="zh-CN"/>
              </w:rPr>
              <w:t>纸屑等</w:t>
            </w:r>
            <w:r>
              <w:rPr>
                <w:rFonts w:hint="eastAsia"/>
              </w:rPr>
              <w:t>固废放置固定位置，积攒一定量后出售有废品回收单位再利用</w:t>
            </w:r>
            <w:r>
              <w:rPr>
                <w:rFonts w:hint="eastAsia"/>
                <w:lang w:eastAsia="zh-CN"/>
              </w:rPr>
              <w:t>，</w:t>
            </w:r>
            <w:r>
              <w:rPr>
                <w:rFonts w:hint="eastAsia"/>
                <w:lang w:val="en-US" w:eastAsia="zh-CN"/>
              </w:rPr>
              <w:t>②农药瓶子的处理：公司园林绿化服务过程使用的农药瓶子，不乱扔，统一交给供应商，由供应商进行回收。</w:t>
            </w:r>
          </w:p>
          <w:p>
            <w:pPr>
              <w:spacing w:line="440" w:lineRule="exact"/>
              <w:ind w:firstLine="421"/>
            </w:pPr>
            <w:r>
              <w:rPr>
                <w:rFonts w:hint="eastAsia"/>
              </w:rPr>
              <w:t>危废：公司的城市园林绿化服务不产生危废。</w:t>
            </w:r>
            <w:r>
              <w:t xml:space="preserve"> </w:t>
            </w:r>
          </w:p>
          <w:p>
            <w:pPr>
              <w:spacing w:line="380" w:lineRule="exact"/>
              <w:ind w:firstLine="420" w:firstLineChars="200"/>
            </w:pPr>
            <w:r>
              <w:rPr>
                <w:rFonts w:hint="eastAsia"/>
              </w:rPr>
              <w:t>资、能源管控：生产过程注意节水、节电、节油，人走关闭开关，现场未发现有漏水和浪费电能的现象。</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 xml:space="preserve">能源消耗：水电等能源均为办公场所正常使用，在工作过程中注意节约能源，如人走灯灭、电脑不用时关机或待机状态，及时关闭水源开关和电源开关、可回收废弃物和不可回收废弃分开，不可回收废弃物由公司统一组织回收处理； </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危险源：办公区域危险源主要是安全标识不清、电器设备漏电等，均安排专人检查，及时改善，更换危险的电器设备。财务部室外装有摄像头，室内有保险柜，防盗门等安全措施。</w:t>
            </w:r>
          </w:p>
          <w:p>
            <w:pPr>
              <w:spacing w:line="400" w:lineRule="exact"/>
              <w:ind w:firstLine="420" w:firstLineChars="200"/>
              <w:rPr>
                <w:rFonts w:hint="eastAsia" w:ascii="宋体" w:hAnsi="宋体" w:eastAsia="宋体" w:cs="Times New Roman"/>
                <w:color w:val="auto"/>
                <w:szCs w:val="21"/>
                <w:lang w:val="zh-CN"/>
              </w:rPr>
            </w:pPr>
            <w:r>
              <w:rPr>
                <w:rFonts w:hint="eastAsia" w:ascii="宋体" w:hAnsi="宋体" w:eastAsia="宋体" w:cs="Times New Roman"/>
                <w:color w:val="auto"/>
                <w:szCs w:val="21"/>
                <w:lang w:val="zh-CN"/>
              </w:rPr>
              <w:t>二阶段细查。</w:t>
            </w:r>
          </w:p>
        </w:tc>
        <w:tc>
          <w:tcPr>
            <w:tcW w:w="1061" w:type="dxa"/>
          </w:tcPr>
          <w:p>
            <w:pPr>
              <w:rPr>
                <w:rFonts w:hint="eastAsia" w:eastAsia="宋体"/>
                <w:color w:val="auto"/>
                <w:lang w:val="en-US" w:eastAsia="zh-CN"/>
              </w:rPr>
            </w:pPr>
            <w:r>
              <w:rPr>
                <w:rFonts w:hint="eastAsia"/>
                <w:color w:val="auto"/>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tcPr>
          <w:p>
            <w:pPr>
              <w:rPr>
                <w:rFonts w:ascii="宋体" w:hAnsi="宋体" w:cs="宋体"/>
                <w:color w:val="auto"/>
                <w:szCs w:val="21"/>
              </w:rPr>
            </w:pPr>
            <w:r>
              <w:rPr>
                <w:rFonts w:hint="eastAsia" w:ascii="宋体" w:hAnsi="宋体" w:cs="宋体"/>
                <w:bCs/>
                <w:color w:val="auto"/>
                <w:szCs w:val="21"/>
              </w:rPr>
              <w:t>近两年公司里管理服务环境和安全等是否有违规被处罚、曝光情况；</w:t>
            </w:r>
          </w:p>
        </w:tc>
        <w:tc>
          <w:tcPr>
            <w:tcW w:w="425" w:type="dxa"/>
          </w:tcPr>
          <w:p>
            <w:pPr>
              <w:rPr>
                <w:color w:val="auto"/>
              </w:rPr>
            </w:pPr>
          </w:p>
        </w:tc>
        <w:tc>
          <w:tcPr>
            <w:tcW w:w="11063" w:type="dxa"/>
          </w:tcPr>
          <w:p>
            <w:pPr>
              <w:spacing w:line="400" w:lineRule="exact"/>
              <w:ind w:firstLine="420" w:firstLineChars="200"/>
              <w:rPr>
                <w:rFonts w:hint="eastAsia" w:ascii="宋体" w:hAnsi="宋体"/>
                <w:color w:val="auto"/>
                <w:szCs w:val="21"/>
              </w:rPr>
            </w:pPr>
          </w:p>
          <w:p>
            <w:pPr>
              <w:spacing w:line="400" w:lineRule="exact"/>
              <w:ind w:firstLine="420" w:firstLineChars="200"/>
              <w:rPr>
                <w:rFonts w:ascii="宋体" w:hAnsi="宋体"/>
                <w:color w:val="auto"/>
                <w:szCs w:val="21"/>
                <w:lang w:val="zh-CN"/>
              </w:rPr>
            </w:pPr>
            <w:r>
              <w:rPr>
                <w:rFonts w:hint="eastAsia" w:ascii="宋体" w:hAnsi="宋体"/>
                <w:color w:val="auto"/>
                <w:szCs w:val="21"/>
              </w:rPr>
              <w:t>经查，</w:t>
            </w:r>
            <w:r>
              <w:rPr>
                <w:rFonts w:hint="eastAsia" w:ascii="宋体" w:hAnsi="宋体"/>
                <w:color w:val="auto"/>
                <w:szCs w:val="21"/>
                <w:lang w:val="zh-CN"/>
              </w:rPr>
              <w:t>近年</w:t>
            </w:r>
            <w:r>
              <w:rPr>
                <w:rFonts w:hint="eastAsia" w:ascii="宋体" w:hAnsi="宋体"/>
                <w:color w:val="auto"/>
                <w:szCs w:val="21"/>
              </w:rPr>
              <w:t>没有发生</w:t>
            </w:r>
            <w:r>
              <w:rPr>
                <w:rFonts w:hint="eastAsia" w:ascii="宋体" w:hAnsi="宋体"/>
                <w:color w:val="auto"/>
                <w:szCs w:val="21"/>
                <w:lang w:val="zh-CN"/>
              </w:rPr>
              <w:t>服务</w:t>
            </w:r>
            <w:r>
              <w:rPr>
                <w:rFonts w:hint="eastAsia" w:ascii="宋体" w:hAnsi="宋体"/>
                <w:color w:val="auto"/>
                <w:szCs w:val="21"/>
                <w:lang w:val="en-US" w:eastAsia="zh-CN"/>
              </w:rPr>
              <w:t>及销售</w:t>
            </w:r>
            <w:r>
              <w:rPr>
                <w:rFonts w:hint="eastAsia" w:ascii="宋体" w:hAnsi="宋体"/>
                <w:color w:val="auto"/>
                <w:szCs w:val="21"/>
                <w:lang w:val="zh-CN"/>
              </w:rPr>
              <w:t>环境和安全等是否有违规被处罚、曝光情况。</w:t>
            </w:r>
          </w:p>
        </w:tc>
        <w:tc>
          <w:tcPr>
            <w:tcW w:w="1061"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60" w:type="dxa"/>
            <w:vAlign w:val="top"/>
          </w:tcPr>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是否具备二阶段审核结论</w:t>
            </w:r>
          </w:p>
          <w:p>
            <w:pPr>
              <w:spacing w:line="400" w:lineRule="exact"/>
              <w:ind w:firstLine="420" w:firstLineChars="200"/>
              <w:rPr>
                <w:rFonts w:hint="eastAsia" w:ascii="宋体" w:hAnsi="宋体" w:eastAsia="宋体" w:cs="Times New Roman"/>
                <w:szCs w:val="21"/>
                <w:lang w:val="zh-CN"/>
              </w:rPr>
            </w:pPr>
          </w:p>
          <w:p>
            <w:pPr>
              <w:spacing w:line="400" w:lineRule="exact"/>
              <w:ind w:firstLine="420" w:firstLineChars="200"/>
              <w:rPr>
                <w:rFonts w:hint="eastAsia" w:ascii="宋体" w:hAnsi="宋体" w:eastAsia="宋体" w:cs="Times New Roman"/>
                <w:kern w:val="2"/>
                <w:sz w:val="21"/>
                <w:szCs w:val="21"/>
                <w:lang w:val="zh-CN" w:eastAsia="zh-CN" w:bidi="ar-SA"/>
              </w:rPr>
            </w:pPr>
            <w:r>
              <w:rPr>
                <w:rFonts w:hint="eastAsia" w:ascii="宋体" w:hAnsi="宋体" w:eastAsia="宋体" w:cs="Times New Roman"/>
                <w:szCs w:val="21"/>
                <w:lang w:val="zh-CN"/>
              </w:rPr>
              <w:t>第二阶段重要审核点等相关内容</w:t>
            </w:r>
          </w:p>
        </w:tc>
        <w:tc>
          <w:tcPr>
            <w:tcW w:w="425" w:type="dxa"/>
            <w:vAlign w:val="top"/>
          </w:tcPr>
          <w:p>
            <w:pPr>
              <w:spacing w:line="400" w:lineRule="exact"/>
              <w:ind w:firstLine="420" w:firstLineChars="200"/>
              <w:rPr>
                <w:rFonts w:hint="eastAsia" w:ascii="宋体" w:hAnsi="宋体" w:eastAsia="宋体" w:cs="Times New Roman"/>
                <w:kern w:val="2"/>
                <w:sz w:val="21"/>
                <w:szCs w:val="21"/>
                <w:lang w:val="zh-CN" w:eastAsia="zh-CN" w:bidi="ar-SA"/>
              </w:rPr>
            </w:pPr>
          </w:p>
        </w:tc>
        <w:tc>
          <w:tcPr>
            <w:tcW w:w="11063" w:type="dxa"/>
            <w:vAlign w:val="top"/>
          </w:tcPr>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通过一阶段对受审核方的</w:t>
            </w:r>
            <w:r>
              <w:rPr>
                <w:rFonts w:hint="eastAsia" w:ascii="宋体" w:hAnsi="宋体" w:eastAsia="宋体" w:cs="Times New Roman"/>
                <w:szCs w:val="21"/>
                <w:lang w:val="en-US" w:eastAsia="zh-CN"/>
              </w:rPr>
              <w:t>现场</w:t>
            </w:r>
            <w:r>
              <w:rPr>
                <w:rFonts w:hint="eastAsia" w:ascii="宋体" w:hAnsi="宋体" w:eastAsia="宋体" w:cs="Times New Roman"/>
                <w:szCs w:val="21"/>
                <w:lang w:val="zh-CN"/>
              </w:rPr>
              <w:t>巡视和观察，对管理体系绩效要求有重大影响的过程、活动、场所和现场运行进行观察、巡视及总体性评价，组织具备二阶段审核条件，可进行二阶段审核。</w:t>
            </w:r>
          </w:p>
          <w:p>
            <w:pPr>
              <w:spacing w:line="400" w:lineRule="exact"/>
              <w:ind w:firstLine="420" w:firstLineChars="200"/>
              <w:rPr>
                <w:rFonts w:hint="eastAsia" w:ascii="宋体" w:hAnsi="宋体" w:eastAsia="宋体" w:cs="Times New Roman"/>
                <w:szCs w:val="21"/>
                <w:lang w:val="zh-CN"/>
              </w:rPr>
            </w:pP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二阶段重点审核：</w:t>
            </w:r>
          </w:p>
          <w:p>
            <w:pPr>
              <w:ind w:firstLine="210" w:firstLineChars="100"/>
              <w:rPr>
                <w:rFonts w:hint="eastAsia"/>
                <w:color w:val="000000"/>
                <w:szCs w:val="21"/>
              </w:rPr>
            </w:pPr>
            <w:r>
              <w:rPr>
                <w:rFonts w:hint="eastAsia" w:ascii="宋体" w:hAnsi="宋体"/>
                <w:szCs w:val="21"/>
              </w:rPr>
              <w:t>Q：城市园林绿化服务；城镇绿化苗、花卉的销售</w:t>
            </w:r>
          </w:p>
          <w:p>
            <w:pPr>
              <w:ind w:firstLine="210" w:firstLineChars="100"/>
              <w:rPr>
                <w:rFonts w:hint="eastAsia" w:ascii="宋体" w:hAnsi="宋体"/>
                <w:szCs w:val="21"/>
              </w:rPr>
            </w:pPr>
            <w:r>
              <w:rPr>
                <w:rFonts w:hint="eastAsia" w:ascii="宋体" w:hAnsi="宋体"/>
                <w:szCs w:val="21"/>
              </w:rPr>
              <w:t>E：城市园林绿化服务；城镇绿化苗、花卉的销售所涉及场所的相关环境管理活动</w:t>
            </w:r>
          </w:p>
          <w:p>
            <w:pPr>
              <w:spacing w:line="400" w:lineRule="exact"/>
              <w:ind w:firstLine="420" w:firstLineChars="200"/>
              <w:rPr>
                <w:rFonts w:hint="eastAsia" w:ascii="宋体" w:hAnsi="宋体"/>
                <w:szCs w:val="21"/>
              </w:rPr>
            </w:pPr>
            <w:r>
              <w:rPr>
                <w:rFonts w:hint="eastAsia" w:ascii="宋体" w:hAnsi="宋体"/>
                <w:szCs w:val="21"/>
              </w:rPr>
              <w:t>O：城市园林绿化服务；城镇绿化苗、花卉的销售所涉及场所的相关职业健康安全管理活动</w:t>
            </w:r>
          </w:p>
          <w:p>
            <w:pPr>
              <w:spacing w:line="400" w:lineRule="exact"/>
              <w:ind w:firstLine="420" w:firstLineChars="200"/>
              <w:rPr>
                <w:rFonts w:hint="default" w:ascii="宋体" w:hAnsi="宋体" w:eastAsia="宋体" w:cs="Times New Roman"/>
                <w:szCs w:val="21"/>
                <w:lang w:val="en-US" w:eastAsia="zh-CN"/>
              </w:rPr>
            </w:pPr>
            <w:r>
              <w:rPr>
                <w:rFonts w:hint="eastAsia" w:ascii="宋体" w:hAnsi="宋体" w:eastAsia="宋体" w:cs="Times New Roman"/>
                <w:szCs w:val="21"/>
                <w:lang w:val="zh-CN"/>
              </w:rPr>
              <w:t>重点审核部门：</w:t>
            </w:r>
            <w:r>
              <w:rPr>
                <w:rFonts w:hint="eastAsia" w:ascii="宋体" w:hAnsi="宋体" w:cs="Times New Roman"/>
                <w:szCs w:val="21"/>
                <w:lang w:val="en-US" w:eastAsia="zh-CN"/>
              </w:rPr>
              <w:t>综合</w:t>
            </w:r>
            <w:r>
              <w:rPr>
                <w:rFonts w:hint="eastAsia" w:ascii="宋体" w:hAnsi="宋体" w:eastAsia="宋体" w:cs="Times New Roman"/>
                <w:szCs w:val="21"/>
                <w:lang w:val="zh-CN"/>
              </w:rPr>
              <w:t>部、</w:t>
            </w:r>
            <w:r>
              <w:rPr>
                <w:rFonts w:hint="eastAsia" w:ascii="宋体" w:hAnsi="宋体" w:cs="Times New Roman"/>
                <w:szCs w:val="21"/>
                <w:lang w:val="en-US" w:eastAsia="zh-CN"/>
              </w:rPr>
              <w:t>工程部   项目部</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重点审核过程：环境因素识别、风险识别评价、运行过程、监视和测量、不符合控制、合规性评价等。</w:t>
            </w:r>
          </w:p>
          <w:p>
            <w:pPr>
              <w:spacing w:line="400" w:lineRule="exact"/>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重点审核场所：</w:t>
            </w:r>
            <w:r>
              <w:rPr>
                <w:rFonts w:hint="eastAsia" w:ascii="宋体" w:hAnsi="宋体" w:cs="Times New Roman"/>
                <w:szCs w:val="21"/>
                <w:lang w:val="en-US" w:eastAsia="zh-CN"/>
              </w:rPr>
              <w:t>技术服务</w:t>
            </w:r>
            <w:r>
              <w:rPr>
                <w:rFonts w:hint="eastAsia" w:ascii="宋体" w:hAnsi="宋体" w:eastAsia="宋体" w:cs="Times New Roman"/>
                <w:szCs w:val="21"/>
                <w:lang w:val="zh-CN"/>
              </w:rPr>
              <w:t>场所、办公场所。</w:t>
            </w:r>
          </w:p>
          <w:p>
            <w:pPr>
              <w:spacing w:line="400" w:lineRule="exact"/>
              <w:ind w:firstLine="420" w:firstLineChars="200"/>
              <w:rPr>
                <w:rFonts w:hint="default" w:ascii="宋体" w:hAnsi="宋体" w:eastAsia="宋体" w:cs="Times New Roman"/>
                <w:kern w:val="2"/>
                <w:sz w:val="21"/>
                <w:szCs w:val="21"/>
                <w:lang w:val="en-US" w:eastAsia="zh-CN" w:bidi="ar-SA"/>
              </w:rPr>
            </w:pPr>
            <w:r>
              <w:rPr>
                <w:rFonts w:hint="eastAsia" w:ascii="宋体" w:hAnsi="宋体" w:eastAsia="宋体" w:cs="Times New Roman"/>
                <w:szCs w:val="21"/>
                <w:lang w:val="zh-CN"/>
              </w:rPr>
              <w:t>审核时间：</w:t>
            </w:r>
            <w:bookmarkStart w:id="3" w:name="审核开始日"/>
            <w:r>
              <w:rPr>
                <w:rFonts w:hint="eastAsia"/>
                <w:color w:val="000000"/>
                <w:szCs w:val="21"/>
              </w:rPr>
              <w:t>2021年07月17日 下午</w:t>
            </w:r>
            <w:bookmarkEnd w:id="3"/>
            <w:r>
              <w:rPr>
                <w:rFonts w:hint="eastAsia"/>
                <w:color w:val="000000"/>
                <w:szCs w:val="21"/>
                <w:lang w:val="en-US" w:eastAsia="zh-CN"/>
              </w:rPr>
              <w:t>----</w:t>
            </w:r>
            <w:r>
              <w:rPr>
                <w:color w:val="000000"/>
                <w:szCs w:val="21"/>
              </w:rPr>
              <w:t xml:space="preserve"> </w:t>
            </w:r>
            <w:bookmarkStart w:id="4" w:name="审核结束日"/>
            <w:r>
              <w:rPr>
                <w:rFonts w:hint="eastAsia"/>
                <w:color w:val="000000"/>
                <w:szCs w:val="21"/>
              </w:rPr>
              <w:t>2021年07月19日 下午</w:t>
            </w:r>
            <w:bookmarkEnd w:id="4"/>
            <w:bookmarkStart w:id="5" w:name="_GoBack"/>
            <w:bookmarkEnd w:id="5"/>
          </w:p>
        </w:tc>
        <w:tc>
          <w:tcPr>
            <w:tcW w:w="1061" w:type="dxa"/>
          </w:tcPr>
          <w:p>
            <w:pPr>
              <w:rPr>
                <w:color w:val="auto"/>
              </w:rPr>
            </w:pPr>
          </w:p>
        </w:tc>
      </w:tr>
    </w:tbl>
    <w:p>
      <w:pPr>
        <w:rPr>
          <w:color w:val="auto"/>
        </w:rPr>
      </w:pPr>
      <w:r>
        <w:rPr>
          <w:color w:val="auto"/>
        </w:rPr>
        <w:ptab w:relativeTo="margin" w:alignment="center" w:leader="none"/>
      </w:r>
    </w:p>
    <w:p>
      <w:pPr>
        <w:pStyle w:val="4"/>
        <w:rPr>
          <w:color w:val="auto"/>
        </w:rPr>
      </w:pPr>
      <w:r>
        <w:rPr>
          <w:rFonts w:hint="eastAsia"/>
          <w:color w:val="auto"/>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1"/>
      </w:pBdr>
      <w:spacing w:line="320" w:lineRule="exact"/>
      <w:jc w:val="left"/>
    </w:pPr>
    <w:r>
      <w:pict>
        <v:shape id="文本框 1"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ISC-B-I-08 管理体系审核记录表(03版)</w:t>
                </w:r>
              </w:p>
            </w:txbxContent>
          </v:textbox>
        </v:shape>
      </w:pict>
    </w:r>
    <w:r>
      <w:rPr>
        <w:rStyle w:val="11"/>
        <w:rFonts w:hint="default"/>
      </w:rPr>
      <w:t xml:space="preserve">        </w:t>
    </w:r>
    <w:r>
      <w:rPr>
        <w:rStyle w:val="11"/>
        <w:rFonts w:hint="default"/>
        <w:w w:val="90"/>
      </w:rPr>
      <w:t>Beijing International Standard united Certification Co.,Ltd.</w:t>
    </w:r>
    <w:r>
      <w:rPr>
        <w:rStyle w:val="11"/>
        <w:rFonts w:hint="default"/>
        <w:w w:val="90"/>
        <w:szCs w:val="21"/>
      </w:rPr>
      <w:t xml:space="preserve">  </w:t>
    </w:r>
    <w:r>
      <w:rPr>
        <w:rStyle w:val="11"/>
        <w:rFonts w:hint="default"/>
        <w:w w:val="90"/>
        <w:sz w:val="20"/>
      </w:rPr>
      <w:t xml:space="preserve"> </w:t>
    </w:r>
    <w:r>
      <w:rPr>
        <w:rStyle w:val="11"/>
        <w:rFonts w:hint="default"/>
        <w:w w:val="90"/>
      </w:rPr>
      <w:t xml:space="preserve">                   </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57ACCB"/>
    <w:multiLevelType w:val="singleLevel"/>
    <w:tmpl w:val="8E57ACCB"/>
    <w:lvl w:ilvl="0" w:tentative="0">
      <w:start w:val="1"/>
      <w:numFmt w:val="lowerLetter"/>
      <w:lvlText w:val="%1)"/>
      <w:lvlJc w:val="left"/>
      <w:pPr>
        <w:tabs>
          <w:tab w:val="left" w:pos="312"/>
        </w:tabs>
      </w:pPr>
    </w:lvl>
  </w:abstractNum>
  <w:abstractNum w:abstractNumId="1">
    <w:nsid w:val="901E1307"/>
    <w:multiLevelType w:val="singleLevel"/>
    <w:tmpl w:val="901E1307"/>
    <w:lvl w:ilvl="0" w:tentative="0">
      <w:start w:val="3"/>
      <w:numFmt w:val="chineseCounting"/>
      <w:suff w:val="nothing"/>
      <w:lvlText w:val="%1、"/>
      <w:lvlJc w:val="left"/>
      <w:rPr>
        <w:rFonts w:hint="eastAsia"/>
      </w:rPr>
    </w:lvl>
  </w:abstractNum>
  <w:abstractNum w:abstractNumId="2">
    <w:nsid w:val="B46D1FD5"/>
    <w:multiLevelType w:val="singleLevel"/>
    <w:tmpl w:val="B46D1FD5"/>
    <w:lvl w:ilvl="0" w:tentative="0">
      <w:start w:val="2"/>
      <w:numFmt w:val="decimal"/>
      <w:suff w:val="nothing"/>
      <w:lvlText w:val="%1）"/>
      <w:lvlJc w:val="left"/>
      <w:pPr>
        <w:ind w:left="3045" w:leftChars="0" w:firstLine="0" w:firstLineChars="0"/>
      </w:pPr>
    </w:lvl>
  </w:abstractNum>
  <w:abstractNum w:abstractNumId="3">
    <w:nsid w:val="5A6A4FD1"/>
    <w:multiLevelType w:val="singleLevel"/>
    <w:tmpl w:val="5A6A4FD1"/>
    <w:lvl w:ilvl="0" w:tentative="0">
      <w:start w:val="1"/>
      <w:numFmt w:val="decimal"/>
      <w:suff w:val="nothing"/>
      <w:lvlText w:val="%1、"/>
      <w:lvlJc w:val="left"/>
    </w:lvl>
  </w:abstractNum>
  <w:abstractNum w:abstractNumId="4">
    <w:nsid w:val="77443122"/>
    <w:multiLevelType w:val="singleLevel"/>
    <w:tmpl w:val="77443122"/>
    <w:lvl w:ilvl="0" w:tentative="0">
      <w:start w:val="7"/>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3373A"/>
    <w:rsid w:val="00180C1F"/>
    <w:rsid w:val="001864C7"/>
    <w:rsid w:val="001A2D7F"/>
    <w:rsid w:val="001F570B"/>
    <w:rsid w:val="0027409D"/>
    <w:rsid w:val="00337922"/>
    <w:rsid w:val="00340867"/>
    <w:rsid w:val="00380837"/>
    <w:rsid w:val="003E456A"/>
    <w:rsid w:val="003E5D09"/>
    <w:rsid w:val="00410914"/>
    <w:rsid w:val="004B5C10"/>
    <w:rsid w:val="00536930"/>
    <w:rsid w:val="00564E53"/>
    <w:rsid w:val="005F0D5C"/>
    <w:rsid w:val="00644FE2"/>
    <w:rsid w:val="0067640C"/>
    <w:rsid w:val="006E678B"/>
    <w:rsid w:val="007757F3"/>
    <w:rsid w:val="007E34EF"/>
    <w:rsid w:val="007E6AEB"/>
    <w:rsid w:val="00892097"/>
    <w:rsid w:val="008973EE"/>
    <w:rsid w:val="00917E1F"/>
    <w:rsid w:val="00917FB8"/>
    <w:rsid w:val="00971600"/>
    <w:rsid w:val="009973B4"/>
    <w:rsid w:val="009F0A1E"/>
    <w:rsid w:val="009F7EED"/>
    <w:rsid w:val="00A01CB9"/>
    <w:rsid w:val="00A72519"/>
    <w:rsid w:val="00AF0AAB"/>
    <w:rsid w:val="00B93DBA"/>
    <w:rsid w:val="00BF597E"/>
    <w:rsid w:val="00C51A36"/>
    <w:rsid w:val="00C55228"/>
    <w:rsid w:val="00C81A4B"/>
    <w:rsid w:val="00CE315A"/>
    <w:rsid w:val="00D06F59"/>
    <w:rsid w:val="00D8388C"/>
    <w:rsid w:val="00EB0164"/>
    <w:rsid w:val="00ED0F62"/>
    <w:rsid w:val="00F15B45"/>
    <w:rsid w:val="00F2595B"/>
    <w:rsid w:val="0112049F"/>
    <w:rsid w:val="01E86ADF"/>
    <w:rsid w:val="02471F32"/>
    <w:rsid w:val="02D62DAF"/>
    <w:rsid w:val="032D41CE"/>
    <w:rsid w:val="034F5360"/>
    <w:rsid w:val="03B4713C"/>
    <w:rsid w:val="05574559"/>
    <w:rsid w:val="064D1A4F"/>
    <w:rsid w:val="06FF140F"/>
    <w:rsid w:val="08020A1A"/>
    <w:rsid w:val="09616EA2"/>
    <w:rsid w:val="097A79AF"/>
    <w:rsid w:val="09C63592"/>
    <w:rsid w:val="0A8A08B3"/>
    <w:rsid w:val="0AC26DEC"/>
    <w:rsid w:val="0BF45F0C"/>
    <w:rsid w:val="0C0E2924"/>
    <w:rsid w:val="0D287F2B"/>
    <w:rsid w:val="0D4C4241"/>
    <w:rsid w:val="0D610903"/>
    <w:rsid w:val="0DAF18F2"/>
    <w:rsid w:val="10273980"/>
    <w:rsid w:val="108219C2"/>
    <w:rsid w:val="108B5ACB"/>
    <w:rsid w:val="1110240E"/>
    <w:rsid w:val="11370FA2"/>
    <w:rsid w:val="11A1366E"/>
    <w:rsid w:val="11EE3B56"/>
    <w:rsid w:val="123A37D5"/>
    <w:rsid w:val="12671076"/>
    <w:rsid w:val="12DA704D"/>
    <w:rsid w:val="14670DE6"/>
    <w:rsid w:val="14914362"/>
    <w:rsid w:val="150E5123"/>
    <w:rsid w:val="16C50018"/>
    <w:rsid w:val="16ED1FFF"/>
    <w:rsid w:val="181053A5"/>
    <w:rsid w:val="18841694"/>
    <w:rsid w:val="1A29370E"/>
    <w:rsid w:val="1AF26115"/>
    <w:rsid w:val="1BE235E4"/>
    <w:rsid w:val="1C6C7552"/>
    <w:rsid w:val="1C84646C"/>
    <w:rsid w:val="1D62714A"/>
    <w:rsid w:val="1E140045"/>
    <w:rsid w:val="1FCD3036"/>
    <w:rsid w:val="20EA40BF"/>
    <w:rsid w:val="21A1160E"/>
    <w:rsid w:val="238F24A8"/>
    <w:rsid w:val="23F37A05"/>
    <w:rsid w:val="246D3A6B"/>
    <w:rsid w:val="24817691"/>
    <w:rsid w:val="24B1474B"/>
    <w:rsid w:val="256E2769"/>
    <w:rsid w:val="25DE41C1"/>
    <w:rsid w:val="272A38A8"/>
    <w:rsid w:val="28886DB8"/>
    <w:rsid w:val="288C6B78"/>
    <w:rsid w:val="29AC4420"/>
    <w:rsid w:val="2AF04A37"/>
    <w:rsid w:val="2BF0428A"/>
    <w:rsid w:val="2CDB7450"/>
    <w:rsid w:val="2CF63DA1"/>
    <w:rsid w:val="2D3B0381"/>
    <w:rsid w:val="2D804B65"/>
    <w:rsid w:val="2FFC2363"/>
    <w:rsid w:val="31131BF3"/>
    <w:rsid w:val="314800EE"/>
    <w:rsid w:val="327E23D6"/>
    <w:rsid w:val="33D76529"/>
    <w:rsid w:val="33F77A52"/>
    <w:rsid w:val="34914A65"/>
    <w:rsid w:val="35FF0031"/>
    <w:rsid w:val="36DD1450"/>
    <w:rsid w:val="37B811B1"/>
    <w:rsid w:val="38F37997"/>
    <w:rsid w:val="39544057"/>
    <w:rsid w:val="39B13010"/>
    <w:rsid w:val="3A783CDD"/>
    <w:rsid w:val="3C342E3A"/>
    <w:rsid w:val="3E6C4DAB"/>
    <w:rsid w:val="41880D6C"/>
    <w:rsid w:val="41E87CC6"/>
    <w:rsid w:val="42CC3460"/>
    <w:rsid w:val="435D2F7B"/>
    <w:rsid w:val="44A05C3C"/>
    <w:rsid w:val="44C461B5"/>
    <w:rsid w:val="465052DF"/>
    <w:rsid w:val="46660FDC"/>
    <w:rsid w:val="47011C21"/>
    <w:rsid w:val="4835674D"/>
    <w:rsid w:val="48446D17"/>
    <w:rsid w:val="48945FE5"/>
    <w:rsid w:val="49B57DF5"/>
    <w:rsid w:val="49D3753E"/>
    <w:rsid w:val="4ADB03B6"/>
    <w:rsid w:val="4B014AF0"/>
    <w:rsid w:val="4BF16B09"/>
    <w:rsid w:val="4DA6597F"/>
    <w:rsid w:val="4E9571BC"/>
    <w:rsid w:val="4EB57A7E"/>
    <w:rsid w:val="501A2BC1"/>
    <w:rsid w:val="504F78CE"/>
    <w:rsid w:val="50554871"/>
    <w:rsid w:val="507A55CF"/>
    <w:rsid w:val="50A84121"/>
    <w:rsid w:val="532F3E38"/>
    <w:rsid w:val="53E45CD9"/>
    <w:rsid w:val="55422A42"/>
    <w:rsid w:val="55EF48D9"/>
    <w:rsid w:val="56212E46"/>
    <w:rsid w:val="56290ECA"/>
    <w:rsid w:val="56453B17"/>
    <w:rsid w:val="56E52FB2"/>
    <w:rsid w:val="56FC6DD2"/>
    <w:rsid w:val="57F6787C"/>
    <w:rsid w:val="58C00CA7"/>
    <w:rsid w:val="5A6B59F2"/>
    <w:rsid w:val="5BC06BD3"/>
    <w:rsid w:val="5CC63670"/>
    <w:rsid w:val="5D31608C"/>
    <w:rsid w:val="5DDB20A9"/>
    <w:rsid w:val="5DED1225"/>
    <w:rsid w:val="5EA12B9A"/>
    <w:rsid w:val="5F972E7D"/>
    <w:rsid w:val="61160F0A"/>
    <w:rsid w:val="6125709D"/>
    <w:rsid w:val="617848A5"/>
    <w:rsid w:val="627C58DE"/>
    <w:rsid w:val="6306465F"/>
    <w:rsid w:val="63263694"/>
    <w:rsid w:val="63354D36"/>
    <w:rsid w:val="659325D0"/>
    <w:rsid w:val="65AA3A0D"/>
    <w:rsid w:val="660233BE"/>
    <w:rsid w:val="664E2351"/>
    <w:rsid w:val="686D34B0"/>
    <w:rsid w:val="69192091"/>
    <w:rsid w:val="69195B4D"/>
    <w:rsid w:val="693D36AD"/>
    <w:rsid w:val="6B327BA0"/>
    <w:rsid w:val="6B8504A3"/>
    <w:rsid w:val="6B885EA2"/>
    <w:rsid w:val="6D127A4E"/>
    <w:rsid w:val="6D186A1C"/>
    <w:rsid w:val="6D4C475B"/>
    <w:rsid w:val="6D543100"/>
    <w:rsid w:val="6DE03A86"/>
    <w:rsid w:val="6E5272ED"/>
    <w:rsid w:val="6FA52CA9"/>
    <w:rsid w:val="719329E2"/>
    <w:rsid w:val="72842BB6"/>
    <w:rsid w:val="730E3127"/>
    <w:rsid w:val="73A249E4"/>
    <w:rsid w:val="757F5514"/>
    <w:rsid w:val="779A5D91"/>
    <w:rsid w:val="77A73786"/>
    <w:rsid w:val="77DD3A5A"/>
    <w:rsid w:val="79B80C12"/>
    <w:rsid w:val="7AB96E14"/>
    <w:rsid w:val="7B0C184B"/>
    <w:rsid w:val="7C7B2584"/>
    <w:rsid w:val="7EDE1E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rFonts w:ascii="Times New Roman" w:hAnsi="Times New Roman" w:eastAsia="宋体" w:cs="Times New Roman"/>
      <w:sz w:val="18"/>
      <w:szCs w:val="18"/>
    </w:rPr>
  </w:style>
  <w:style w:type="character" w:customStyle="1" w:styleId="9">
    <w:name w:val="页脚 字符"/>
    <w:basedOn w:val="7"/>
    <w:link w:val="4"/>
    <w:qFormat/>
    <w:uiPriority w:val="99"/>
    <w:rPr>
      <w:rFonts w:ascii="Times New Roman" w:hAnsi="Times New Roman" w:eastAsia="宋体" w:cs="Times New Roman"/>
      <w:sz w:val="18"/>
      <w:szCs w:val="18"/>
    </w:rPr>
  </w:style>
  <w:style w:type="character" w:customStyle="1" w:styleId="10">
    <w:name w:val="批注框文本 字符"/>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664</Words>
  <Characters>3787</Characters>
  <Lines>31</Lines>
  <Paragraphs>8</Paragraphs>
  <TotalTime>0</TotalTime>
  <ScaleCrop>false</ScaleCrop>
  <LinksUpToDate>false</LinksUpToDate>
  <CharactersWithSpaces>4443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2021-07-22T13:23:07Z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9BA88833FAAC40DC8992807003F14412</vt:lpwstr>
  </property>
</Properties>
</file>