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0219-2021-QO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中讯通达（北京）企业管理服务</w:t>
      </w:r>
      <w:r>
        <w:rPr>
          <w:rFonts w:hint="eastAsia"/>
          <w:b/>
          <w:color w:val="000000" w:themeColor="text1"/>
          <w:sz w:val="22"/>
          <w:szCs w:val="22"/>
          <w:u w:val="single"/>
          <w:lang w:val="en-US" w:eastAsia="zh-CN"/>
        </w:rPr>
        <w:t>集团</w:t>
      </w:r>
      <w:r>
        <w:rPr>
          <w:b/>
          <w:color w:val="000000" w:themeColor="text1"/>
          <w:sz w:val="22"/>
          <w:szCs w:val="22"/>
          <w:u w:val="single"/>
        </w:rPr>
        <w:t>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iCs w:val="0"/>
          <w:caps w:val="0"/>
          <w:color w:val="333333"/>
          <w:spacing w:val="0"/>
          <w:sz w:val="24"/>
          <w:szCs w:val="24"/>
          <w:shd w:val="clear" w:fill="F5F5F5"/>
        </w:rPr>
        <w:t>Zhongxun Tongda (Beijing) Enterprise Management Service Group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北京市北京经济开发区荣华南路10号院5号楼12层1509</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100176</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1509, floor 12, building 5, yard 10, South China Road, Beijing Economic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北京市北京经济开发区荣华南路10号院5号楼12层1509</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100176</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iCs w:val="0"/>
          <w:caps w:val="0"/>
          <w:color w:val="333333"/>
          <w:spacing w:val="0"/>
          <w:sz w:val="24"/>
          <w:szCs w:val="24"/>
          <w:shd w:val="clear" w:fill="F5F5F5"/>
        </w:rPr>
        <w:t>1509, floor 12, building 5, yard 10, South China Road, Beijing Economic Development Zone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91110302318013119G</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010-67881234</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贾福忠</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姜岩</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Q：许可范围内劳务派遣</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O：许可范围内劳务派遣所涉及场所的相关职业健康安全管理活动</w:t>
      </w:r>
      <w:bookmarkEnd w:id="15"/>
    </w:p>
    <w:p>
      <w:pPr>
        <w:pStyle w:val="2"/>
        <w:spacing w:line="240" w:lineRule="auto"/>
        <w:ind w:firstLine="0"/>
        <w:rPr>
          <w:rFonts w:hint="eastAsia"/>
          <w:b/>
          <w:color w:val="000000" w:themeColor="text1"/>
          <w:sz w:val="22"/>
          <w:szCs w:val="22"/>
        </w:rPr>
      </w:pPr>
      <w:r>
        <w:rPr>
          <w:rFonts w:hint="eastAsia"/>
          <w:b/>
          <w:color w:val="000000" w:themeColor="text1"/>
          <w:sz w:val="22"/>
          <w:szCs w:val="22"/>
          <w:lang w:eastAsia="zh-CN"/>
        </w:rPr>
        <w:t>☑</w:t>
      </w:r>
      <w:r>
        <w:rPr>
          <w:rFonts w:hint="eastAsia"/>
          <w:b/>
          <w:color w:val="000000" w:themeColor="text1"/>
          <w:sz w:val="22"/>
          <w:szCs w:val="22"/>
        </w:rPr>
        <w:t>QMS（英文：）：</w:t>
      </w:r>
      <w:r>
        <w:rPr>
          <w:rFonts w:ascii="微软雅黑" w:hAnsi="微软雅黑" w:eastAsia="微软雅黑" w:cs="微软雅黑"/>
          <w:i w:val="0"/>
          <w:iCs w:val="0"/>
          <w:caps w:val="0"/>
          <w:color w:val="333333"/>
          <w:spacing w:val="0"/>
          <w:sz w:val="24"/>
          <w:szCs w:val="24"/>
          <w:shd w:val="clear" w:fill="F5F5F5"/>
        </w:rPr>
        <w:t>Labor dispatch within the scope of permission</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r>
        <w:rPr>
          <w:rFonts w:ascii="微软雅黑" w:hAnsi="微软雅黑" w:eastAsia="微软雅黑" w:cs="微软雅黑"/>
          <w:i w:val="0"/>
          <w:iCs w:val="0"/>
          <w:caps w:val="0"/>
          <w:color w:val="333333"/>
          <w:spacing w:val="0"/>
          <w:sz w:val="24"/>
          <w:szCs w:val="24"/>
          <w:shd w:val="clear" w:fill="F5F5F5"/>
        </w:rPr>
        <w:t>The relevant occupational health and safety management activities of the premises involved in the Labor dispatch service within the scope of the permit</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                     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2021.7.22</w:t>
      </w:r>
      <w:bookmarkStart w:id="16" w:name="_GoBack"/>
      <w:bookmarkEnd w:id="16"/>
      <w:r>
        <w:rPr>
          <w:rFonts w:hint="eastAsia"/>
          <w:b/>
          <w:color w:val="000000" w:themeColor="text1"/>
          <w:sz w:val="22"/>
          <w:szCs w:val="22"/>
        </w:rPr>
        <w:t xml:space="preserve">                                      日期：</w:t>
      </w:r>
      <w:r>
        <w:rPr>
          <w:rFonts w:hint="eastAsia"/>
          <w:b/>
          <w:color w:val="000000" w:themeColor="text1"/>
          <w:sz w:val="22"/>
          <w:szCs w:val="22"/>
          <w:lang w:val="en-US" w:eastAsia="zh-CN"/>
        </w:rPr>
        <w:t>2021.7.22</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BD47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133</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2021-07-22T00:50:15Z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D69E1B5559554C358F34F59423F35AB4</vt:lpwstr>
  </property>
</Properties>
</file>